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5107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0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Swies Nicole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RD, BLDG. 1, SUITE 200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Revenue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41,236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41,236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148,979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will vest in whole or in part on September 30, 2026, with 80% being subject to the attainment of specified performance goals in addition to continued employment, and the remaining 20% being subject to continued employment only.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September 30, 2023. However, no consideration was paid for the award other than services rendered and to be rendered by the Reporting Person.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11/21/2023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15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1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2429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2023-11-21T14:23:57Z</dcterms:created>
  <dcterms:modified xsi:type="dcterms:W3CDTF">2023-11-21T14:23:57Z</dcterms:modified>
</cp:coreProperties>
</file>