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488950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445770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69" w:lineRule="exact"/>
        <w:rPr>
          <w:sz w:val="24"/>
          <w:szCs w:val="24"/>
          <w:color w:val="auto"/>
        </w:rPr>
      </w:pPr>
    </w:p>
    <w:p>
      <w:pPr>
        <w:ind w:left="1760" w:hanging="530"/>
        <w:spacing w:after="0"/>
        <w:tabs>
          <w:tab w:leader="none" w:pos="1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6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2020</w:t>
      </w:r>
    </w:p>
    <w:p>
      <w:pPr>
        <w:spacing w:after="0" w:line="59"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7" w:lineRule="exact"/>
        <w:rPr>
          <w:sz w:val="24"/>
          <w:szCs w:val="24"/>
          <w:color w:val="auto"/>
        </w:rPr>
      </w:pPr>
    </w:p>
    <w:p>
      <w:pPr>
        <w:ind w:left="1760" w:hanging="530"/>
        <w:spacing w:after="0"/>
        <w:tabs>
          <w:tab w:leader="none" w:pos="17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1" w:lineRule="exact"/>
        <w:rPr>
          <w:sz w:val="24"/>
          <w:szCs w:val="24"/>
          <w:color w:val="auto"/>
        </w:rPr>
      </w:pPr>
    </w:p>
    <w:tbl>
      <w:tblPr>
        <w:tblLayout w:type="fixed"/>
        <w:tblInd w:w="3960" w:type="dxa"/>
        <w:tblCellMar>
          <w:top w:w="0" w:type="dxa"/>
          <w:left w:w="0" w:type="dxa"/>
          <w:bottom w:w="0" w:type="dxa"/>
          <w:right w:w="0" w:type="dxa"/>
        </w:tblCellMar>
      </w:tblPr>
      <w:tr>
        <w:trPr>
          <w:trHeight w:val="184"/>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378"/>
        </w:trPr>
        <w:tc>
          <w:tcPr>
            <w:tcW w:w="300" w:type="dxa"/>
            <w:vAlign w:val="bottom"/>
          </w:tcPr>
          <w:p>
            <w:pPr>
              <w:spacing w:after="0"/>
              <w:rPr>
                <w:sz w:val="24"/>
                <w:szCs w:val="24"/>
                <w:color w:val="auto"/>
              </w:rPr>
            </w:pPr>
          </w:p>
        </w:tc>
        <w:tc>
          <w:tcPr>
            <w:tcW w:w="264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Commission File No. 0-19424</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4523105</wp:posOffset>
            </wp:positionH>
            <wp:positionV relativeFrom="paragraph">
              <wp:posOffset>-264795</wp:posOffset>
            </wp:positionV>
            <wp:extent cx="514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85725</wp:posOffset>
            </wp:positionV>
            <wp:extent cx="108013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0135" cy="17145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EZCORP, INC.</w:t>
      </w:r>
    </w:p>
    <w:p>
      <w:pPr>
        <w:spacing w:after="0" w:line="186" w:lineRule="exact"/>
        <w:rPr>
          <w:sz w:val="24"/>
          <w:szCs w:val="24"/>
          <w:color w:val="auto"/>
        </w:rPr>
      </w:pPr>
    </w:p>
    <w:tbl>
      <w:tblPr>
        <w:tblLayout w:type="fixed"/>
        <w:tblInd w:w="6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74-2540145</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gridSpan w:val="5"/>
          </w:tcPr>
          <w:p>
            <w:pPr>
              <w:jc w:val="center"/>
              <w:ind w:left="270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80" w:type="dxa"/>
            <w:vAlign w:val="bottom"/>
          </w:tcPr>
          <w:p>
            <w:pPr>
              <w:spacing w:after="0"/>
              <w:rPr>
                <w:sz w:val="21"/>
                <w:szCs w:val="21"/>
                <w:color w:val="auto"/>
              </w:rPr>
            </w:pPr>
          </w:p>
        </w:tc>
        <w:tc>
          <w:tcPr>
            <w:tcW w:w="4620" w:type="dxa"/>
            <w:vAlign w:val="bottom"/>
            <w:gridSpan w:val="2"/>
          </w:tcPr>
          <w:p>
            <w:pPr>
              <w:jc w:val="center"/>
              <w:ind w:right="242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99"/>
        </w:trPr>
        <w:tc>
          <w:tcPr>
            <w:tcW w:w="3780" w:type="dxa"/>
            <w:vAlign w:val="bottom"/>
          </w:tcPr>
          <w:p>
            <w:pPr>
              <w:jc w:val="center"/>
              <w:ind w:left="2368"/>
              <w:spacing w:after="0"/>
              <w:rPr>
                <w:sz w:val="20"/>
                <w:szCs w:val="20"/>
                <w:color w:val="auto"/>
              </w:rPr>
            </w:pPr>
            <w:r>
              <w:rPr>
                <w:rFonts w:ascii="Times New Roman" w:cs="Times New Roman" w:eastAsia="Times New Roman" w:hAnsi="Times New Roman"/>
                <w:sz w:val="14"/>
                <w:szCs w:val="14"/>
                <w:b w:val="1"/>
                <w:bCs w:val="1"/>
                <w:color w:val="auto"/>
              </w:rPr>
              <w:t>2500 Bee Cave</w:t>
            </w: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Bldg One  Suite 200</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Rollingwood</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TX</w:t>
            </w:r>
          </w:p>
        </w:tc>
        <w:tc>
          <w:tcPr>
            <w:tcW w:w="2720" w:type="dxa"/>
            <w:vAlign w:val="bottom"/>
            <w:vMerge w:val="restart"/>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78746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80" w:type="dxa"/>
            <w:vAlign w:val="bottom"/>
          </w:tcPr>
          <w:p>
            <w:pPr>
              <w:jc w:val="center"/>
              <w:ind w:left="2368"/>
              <w:spacing w:after="0"/>
              <w:rPr>
                <w:sz w:val="20"/>
                <w:szCs w:val="20"/>
                <w:color w:val="auto"/>
              </w:rPr>
            </w:pPr>
            <w:r>
              <w:rPr>
                <w:rFonts w:ascii="Times New Roman" w:cs="Times New Roman" w:eastAsia="Times New Roman" w:hAnsi="Times New Roman"/>
                <w:sz w:val="14"/>
                <w:szCs w:val="14"/>
                <w:b w:val="1"/>
                <w:bCs w:val="1"/>
                <w:color w:val="auto"/>
              </w:rPr>
              <w:t>Road</w:t>
            </w:r>
          </w:p>
        </w:tc>
        <w:tc>
          <w:tcPr>
            <w:tcW w:w="14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20" w:type="dxa"/>
            <w:vAlign w:val="bottom"/>
            <w:gridSpan w:val="5"/>
          </w:tcPr>
          <w:p>
            <w:pPr>
              <w:jc w:val="center"/>
              <w:ind w:left="27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0" w:type="dxa"/>
            <w:vAlign w:val="bottom"/>
          </w:tcPr>
          <w:p>
            <w:pPr>
              <w:spacing w:after="0"/>
              <w:rPr>
                <w:sz w:val="16"/>
                <w:szCs w:val="16"/>
                <w:color w:val="auto"/>
              </w:rPr>
            </w:pPr>
          </w:p>
        </w:tc>
        <w:tc>
          <w:tcPr>
            <w:tcW w:w="4620" w:type="dxa"/>
            <w:vAlign w:val="bottom"/>
            <w:gridSpan w:val="2"/>
          </w:tcPr>
          <w:p>
            <w:pPr>
              <w:jc w:val="center"/>
              <w:ind w:right="242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51"/>
        </w:trPr>
        <w:tc>
          <w:tcPr>
            <w:tcW w:w="11120" w:type="dxa"/>
            <w:vAlign w:val="bottom"/>
            <w:gridSpan w:val="8"/>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 (512</w:t>
            </w:r>
            <w:r>
              <w:rPr>
                <w:rFonts w:ascii="Times New Roman" w:cs="Times New Roman" w:eastAsia="Times New Roman" w:hAnsi="Times New Roman"/>
                <w:sz w:val="14"/>
                <w:szCs w:val="14"/>
                <w:b w:val="1"/>
                <w:bCs w:val="1"/>
                <w:color w:val="auto"/>
              </w:rPr>
              <w:t>) 314-3400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7340" w:type="dxa"/>
            <w:vAlign w:val="bottom"/>
            <w:gridSpan w:val="7"/>
          </w:tcPr>
          <w:p>
            <w:pPr>
              <w:jc w:val="center"/>
              <w:ind w:right="37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03"/>
        </w:trPr>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Pr>
          <w:p>
            <w:pPr>
              <w:spacing w:after="0"/>
              <w:rPr>
                <w:sz w:val="17"/>
                <w:szCs w:val="17"/>
                <w:color w:val="auto"/>
              </w:rPr>
            </w:pPr>
          </w:p>
        </w:tc>
        <w:tc>
          <w:tcPr>
            <w:tcW w:w="5720" w:type="dxa"/>
            <w:vAlign w:val="bottom"/>
            <w:gridSpan w:val="4"/>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9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Non-voting Common Stock, $.01 par value per share</w:t>
            </w:r>
          </w:p>
        </w:tc>
        <w:tc>
          <w:tcPr>
            <w:tcW w:w="20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EZPW</w:t>
            </w: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2"/>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The NASDAQ Stock Market</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900" w:type="dxa"/>
            <w:vAlign w:val="bottom"/>
            <w:gridSpan w:val="3"/>
          </w:tcPr>
          <w:p>
            <w:pPr>
              <w:jc w:val="center"/>
              <w:ind w:right="2720"/>
              <w:spacing w:after="0" w:line="147" w:lineRule="exact"/>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20" w:type="dxa"/>
            <w:vAlign w:val="bottom"/>
            <w:gridSpan w:val="2"/>
          </w:tcPr>
          <w:p>
            <w:pPr>
              <w:ind w:left="2720"/>
              <w:spacing w:after="0" w:line="155" w:lineRule="exact"/>
              <w:rPr>
                <w:sz w:val="20"/>
                <w:szCs w:val="20"/>
                <w:color w:val="auto"/>
              </w:rPr>
            </w:pPr>
            <w:r>
              <w:rPr>
                <w:rFonts w:ascii="Times New Roman" w:cs="Times New Roman" w:eastAsia="Times New Roman" w:hAnsi="Times New Roman"/>
                <w:sz w:val="14"/>
                <w:szCs w:val="14"/>
                <w:color w:val="auto"/>
              </w:rPr>
              <w:t>Securities Registered Pursuant to</w:t>
            </w:r>
          </w:p>
        </w:tc>
        <w:tc>
          <w:tcPr>
            <w:tcW w:w="0" w:type="dxa"/>
            <w:vAlign w:val="bottom"/>
          </w:tcPr>
          <w:p>
            <w:pPr>
              <w:spacing w:after="0"/>
              <w:rPr>
                <w:sz w:val="1"/>
                <w:szCs w:val="1"/>
                <w:color w:val="auto"/>
              </w:rPr>
            </w:pPr>
          </w:p>
        </w:tc>
      </w:tr>
    </w:tbl>
    <w:p>
      <w:pPr>
        <w:ind w:left="4740"/>
        <w:spacing w:after="0"/>
        <w:rPr>
          <w:sz w:val="20"/>
          <w:szCs w:val="20"/>
          <w:color w:val="auto"/>
        </w:rPr>
      </w:pPr>
      <w:r>
        <w:rPr>
          <w:rFonts w:ascii="Times New Roman" w:cs="Times New Roman" w:eastAsia="Times New Roman" w:hAnsi="Times New Roman"/>
          <w:sz w:val="14"/>
          <w:szCs w:val="14"/>
          <w:color w:val="auto"/>
        </w:rPr>
        <w:t xml:space="preserve">Section 12(g) of the Act: </w:t>
      </w:r>
      <w:r>
        <w:rPr>
          <w:rFonts w:ascii="Times New Roman" w:cs="Times New Roman" w:eastAsia="Times New Roman" w:hAnsi="Times New Roman"/>
          <w:sz w:val="14"/>
          <w:szCs w:val="14"/>
          <w:b w:val="1"/>
          <w:bCs w:val="1"/>
          <w:color w:val="auto"/>
        </w:rPr>
        <w:t>None</w:t>
      </w:r>
    </w:p>
    <w:p>
      <w:pPr>
        <w:spacing w:after="0" w:line="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6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0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Accelerated filer</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0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2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2" w:lineRule="exact"/>
        <w:rPr>
          <w:sz w:val="24"/>
          <w:szCs w:val="24"/>
          <w:color w:val="auto"/>
        </w:rPr>
      </w:pPr>
    </w:p>
    <w:p>
      <w:pPr>
        <w:ind w:right="5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 The aggregate market value of the Class A Non-Voting Common Stock held by non-affiliates of the registrant was $212 million, based on the closing price on the NASDAQ Stock Market on March 31, 2020.</w:t>
      </w:r>
    </w:p>
    <w:p>
      <w:pPr>
        <w:spacing w:after="0" w:line="5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4"/>
          <w:szCs w:val="14"/>
          <w:color w:val="auto"/>
        </w:rPr>
        <w:t>As of November 30, 2020, 52332848 shares of the registrant’s Class A Non-Voting Common Stock, par value $.01 per share, and 2,970,171 shares of the registrant’s Class B Voting Common Stock, par value $.01 per share, were outstanding.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949325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Times New Roman" w:cs="Times New Roman" w:eastAsia="Times New Roman" w:hAnsi="Times New Roman"/>
          <w:sz w:val="17"/>
          <w:szCs w:val="17"/>
          <w:u w:val="single" w:color="auto"/>
          <w:color w:val="0000FF"/>
        </w:rPr>
      </w:pPr>
      <w:hyperlink w:anchor="page2">
        <w:r>
          <w:rPr>
            <w:rFonts w:ascii="Times New Roman" w:cs="Times New Roman" w:eastAsia="Times New Roman" w:hAnsi="Times New Roman"/>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70980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480" w:type="dxa"/>
            <w:vAlign w:val="bottom"/>
            <w:gridSpan w:val="5"/>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82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EZCORP, INC.</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YEAR ENDED SEPTEMBER 30, 2020</w:t>
            </w: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2"/>
        </w:trPr>
        <w:tc>
          <w:tcPr>
            <w:tcW w:w="40" w:type="dxa"/>
            <w:vAlign w:val="bottom"/>
          </w:tcPr>
          <w:p>
            <w:pPr>
              <w:spacing w:after="0"/>
              <w:rPr>
                <w:sz w:val="21"/>
                <w:szCs w:val="21"/>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40" w:type="dxa"/>
            <w:vAlign w:val="bottom"/>
          </w:tcPr>
          <w:p>
            <w:pPr>
              <w:spacing w:after="0"/>
              <w:rPr>
                <w:sz w:val="16"/>
                <w:szCs w:val="16"/>
                <w:color w:val="auto"/>
              </w:rPr>
            </w:pPr>
          </w:p>
        </w:tc>
        <w:tc>
          <w:tcPr>
            <w:tcW w:w="94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No.</w:t>
            </w:r>
          </w:p>
        </w:tc>
        <w:tc>
          <w:tcPr>
            <w:tcW w:w="176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No.</w:t>
            </w:r>
          </w:p>
        </w:tc>
      </w:tr>
      <w:tr>
        <w:trPr>
          <w:trHeight w:val="299"/>
        </w:trPr>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180" w:type="dxa"/>
            <w:vAlign w:val="bottom"/>
          </w:tcPr>
          <w:p>
            <w:pPr>
              <w:jc w:val="center"/>
              <w:ind w:left="610"/>
              <w:spacing w:after="0"/>
              <w:rPr>
                <w:rFonts w:ascii="Times New Roman" w:cs="Times New Roman" w:eastAsia="Times New Roman" w:hAnsi="Times New Roman"/>
                <w:sz w:val="18"/>
                <w:szCs w:val="18"/>
                <w:b w:val="1"/>
                <w:bCs w:val="1"/>
                <w:u w:val="single" w:color="auto"/>
                <w:color w:val="0000FF"/>
                <w:w w:val="99"/>
              </w:rPr>
            </w:pPr>
            <w:hyperlink w:anchor="page3">
              <w:r>
                <w:rPr>
                  <w:rFonts w:ascii="Times New Roman" w:cs="Times New Roman" w:eastAsia="Times New Roman" w:hAnsi="Times New Roman"/>
                  <w:sz w:val="18"/>
                  <w:szCs w:val="18"/>
                  <w:b w:val="1"/>
                  <w:bCs w:val="1"/>
                  <w:u w:val="single" w:color="auto"/>
                  <w:color w:val="0000FF"/>
                  <w:w w:val="99"/>
                </w:rPr>
                <w:t>PART I</w:t>
              </w:r>
            </w:hyperlink>
          </w:p>
        </w:tc>
        <w:tc>
          <w:tcPr>
            <w:tcW w:w="1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r>
      <w:tr>
        <w:trPr>
          <w:trHeight w:val="229"/>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1A. Risk Factors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11</w:t>
              </w:r>
            </w:hyperlink>
          </w:p>
        </w:tc>
      </w:tr>
      <w:tr>
        <w:trPr>
          <w:trHeight w:val="229"/>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1B. Unresolved Staff Comments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18</w:t>
              </w:r>
            </w:hyperlink>
          </w:p>
        </w:tc>
      </w:tr>
      <w:tr>
        <w:trPr>
          <w:trHeight w:val="230"/>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2.</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Properties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18</w:t>
              </w:r>
            </w:hyperlink>
          </w:p>
        </w:tc>
      </w:tr>
      <w:tr>
        <w:trPr>
          <w:trHeight w:val="229"/>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3.</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Legal Proceedings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19</w:t>
              </w:r>
            </w:hyperlink>
          </w:p>
        </w:tc>
      </w:tr>
      <w:tr>
        <w:trPr>
          <w:trHeight w:val="234"/>
        </w:trPr>
        <w:tc>
          <w:tcPr>
            <w:tcW w:w="200" w:type="dxa"/>
            <w:vAlign w:val="bottom"/>
            <w:gridSpan w:val="2"/>
          </w:tcPr>
          <w:p>
            <w:pPr>
              <w:ind w:left="40"/>
              <w:spacing w:after="0"/>
              <w:rPr>
                <w:rFonts w:ascii="Times New Roman" w:cs="Times New Roman" w:eastAsia="Times New Roman" w:hAnsi="Times New Roman"/>
                <w:sz w:val="18"/>
                <w:szCs w:val="18"/>
                <w:u w:val="single" w:color="auto"/>
                <w:color w:val="0033FF"/>
              </w:rPr>
            </w:pPr>
            <w:hyperlink w:anchor="page20">
              <w:r>
                <w:rPr>
                  <w:rFonts w:ascii="Times New Roman" w:cs="Times New Roman" w:eastAsia="Times New Roman" w:hAnsi="Times New Roman"/>
                  <w:sz w:val="18"/>
                  <w:szCs w:val="18"/>
                  <w:u w:val="single" w:color="auto"/>
                  <w:color w:val="0033FF"/>
                </w:rPr>
                <w:t>4.</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33FF"/>
              </w:rPr>
            </w:pPr>
            <w:hyperlink w:anchor="page20">
              <w:r>
                <w:rPr>
                  <w:rFonts w:ascii="Times New Roman" w:cs="Times New Roman" w:eastAsia="Times New Roman" w:hAnsi="Times New Roman"/>
                  <w:sz w:val="18"/>
                  <w:szCs w:val="18"/>
                  <w:u w:val="single" w:color="auto"/>
                  <w:color w:val="0033FF"/>
                </w:rPr>
                <w:t>Mine Safety Disclosures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19</w:t>
              </w:r>
            </w:hyperlink>
          </w:p>
        </w:tc>
      </w:tr>
      <w:tr>
        <w:trPr>
          <w:trHeight w:val="279"/>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tcPr>
          <w:p>
            <w:pPr>
              <w:jc w:val="center"/>
              <w:ind w:left="610"/>
              <w:spacing w:after="0"/>
              <w:rPr>
                <w:rFonts w:ascii="Times New Roman" w:cs="Times New Roman" w:eastAsia="Times New Roman" w:hAnsi="Times New Roman"/>
                <w:sz w:val="18"/>
                <w:szCs w:val="18"/>
                <w:b w:val="1"/>
                <w:bCs w:val="1"/>
                <w:u w:val="single" w:color="auto"/>
                <w:color w:val="0000FF"/>
                <w:w w:val="94"/>
              </w:rPr>
            </w:pPr>
            <w:hyperlink w:anchor="page20">
              <w:r>
                <w:rPr>
                  <w:rFonts w:ascii="Times New Roman" w:cs="Times New Roman" w:eastAsia="Times New Roman" w:hAnsi="Times New Roman"/>
                  <w:sz w:val="18"/>
                  <w:szCs w:val="18"/>
                  <w:b w:val="1"/>
                  <w:bCs w:val="1"/>
                  <w:u w:val="single" w:color="auto"/>
                  <w:color w:val="0000FF"/>
                  <w:w w:val="94"/>
                </w:rPr>
                <w:t>PART II</w:t>
              </w:r>
            </w:hyperlink>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9"/>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5.</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20</w:t>
              </w:r>
            </w:hyperlink>
          </w:p>
        </w:tc>
      </w:tr>
      <w:tr>
        <w:trPr>
          <w:trHeight w:val="229"/>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6.</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Selected Financial Data</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21</w:t>
              </w:r>
            </w:hyperlink>
          </w:p>
        </w:tc>
      </w:tr>
      <w:tr>
        <w:trPr>
          <w:trHeight w:val="230"/>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7.</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22</w:t>
              </w:r>
            </w:hyperlink>
          </w:p>
        </w:tc>
      </w:tr>
      <w:tr>
        <w:trPr>
          <w:trHeight w:val="229"/>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7A. Quantitative and Qualitative Disclosures About Market Risk</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37</w:t>
              </w:r>
            </w:hyperlink>
          </w:p>
        </w:tc>
      </w:tr>
      <w:tr>
        <w:trPr>
          <w:trHeight w:val="229"/>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8.</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Financial Statements and Supplementary Data</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39</w:t>
              </w:r>
            </w:hyperlink>
          </w:p>
        </w:tc>
      </w:tr>
      <w:tr>
        <w:trPr>
          <w:trHeight w:val="230"/>
        </w:trPr>
        <w:tc>
          <w:tcPr>
            <w:tcW w:w="20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9.</w:t>
              </w:r>
            </w:hyperlink>
          </w:p>
        </w:tc>
        <w:tc>
          <w:tcPr>
            <w:tcW w:w="92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74</w:t>
              </w:r>
            </w:hyperlink>
          </w:p>
        </w:tc>
      </w:tr>
      <w:tr>
        <w:trPr>
          <w:trHeight w:val="229"/>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9A. Controls and Procedures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74</w:t>
              </w:r>
            </w:hyperlink>
          </w:p>
        </w:tc>
      </w:tr>
      <w:tr>
        <w:trPr>
          <w:trHeight w:val="234"/>
        </w:trPr>
        <w:tc>
          <w:tcPr>
            <w:tcW w:w="40" w:type="dxa"/>
            <w:vAlign w:val="bottom"/>
          </w:tcPr>
          <w:p>
            <w:pPr>
              <w:spacing w:after="0"/>
              <w:rPr>
                <w:sz w:val="20"/>
                <w:szCs w:val="20"/>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9B. Other Information</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77</w:t>
              </w:r>
            </w:hyperlink>
          </w:p>
        </w:tc>
      </w:tr>
      <w:tr>
        <w:trPr>
          <w:trHeight w:val="279"/>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tcPr>
          <w:p>
            <w:pPr>
              <w:jc w:val="center"/>
              <w:ind w:left="610"/>
              <w:spacing w:after="0"/>
              <w:rPr>
                <w:rFonts w:ascii="Times New Roman" w:cs="Times New Roman" w:eastAsia="Times New Roman" w:hAnsi="Times New Roman"/>
                <w:sz w:val="18"/>
                <w:szCs w:val="18"/>
                <w:b w:val="1"/>
                <w:bCs w:val="1"/>
                <w:u w:val="single" w:color="auto"/>
                <w:color w:val="0000FF"/>
                <w:w w:val="96"/>
              </w:rPr>
            </w:pPr>
            <w:hyperlink w:anchor="page79">
              <w:r>
                <w:rPr>
                  <w:rFonts w:ascii="Times New Roman" w:cs="Times New Roman" w:eastAsia="Times New Roman" w:hAnsi="Times New Roman"/>
                  <w:sz w:val="18"/>
                  <w:szCs w:val="18"/>
                  <w:b w:val="1"/>
                  <w:bCs w:val="1"/>
                  <w:u w:val="single" w:color="auto"/>
                  <w:color w:val="0000FF"/>
                  <w:w w:val="96"/>
                </w:rPr>
                <w:t>PART III</w:t>
              </w:r>
            </w:hyperlink>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10. Directors, Executive Officers and Corporate Governance</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78</w:t>
              </w:r>
            </w:hyperlink>
          </w:p>
        </w:tc>
      </w:tr>
      <w:tr>
        <w:trPr>
          <w:trHeight w:val="230"/>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11. Executive Compensation</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86</w:t>
              </w:r>
            </w:hyperlink>
          </w:p>
        </w:tc>
      </w:tr>
      <w:tr>
        <w:trPr>
          <w:trHeight w:val="230"/>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12. Security Ownership of Certain Beneficial Owners and Management and Related Stockholder Matters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109</w:t>
              </w:r>
            </w:hyperlink>
          </w:p>
        </w:tc>
      </w:tr>
      <w:tr>
        <w:trPr>
          <w:trHeight w:val="230"/>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113">
              <w:r>
                <w:rPr>
                  <w:rFonts w:ascii="Times New Roman" w:cs="Times New Roman" w:eastAsia="Times New Roman" w:hAnsi="Times New Roman"/>
                  <w:sz w:val="18"/>
                  <w:szCs w:val="18"/>
                  <w:u w:val="single" w:color="auto"/>
                  <w:color w:val="0000FF"/>
                </w:rPr>
                <w:t>13. Certain Relationships and Related Transactions, and Director Independence</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13">
              <w:r>
                <w:rPr>
                  <w:rFonts w:ascii="Times New Roman" w:cs="Times New Roman" w:eastAsia="Times New Roman" w:hAnsi="Times New Roman"/>
                  <w:sz w:val="18"/>
                  <w:szCs w:val="18"/>
                  <w:u w:val="single" w:color="auto"/>
                  <w:color w:val="0000FF"/>
                </w:rPr>
                <w:t>111</w:t>
              </w:r>
            </w:hyperlink>
          </w:p>
        </w:tc>
      </w:tr>
      <w:tr>
        <w:trPr>
          <w:trHeight w:val="234"/>
        </w:trPr>
        <w:tc>
          <w:tcPr>
            <w:tcW w:w="40" w:type="dxa"/>
            <w:vAlign w:val="bottom"/>
          </w:tcPr>
          <w:p>
            <w:pPr>
              <w:spacing w:after="0"/>
              <w:rPr>
                <w:sz w:val="20"/>
                <w:szCs w:val="20"/>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14. Principal Accountant Fees and Services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112</w:t>
              </w:r>
            </w:hyperlink>
          </w:p>
        </w:tc>
      </w:tr>
      <w:tr>
        <w:trPr>
          <w:trHeight w:val="279"/>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tcPr>
          <w:p>
            <w:pPr>
              <w:jc w:val="center"/>
              <w:ind w:left="610"/>
              <w:spacing w:after="0"/>
              <w:rPr>
                <w:rFonts w:ascii="Times New Roman" w:cs="Times New Roman" w:eastAsia="Times New Roman" w:hAnsi="Times New Roman"/>
                <w:sz w:val="18"/>
                <w:szCs w:val="18"/>
                <w:b w:val="1"/>
                <w:bCs w:val="1"/>
                <w:u w:val="single" w:color="auto"/>
                <w:color w:val="0000FF"/>
                <w:w w:val="97"/>
              </w:rPr>
            </w:pPr>
            <w:hyperlink w:anchor="page114">
              <w:r>
                <w:rPr>
                  <w:rFonts w:ascii="Times New Roman" w:cs="Times New Roman" w:eastAsia="Times New Roman" w:hAnsi="Times New Roman"/>
                  <w:sz w:val="18"/>
                  <w:szCs w:val="18"/>
                  <w:b w:val="1"/>
                  <w:bCs w:val="1"/>
                  <w:u w:val="single" w:color="auto"/>
                  <w:color w:val="0000FF"/>
                  <w:w w:val="97"/>
                </w:rPr>
                <w:t>PART IV</w:t>
              </w:r>
            </w:hyperlink>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15. Exhibits and Financial Statement Schedules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113</w:t>
              </w:r>
            </w:hyperlink>
          </w:p>
        </w:tc>
      </w:tr>
      <w:tr>
        <w:trPr>
          <w:trHeight w:val="194"/>
        </w:trPr>
        <w:tc>
          <w:tcPr>
            <w:tcW w:w="40" w:type="dxa"/>
            <w:vAlign w:val="bottom"/>
          </w:tcPr>
          <w:p>
            <w:pPr>
              <w:spacing w:after="0"/>
              <w:rPr>
                <w:sz w:val="16"/>
                <w:szCs w:val="16"/>
                <w:color w:val="auto"/>
              </w:rPr>
            </w:pPr>
          </w:p>
        </w:tc>
        <w:tc>
          <w:tcPr>
            <w:tcW w:w="9440" w:type="dxa"/>
            <w:vAlign w:val="bottom"/>
            <w:gridSpan w:val="4"/>
          </w:tcPr>
          <w:p>
            <w:pPr>
              <w:spacing w:after="0" w:line="194"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16. </w:t>
            </w:r>
            <w:hyperlink w:anchor="page115">
              <w:r>
                <w:rPr>
                  <w:rFonts w:ascii="Times New Roman" w:cs="Times New Roman" w:eastAsia="Times New Roman" w:hAnsi="Times New Roman"/>
                  <w:sz w:val="18"/>
                  <w:szCs w:val="18"/>
                  <w:u w:val="single" w:color="auto"/>
                  <w:color w:val="0000FF"/>
                </w:rPr>
                <w:t>Form 10-K Summary</w:t>
              </w:r>
            </w:hyperlink>
          </w:p>
        </w:tc>
        <w:tc>
          <w:tcPr>
            <w:tcW w:w="1760" w:type="dxa"/>
            <w:vAlign w:val="bottom"/>
            <w:gridSpan w:val="3"/>
          </w:tcPr>
          <w:p>
            <w:pPr>
              <w:jc w:val="right"/>
              <w:ind w:right="40"/>
              <w:spacing w:after="0" w:line="194" w:lineRule="exact"/>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113</w:t>
              </w:r>
            </w:hyperlink>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9440" w:type="dxa"/>
            <w:vAlign w:val="bottom"/>
            <w:gridSpan w:val="4"/>
          </w:tcPr>
          <w:p>
            <w:pPr>
              <w:spacing w:after="0"/>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Signatures</w:t>
              </w:r>
            </w:hyperlink>
          </w:p>
        </w:tc>
        <w:tc>
          <w:tcPr>
            <w:tcW w:w="176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117">
              <w:r>
                <w:rPr>
                  <w:rFonts w:ascii="Times New Roman" w:cs="Times New Roman" w:eastAsia="Times New Roman" w:hAnsi="Times New Roman"/>
                  <w:sz w:val="18"/>
                  <w:szCs w:val="18"/>
                  <w:u w:val="single" w:color="auto"/>
                  <w:color w:val="0000FF"/>
                </w:rPr>
                <w:t>116</w:t>
              </w:r>
            </w:hyperlink>
          </w:p>
        </w:tc>
      </w:tr>
      <w:tr>
        <w:trPr>
          <w:trHeight w:val="979"/>
        </w:trPr>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Unless otherwise specified, references to the “company,” “we,” “our,” “us” and “EZCORP” refer to EZCORP, Inc. and its consolidated subsidiaries, collectively. References to a “fiscal” year refer to our fiscal year ended September 30 of the specified year. For example, “fiscal 2020” refers to the fiscal year ended September 30, 2020. All currency amounts preceded with “$” are stated in U.S. dollars, except as otherwise indicated.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EZCORP, Inc. is a Delaware corporation headquartered in Austin, Texas. We are a leading provider of pawn loans in the United States and Latin America with over 1,000 locations and approximately 5,900 team members.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vision is to be our customers’ first and best choice for their short-term cash needs. This vision is supported by a customer-centric strategy that includes the following:</w:t>
      </w:r>
    </w:p>
    <w:p>
      <w:pPr>
        <w:spacing w:after="0" w:line="10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fast, easy and simple access to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our customers in a friendly and respectful way;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Always being competitive and fair;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Passionately solving customer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enduring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and rewarding customer loyalty.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2020, we operated a total of 1,005 locations, consisting of:</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 U.S. pawn stores (operating primarily as EZPAWN or Value Pawn &amp; Jewelry);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 Mexico pawn stores (operating primarily as Empeño Fácil);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pawn stores in Guatemala, El Salvador, Honduras and Peru (operating as GuatePrenda and MaxiEfectivo).</w:t>
      </w:r>
    </w:p>
    <w:p>
      <w:pPr>
        <w:spacing w:after="0" w:line="17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At our pawn stores, we offer non-recourse pawn loans collateralized by tangible personal property, and sell merchandise to customers looking for good value. The merchandise we sell primarily consists of second-hand collateral forfeited from our pawn lending activities or merchandise purchased from customers. By store count, we are the second largest pawn store owner and operator in the U.S. and one of the largest in Latin America. We also offer a web-based application called Lana that allows customers to manage their pawn loans in one place.</w:t>
      </w:r>
    </w:p>
    <w:p>
      <w:pPr>
        <w:spacing w:after="0" w:line="126"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8"/>
          <w:szCs w:val="18"/>
          <w:color w:val="auto"/>
        </w:rPr>
        <w:t>In addition to our core pawn business in the U.S. and Latin America, we own 34.75% of Cash Converters International Limited (“Cash Converters International”), a publicly traded company (ASX: CCV) headquartered in Perth, Western Australia. Cash Converters International and its controlled companies comprise a diverse group generating revenues from franchising, store operations, personal finance and vehicle finance, controlling over 700 stores across 16 countries.</w:t>
      </w:r>
    </w:p>
    <w:p>
      <w:pPr>
        <w:spacing w:after="0" w:line="1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own approximately 13% of Rich Data Corporation (RDC), a Singapore-based software-as-a-service company that utilizes global financial services expertise, advanced artificial intelligence and non-traditional data to deliver a next-generation credit scoring and decisioning platform.</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pawn services charges (“PSC”) on pawn loans outstanding (“PLO”), merchandise sales and jewelry scrapping. We remain focused on optimizing our balance of PLO and the resulting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88900</wp:posOffset>
            </wp:positionV>
            <wp:extent cx="5846445" cy="511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6445"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business globally and manage our business by geography. Our business is organized into the following reportable segments:</w:t>
      </w:r>
    </w:p>
    <w:p>
      <w:pPr>
        <w:spacing w:after="0" w:line="17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 which includes our EZPAWN, Value Pawn &amp; Jewelry and other branded pawn operations in the United States;</w:t>
      </w:r>
    </w:p>
    <w:p>
      <w:pPr>
        <w:spacing w:after="0" w:line="171"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 which includes our Empeño Fácil and other branded pawn operations in Mexico, as well as our GuatePrenda and MaxiEfectivo pawn operations in Guatemala, El Salvador, Honduras and Peru;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Lana, which is our customer-centric web-based engagement platform; and</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International, which includes the consumer finance activities in Canada that we closed in the fourth quarter and our equity interests in Cash Converters International and RDC.</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began reporting separate financial results for our Lana business in the first quarter of fiscal 2020, and our historical segment results have been recast to conform to current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store data by segment (excluding Lana, which has no separate physical store locations), included in our continuing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Company-owned Stores</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1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U.S. Pawn</w:t>
            </w:r>
          </w:p>
        </w:tc>
        <w:tc>
          <w:tcPr>
            <w:tcW w:w="136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Latin America</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International</w:t>
            </w:r>
          </w:p>
        </w:tc>
        <w:tc>
          <w:tcPr>
            <w:tcW w:w="12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Pawn</w:t>
            </w:r>
          </w:p>
        </w:tc>
        <w:tc>
          <w:tcPr>
            <w:tcW w:w="13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September 30, 2017</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locations opened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Locations acquired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Locations sold, combined or closed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 of September 30, 2018</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locations opened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Locations acquired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Locations sold, combined or closed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 of September 30, 2019</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locations opened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Locations acquired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Locations sold, combined or closed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September 30, 2020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segments and geographic areas, see Note 14 of Notes to Consolidated Financial Statements included in “Part II, Item 8 —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Pawn Activities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collateralized personal property and the perceived probability of the loans' redemption.</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2020, we had a closing pawn loan principal balance of $131.3 million, from which we earn pawn service charges. In fiscal 2020, pawn service charges accounted for approximately 33% of our total revenues and 61% of our net revenues.</w:t>
      </w:r>
    </w:p>
    <w:p>
      <w:pPr>
        <w:spacing w:after="0" w:line="10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U.S. pawn loans primarily earn 13% to 25% per month as permitted by applicable law, excluding forfeitures. The U.S. pawn loan term generally ranges between 30 and 90 days. While individual loans vary depending on the valuation of each item pawned, our U.S. pawn loans typically average between $100 and $120.</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Mexico, pawn loans earn 15% to 21% per month as permitted by applicable law, excluding forfeitures. The Mexico pawn loan primary term is 30 days. Individual loans are made in Mexican pesos and vary depending on the valuation of each item pawned. Mexico pawn loans typically average between 1,100 and 1,300 Mexican pesos, or approximately $50 to $60 on average using the average exchange rate for fiscal 2020.</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Guatemala, El Salvador, Honduras and Peru, pawn loans earn 12% to 18% per month as permitted by applicable law, excluding forfeitures. The pawn loan primary term in these countries is 30 days. Individual loans are made in the local currency of the country and vary depending on the valuation of each item pawned. Our pawn loans in these countries typically average between $100 and $120 using the average exchange rates for fiscal 2020. The average loan amounts tend to be higher in these countries than in Mexico due to the higher concentration of jewelry loans.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 customer chooses not to repay, renew or extend a pawn loan, the collateral is forfeited and becomes inventory available for sale. We do not record loan losses or charge-offs of pawn loans because the principal amount of an unpaid loan becomes the inventory carrying cost of the forfeited collateral. The difference between the subsequent sale of the forfeited collateral and the loan value is reflected in merchandise sales gross margin.</w:t>
      </w:r>
    </w:p>
    <w:p>
      <w:pPr>
        <w:spacing w:after="0" w:line="122"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redemption rate represents the percentage of loans made that are repaid, renewed or extended, including loans that may extend multiple times in a given time period. The following table presents our pawn loan redemption rates by segment:</w:t>
      </w:r>
    </w:p>
    <w:tbl>
      <w:tblPr>
        <w:tblLayout w:type="fixed"/>
        <w:tblInd w:w="0" w:type="dxa"/>
        <w:tblCellMar>
          <w:top w:w="0" w:type="dxa"/>
          <w:left w:w="0" w:type="dxa"/>
          <w:bottom w:w="0" w:type="dxa"/>
          <w:right w:w="0" w:type="dxa"/>
        </w:tblCellMar>
      </w:tblPr>
      <w:tr>
        <w:trPr>
          <w:trHeight w:val="194"/>
        </w:trPr>
        <w:tc>
          <w:tcPr>
            <w:tcW w:w="6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920" w:type="dxa"/>
            <w:vAlign w:val="bottom"/>
            <w:tcBorders>
              <w:bottom w:val="single" w:sz="8" w:color="auto"/>
            </w:tcBorders>
          </w:tcPr>
          <w:p>
            <w:pPr>
              <w:spacing w:after="0"/>
              <w:rPr>
                <w:sz w:val="16"/>
                <w:szCs w:val="16"/>
                <w:color w:val="auto"/>
              </w:rPr>
            </w:pPr>
          </w:p>
        </w:tc>
      </w:tr>
      <w:tr>
        <w:trPr>
          <w:trHeight w:val="189"/>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Redemption Rate</w:t>
            </w: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4"/>
        </w:trPr>
        <w:tc>
          <w:tcPr>
            <w:tcW w:w="6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Pawn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3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 Pawn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bl>
    <w:p>
      <w:pPr>
        <w:spacing w:after="0" w:line="2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and our ability to sell that merchandise in a timely manner. As a significant portion of our inventory and sales involve gold and jewelry, our results can be influenced by the market price of gold and diamonds.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Customers in the United States and the majority of our Latin America stores may purchase a product protection plan that allows them to exchange certain general merchandise (non-jewelry) sold through our retail pawn operations within six months of purchase. We also offer a jewelry VIP package, which guarantees customers a minimum future pawn loan amount on the item sold, allows them full credit if they trade in the item to purchase a more expensive piece of jewelry, and provides minor repair service on the item sold. Customers may also purchase an item on layaway by paying a minimum layaway deposit of typically 10% of the item’s sale price, in addition to an upfront fee. We hold items on layaway for a 90 to 180-day period, during which the customer is required to pay the balance of the sales price through a series of installment payments. If a payment is missed, we hold the item for a maximum of 30 days, after which it is returned to active inventory for sale.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Closure of CASHMAX</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operated 22 financial services stores in Canada under the CASHMAX brand during the fiscal year. All of the stores were located in the Ontario province, in and around Toronto. During the fourth quarter, as part of a review of our growth strategies and cost optimization initiatives, we closed our CASHMAX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Risk Management</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pawn operations are designed to provide the optimum level of support to the store teams, providing coaching, mentoring and problem solving to identify opportunities to better serve our customers and position us to be the leader in customer service and satisfaction.</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risk management structure consists of asset protection, compliance and internal audit departments, which monitor the inventory system, lending practices, regulatory compliance and compliance with our policies and procedures. We perform full physical audits of inventory at each store at least annually, and more often in higher risk stores or those experiencing higher shrinkage. Inventory counts are completed daily for jewelry and firearms, and other inventory categories more susceptible to theft are cycle counted multiple times annually. We record shrink adjustments for known losses at the conclusion of each inventory count. These adjustments are recorded as estimates during interim periods and as discovered during cycle counts.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employ 5,900 Team Members in the U.S., Mexico, Guatemala, El Salvador, Honduras, Peru and Canada, all of whom are expected to be guided by our vision and values and by an underlying set of ethical principles. Incorporated into our Code of Conduct, our vision, values and principles define our culture and strengthen the workforce. We strive to demonstrate to our customers, shareholders, business partners, communities and Team Members that we are worthy of their trust and continually strive to enhance and differentiate our brand reputation as the best in our industry. Globally, we invest in Team Members at all levels who are expected to integrate our vision and values in all that we do.</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the People and Compensation Committee of the Board of Directors has the primary responsibility of overseeing our human capital management activities (including assessing the effectiveness of employee programs and advising management with regard to the quality of the workforce to carry out our strategic goals and overall human resource strategies), other Board committees also have responsibilities that impact our human capital management as outlined in their respective Charters. Within management, our Human Resources function has global management responsibility for advising and assisting the business on human resource matters and executing our overall human capital management strategies.</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committed to fostering work environments that value diversity and inclusion. This commitment includes providing equal access to, and participation in, equal employment opportunities, programs and services without regard to race, creed, religion, color, national origin, disability, sex (including pregnancy), sexual orientation, gender identity, veteran status, age or stereotypes or assumptions based thereon. We welcome and celebrate our Team Members’ differences, experiences and beliefs, and we are investing in a more productive, engaged, diverse and inclusive workforce.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fiscal 2020, we appointed a Senior Manager of Diversity and Inclusion, who is responsible for strategic management and planning for diversity and inclusion within the Company, as well as enhancing our understanding, providing training and development, and partnering with and assisting all of us to be accountable. During the year, our new Diversity and Inclusion function drove a number of initiatives to enhance our focus on diversity and inclusion and raise our awareness, including mandatory compliance training on unconscious bias, introduction of the Diversity Word of the Month (a recurring program to raise awareness and promote constructive conversations about various diversity and inclusion issues), and conducting a series of surveys and group feedback sessions, the results of which are shared with senior management and help guide our ongoing Diversity and Inclusion activities.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strive to engage and retain our Team Members throughout the employment life-cycle with effective recruiting and onboarding; competitive pay, benefits and other total rewards; mandatory and optional programs for professional development and career advancement; compliance training; succession planning; and a safe, healthy and respectful workplace. Our EZCORP University includes mandatory global compliance training at hire and periodically thereafter, career advancement training requirements and thousands of self-directed developmental courses.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quickly implemented safety and health standards and protocols for our Team Members while continuing to offer a safe environment as an essential service to our customers. Team Members in our Corporate Support Centers have been working from home since March. Our pawn locations are provided with PPE, other equipment and enhanced cleaning supplies, and are required to adhere to appropriate protocols for social distancing, limiting density, taking temperatures, reporting and documenting exposures and wearing masks at all times, all as recommended by the Centers for Disease Control or mandated by local regulations.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maintain an Ethics Hotline that is available to all of our Team Members to report (anonymously if desired) any matter of concern. Communications to the hotline (which is facilitated by an independent third party) are routed to appropriate functions (whether Human Resources, Legal or Compliance) for investigation and resolution. In addition, any shareholder or other interested party may send communications to the Board of Directors, either individually or as a group, through a process that is outlined in the Investor Relations section of our website.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Expansion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fiscal 2020, we continued our expansion in Latin America with the opening of 23 de novo stores (14 in Mexico, 7 in Guatemala, 1 in Honduras and 1 in Peru). We now own a total of 500 stores in Latin America, representing 50% of our total pawn stores. In fiscal 2020, these stores represented 19% of our consolidated net revenues as the average scale of Latin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America pawn stores is smaller than in the U.S. We see opportunity for further expansion in Latin America through both acquisitions and de novo openings.</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For further information about our acquisitions, see Note 3 of Notes to Consolidated Financial Statements included in “Part II, Item 8 —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United States, pawn service charges are historically highest in our fourth fiscal quarter (July through September) due to a higher average loan balance during the summer lending season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 These historical trends have been impacted by COVID-19, but we expect them to return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the primary elements of competition are the quality of customer service and relationship management, including understanding our customers’ needs better than anyone else, convenience, store location and a customer-friendly environment. In addition, we believe the ability to compete effectively will be based increasingly on strong general management, regional focus, automated management information systems, access to capital and superior customer service.</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coupled with exceptional customer service and convenient locations.</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pawn industry in the United States is large, relatively mature and highly fragmented. The industry consists of a few large operators (of which we are the second largest) and then independent operators who primarily own one to three locations.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pawn industry in Latin America is also fragmented, but less so than in the United States. The industry consists of pawn stores owned by independent operators and chains, including some not-for-profit organizations. We are the second largest for-profit operator in Mexico. The pawn industry, particularly full-line stores offering general merchandise and jewelry loans and resale, remains in an expansion stage in Latin America.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operate our U.S. pawn stores principally under the names “EZPAWN” or “Value Pawn &amp; Jewelry,” our Mexico pawn stores principally under the name “EMPEÑO FÁCIL,” our Guatemala pawn stores under the name “GuatePrenda,” and our El Salvador, Honduras and Peru pawn stores under the name “MaxiEfectivo.” We have registered the names EZPAWN and EZCORP, among others, with the United States Patent and Trademark Office. In Mexico, we have registered the names “EMPEÑO FÁCIL,” “Bazareño,” “Presta Dinero” and “Montepio San Patricio” with the Instituto Mexicano de la Propiedad Industrial. We have registered the name “GuatePrenda” in Guatemala and the name “MaxiEfectivo” in Guatemala, El Salvador, Honduras and Peru.</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Regulations</w:t>
      </w:r>
    </w:p>
    <w:p>
      <w:pPr>
        <w:spacing w:after="0" w:line="171"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Pawn Regulations — </w:t>
      </w:r>
      <w:r>
        <w:rPr>
          <w:rFonts w:ascii="Times New Roman" w:cs="Times New Roman" w:eastAsia="Times New Roman" w:hAnsi="Times New Roman"/>
          <w:sz w:val="18"/>
          <w:szCs w:val="18"/>
          <w:color w:val="auto"/>
        </w:rPr>
        <w:t>Our pawn stores are regulated by the states in which they are located and, in some cases, by individual municipalities or other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The applicable statutes, ordinances and regulations vary from location to location and typically impose licensing requirements for pawn stores or individual pawn store team members. Licensing requirements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majority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Regulations — </w:t>
      </w:r>
      <w:r>
        <w:rPr>
          <w:rFonts w:ascii="Times New Roman" w:cs="Times New Roman" w:eastAsia="Times New Roman" w:hAnsi="Times New Roman"/>
          <w:sz w:val="18"/>
          <w:szCs w:val="18"/>
          <w:color w:val="auto"/>
        </w:rPr>
        <w:t>Our pawn lending activities are subject to other state and federal statutes and regulations, including the following:</w:t>
      </w:r>
    </w:p>
    <w:p>
      <w:pPr>
        <w:spacing w:after="0" w:line="173" w:lineRule="exact"/>
        <w:rPr>
          <w:sz w:val="20"/>
          <w:szCs w:val="20"/>
          <w:color w:val="auto"/>
        </w:rPr>
      </w:pPr>
    </w:p>
    <w:p>
      <w:pPr>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Team Member training) that address and aid in detecting and responding to suspicious activity or identity theft “red flags.”</w:t>
      </w:r>
    </w:p>
    <w:p>
      <w:pPr>
        <w:spacing w:after="0" w:line="1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provider of consumer financial products, we are prohibited from engaging in any unfair, deceptive or abusive act or practice (UDAAP) under the Dodd-Frank Act, as they can cause significant financial injury to consumers, erode consumer confidence and undermine the financial marketplace.</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prohibits discrimination on the basis of race, color, religion, national origin, sex, marital status, age, receipt of public assistance or good faith exercise of any rights under the Consumer Credit Protection Act.</w:t>
      </w:r>
    </w:p>
    <w:p>
      <w:pPr>
        <w:spacing w:after="0" w:line="10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USA PATRIOT Act, we must maintain an anti-money laundering compliance program that includes the development of internal policies, procedures and controls; the designation of a compliance officer; an ongoing team member training program; and an independent audit function to test the program.</w:t>
      </w:r>
    </w:p>
    <w:p>
      <w:pPr>
        <w:spacing w:after="0" w:line="121"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Bank Secrecy Act and its underlying regulations, which require us to report and maintain records of certain high-dollar transactions. In addition, federal laws and regulations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spacing w:after="0" w:line="129"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Foreign Assets Control (“OFAC”) of the Department of the Treasury administers and enforces economic and trade sanctions based on U.S. foreign policy and national security goals against targeted foreign countries and regimes, terrorists, international narcotics traffickers, those engaged in activities related to the proliferation of weapons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400"/>
        <w:spacing w:after="0" w:line="266" w:lineRule="auto"/>
        <w:rPr>
          <w:sz w:val="20"/>
          <w:szCs w:val="20"/>
          <w:color w:val="auto"/>
        </w:rPr>
      </w:pPr>
      <w:r>
        <w:rPr>
          <w:rFonts w:ascii="Times New Roman" w:cs="Times New Roman" w:eastAsia="Times New Roman" w:hAnsi="Times New Roman"/>
          <w:sz w:val="18"/>
          <w:szCs w:val="18"/>
          <w:color w:val="auto"/>
        </w:rPr>
        <w:t>of mass destruction and other threats to the national security, foreign policy or economy of the United States. We are prohibited from doing business with named individuals, businesses and countries subject to sanctions and restrictions, and we are required to report any transactions involving those named by the US. Department of the Treasury.</w:t>
      </w:r>
    </w:p>
    <w:p>
      <w:pPr>
        <w:spacing w:after="0" w:line="122" w:lineRule="exact"/>
        <w:rPr>
          <w:sz w:val="20"/>
          <w:szCs w:val="20"/>
          <w:color w:val="auto"/>
        </w:rPr>
      </w:pPr>
    </w:p>
    <w:p>
      <w:pPr>
        <w:ind w:left="660" w:right="2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makes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of Defense regulations promulgated under the Military Lending Act (the “MLA”) limit the annual percentage rate charged on certain consumer loans (including pawn loans) made to active military personnel or their dependents to 36%.</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certain circumstances, the federal Consumer Financial Protection Bureau (“CFPB”) may be able to exercise regulatory authority over the U.S. pawn industry through its rule making authority. To date, the CFPB has not taken any steps to exercise such authority or indicated any intention to do so.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Regulations</w:t>
      </w:r>
    </w:p>
    <w:p>
      <w:pPr>
        <w:spacing w:after="0" w:line="17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Pawn Regulations </w:t>
      </w:r>
      <w:r>
        <w:rPr>
          <w:rFonts w:ascii="Times New Roman" w:cs="Times New Roman" w:eastAsia="Times New Roman" w:hAnsi="Times New Roman"/>
          <w:sz w:val="18"/>
          <w:szCs w:val="18"/>
          <w:color w:val="auto"/>
        </w:rPr>
        <w:t>— Federal law in Mexico provides for administrative regulation of the pawnshop industry by Procuraduría Federal del Consumidor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PROFECO requires that we report certain transactions (or series of transactions) that exceed certain monetary limits.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Federal Law on the Protection of Personal Data Held by Private Parties requires us to protect our customers’ personal information. This law requires us to inform customers if we share customer personal information with third parties and to post (both online and in-store) our Data Privacy Policy.</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pawn business in Mexico is also subject to regulation at the state and local level through state laws and local zoning and permitting ordinances. For example, some states require permits for pawn stores to operate, certification of team members as 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24"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Regulations </w:t>
      </w:r>
      <w:r>
        <w:rPr>
          <w:rFonts w:ascii="Times New Roman" w:cs="Times New Roman" w:eastAsia="Times New Roman" w:hAnsi="Times New Roman"/>
          <w:sz w:val="18"/>
          <w:szCs w:val="18"/>
          <w:color w:val="auto"/>
        </w:rPr>
        <w:t>— Our pawn business in Mexico is subject to the General Law of Administrative Responsibility (“GLAR”), effective July 2017. GLAR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establishes administrative penalties for improper payments to government officials, influence peddling (including the hiring of public officials and the use of undue influence) and other corrupt acts in public procurement processes.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subject to The Federal Law for the Prevention and Identification of Transactions with Funds from Illegal Sources, which requires reporting of certain transactions exceeding certain monetary limits, maintenance of customer identification records and controls, and reporting of all non-Mexican customer transactions. This law affects all industries in Mexico and is intended to detect commercial activities arising from illicit or ill-gotten means through bilateral cooperation between Mexico’s Ministry of Finance and Public Credit and Mexico’s Attorney General’s Office. The law also restricts the use of cash in certain transactions associated with high-value assets and limits, and to the extent possible, money laundering activities protected by the anonymity that such cash transactions provide. Relevant aspects of the law specifically affecting the pawn industry include monthly reporting on “vulnerable activities,” which include pawn transactions exceeding 139,442 Mexican pesos and retail transactions of precious metals exceeding 139,442 Mexican pesos. Retail transactions of precious metals in cash exceeding 271,213 Mexican pesos are prohibited. There are significant fines and sanctions for failure to comply with these rules.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to the above, our pawn business in Mexico is subject to various general business regulations in the areas of tax compliance, customs, consumer protections, money laundering, civil protection regulations, municipal regulations, trade code (federal), public safety and employment matters, among others, by various federal, state and local governmental agencies.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Latin American Regulations</w:t>
      </w:r>
    </w:p>
    <w:p>
      <w:pPr>
        <w:spacing w:after="0" w:line="1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Local governmental entities in Guatemala, El Salvador, Honduras and Peru also regulate lending and retail businesses. Certain laws and local zoning and permitting ordinances require basic commercial business licenses and signage permits. Operating in these countries also subjects us to other types of regulations, including regulations related to financial reporting, data protection and privacy, tax compliance, labor and employment practices, real estate transactions, anti-money laundering, commercial and electronic banking restrictions, credit card transactions, usury law, consumer protection, marketing, advertising and other general business activities. As the scope of our international operations increases, we may face additional administrative and regulatory costs in managing our business. In addition, unexpected changes in laws and regulations, administrative interpretations of local requirements or legislation, or public remarks by elected officials could negatively affect our operations and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and other documents with the Securities and Exchange Commission (“SEC”) under the Securities Exchange Act of 1934, as amended (the “Exchange Act”). The SEC maintains an Internet website that contains reports and other information regarding issuers that file electronically with the SEC. The public can obtain any documents that we file with the SEC at www.sec.gov.</w:t>
      </w:r>
    </w:p>
    <w:p>
      <w:pPr>
        <w:spacing w:after="0" w:line="122"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maintain a website at www.ezcorp.com. Our filings with the SEC, including our Annual Reports on Form 10-K, quarterly reports on Form 10-Q, current reports on Form 8-K and Section 16 filings, are available free of charge through links maintained on our website under the heading “Investor Relations — SEC Filings.” Information contained on our website is not incorporated by reference into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Specific Risks</w:t>
      </w:r>
    </w:p>
    <w:p>
      <w:pPr>
        <w:spacing w:after="0" w:line="171"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current COVID-19 pandemic, we incurred operating losses in the fourth quarter of fiscal 2020 and expect those operating losses to continue into fiscal 2021.</w:t>
      </w:r>
    </w:p>
    <w:p>
      <w:pPr>
        <w:spacing w:after="0" w:line="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outbreak of COVID-19 began affecting our operations in March 2020. Governmental fiscal stimulus response, stay-at-home orders and business restrictions, health agency guidance regarding social distancing and public perceptions of the risks associated with the COVID-19 pandemic have resulted in a reduction in the demand for pawn loans with a resulting significant decline in pawn loan balances. See “Part II, Item 7 — Management’s Discussion and Analysis of Results of Operations and Financial Condition — Impact of COVID-19.” The decline in pawn loan balances negatively impacted our financial performance during the third and fourth quarters of fiscal 2020. We expect the impact of the pandemic, and the recovery therefrom, will continue to adversely affect our net revenues and earnings in fiscal 2021. A prolonged pandemic and recovery may impact our financial condition, results of operations and liquidity in future periods. The extent of the impact is dependent upon a number of factors, including the longevity and severity of the pandemic, the pace of business reopenings and rebound, the impact of government responses and the degree to which customer behaviors return to historical norms.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sustain focus on internal controls could adversely affect our business, results of operations and financial condition.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described in "Part II, Item 9A — Controls and Procedures," we identified and evaluated certain deficiencies in our IT general controls in the second quarter of fiscal 2019, and concluded those deficiencies, collectively, represented a material weakness in our internal control over financial reporting. During the fourth quarter of fiscal 2020, we completed our efforts to remediate the underlying deficiencies, and have concluded that our disclosure controls and procedures and our internal control over financial reporting are effective as of September 30, 2020. If we do not sustain our focus on internal controls, our consolidated financial statements may contain material misstatements and we could be required to restate our financial results,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which could materially and adversely affect our business, results of operations and financial condition, restrict our ability to access the capital markets, require us to expend significant resources to correct the deficiencies, subject us to fines, penalties or judgments, harm our reputation or otherwise cause a decline in investor confidence and the market value of our publicly traded Class A Non-Voting Common Stock (“Class A Common Stock”).</w:t>
      </w:r>
    </w:p>
    <w:p>
      <w:pPr>
        <w:spacing w:after="0" w:line="11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failure to comply with, laws and regulations affecting our products and services could have a material adverse effect on our operations and financial performance.</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products and services are subject to regulation under various laws and regulations in each country and jurisdiction in which we operate (see “Part I, Item 1 — Business — Regulation”), and adverse legislation or regulations could be adopted in any such country or jurisdiction.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 Further, our failure to comply with applicable laws and regulations could result in fines, penalties or orders to cease or suspend operations, which could have a material adverse effect on our results of operations.</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characterizations of the pawn industry by consumer advocates, media or others could result in increased legislative or regulatory activity, could adversely affect the market value of our publicly traded stock, or could make it harder to operate our business successfully.</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the legislative and regulatory efforts that are adverse to the pawn industry are the result of negative characterization of the pawn industry by consumer advocacy groups, members of the media or others that focus on the cost of pawn loans or instances of pawn operators purchasing stolen property or accepting it as pawn collateral. We can give no assurance that there will not be further negative characterizations of our industry or that legislative or regulatory efforts to restrict the availability of pawn loans or otherwise regulate pawn operations will not be successful despite significant customer demand for such services. Such efforts, if successful, could have a material adverse effect on our operations or financial performance.</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negative characterizations of our industry could limit the number of investors who are willing to hold our Class A Common Stock, which may adversely affect its market value; limit sources of the debt or equity financing that we need in order to conduct our operations and achieve our strategic growth objectives; or make it harder for us to attract, hire and retain talented executives and other key team members.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U.S. business is concentrated in Texas and Florida.</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September 30, 2020, more than 60% of our U.S. pawn stores were located in Texas (43%) and Florida (19%), and those stores account for a significant portion of our revenues and profitability. The legislative, regulatory and general business environment in Texas and Florida has been relatively favorable for our pawn business activities, but a negative legislative or regulatory change in either of those states could have a material adverse effect on our overall operations and financial performance. Further, as discussed below, areas in Texas and Florida where we have significant operations are particularly susceptible to hurricane and tropical storm activity.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or sudden decrease in gold values or the volume of gold transactions may have a material impact on our earnings and financial position.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The impact on our financial position and results of operations of decreases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pawn loan balances and pawn service charges.</w:t>
      </w:r>
    </w:p>
    <w:p>
      <w:pPr>
        <w:spacing w:after="0" w:line="1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sales, pawn loan balances, sales margins and pawn redemption rates could have a material adverse impact on our operating results.</w:t>
      </w:r>
    </w:p>
    <w:p>
      <w:pPr>
        <w:spacing w:after="0" w:line="10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Achievement of our growth objectives is dependent upon our ability to open and acquire new stores.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future results of operations and future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of a digital platform, and the commercialization of that platform, may not be successful.</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have invested in the design and development of a digital platform to enhance our relationships with customers and provide them access to a broader range of financial products and services. There can be no assurance that our efforts to develop and launch such a digital platform will be successful or that the platform will be accepted by existing customers or attract new customers. Consequently, we may not realize the expected return on our investment.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have limited indemnity obligations to AlphaCredit for pre-closing taxes.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related to the sale of our 94%-owned subsidiary, Prestaciones Finmart, S.A.P.I. de C.V., SOFOM, E.N.R. ("Grupo Finmart") to Alpha Holding, S.A. de C.V. ( “AlphaCredit”) in September 2016, we remain obligated to indemnify AlphaCredit for any “pre-closing taxes” (i.e., tax obligations arising from the Grupo Finmart business that are attributable to periods prior to the completion of the sale in September 2016). Those obligations continue until the expiration of the statute of limitations applicable to the pre-closing periods. In August 2019, AlphaCredit notified us of a potential indemnity claim for certain pre-closing taxes, but the nature, extent and validity of such claim has yet to be determined. The last two payments from AlphaCredit totaling $8.0 million have been placed into escrow pending resolution of the potential indemnity claim.</w:t>
      </w:r>
    </w:p>
    <w:p>
      <w:pPr>
        <w:spacing w:after="0" w:line="1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person beneficially owns all of our voting stock and generally controls the outcome of all matters requiring a vote of stockholders, which may influence the value of our publicly traded non-voting stock.</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Phillip E. Cohen is the beneficial owner of all our Class B Voting Common Stock, and all our publicly traded stock is non-voting stock. Consequently, stockholders other than Mr. Cohen have no vote with respect to the election of directors or any other matter requiring a vote of stockholders except in limited circumstances as required by law. Further, our Bylaws currently provide that the voting stockholder may appoint or remove officers or take any other action that the Board of Directors may take with respect to officers under the Bylaws. The lack of voting rights may adversely affect the market value of our publicly traded Class A Common Stock.</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2019, Mr. Cohen joined the Board of Directors and was appointed Executive Chairman. As a member of the Board, Mr. Cohen is entitled to vote on all matters requiring approval of the Board. Our Bylaws currently provide that the presence of all directors shall constitute a quorum for the transaction of business, and that any act of the Board of Directors requires a unanimous approval of all directors. Consequently, Mr. Cohen, as is the case with each of the other directors, has the ability to block actions of the Board. Mr. Cohen has agreed that, as a member of the Board of Directors, he will not participate in any Board vote regarding his position as Executive Chairman.</w:t>
      </w:r>
    </w:p>
    <w:p>
      <w:pPr>
        <w:spacing w:after="0" w:line="12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firearms business in the U.S., which exposes us to increased risks of regulatory fines and penalties, lawsuits and related liabilities.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discussed under “Part I, Item 1 — Business — Regulation — U.S. Regulations — Pawn Regulations,” some of our stores in the U.S. conduct pawn and retail transactions involving firearms, which may be associated with an increased risk of injury and related lawsuits. We may be subject to lawsuits relating to the improper use of firearms that we sell, including actions by persons attempting to recover damages from firearms retailers relating to misuse of firearms. We may also incur fines, penalties or liabilities, or have our federal firearms licenses revoked or suspended, if we fail to properly perform required background checks for, and otherwise record and report, firearms transactions. Any such actions could have a material adverse effect on our business, prospects, results of operations, financial condition and reputation.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Team Member and third-party robberies, burglaries and other crimes at the store level.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nature of our business requires us to maintain significant cash on hand, loan collateral and inventories in our stores. Consequently, we are subject to loss of cash or merchandise as a result of robberies, burglaries, thefts, riots, looting and other criminal activity in our stores. Further, we could be subject to liability to customers or other third parties as a result of such activities. While we maintain asset protection and monitoring programs to mitigate these risks, as well as insurance programs to</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protect against catastrophic loss or exposure, there can be no assurance that these crimes will not occur or that such losses will not have an adverse effect on our business or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competition from various sources could have a material adverse impact on our ability to achieve our plans.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encounter significant competition from other pawn stores, consumer lending companies, other retailers, online retailers and auction sites, many of which have significantly greater financial resources than we do. Increases in the number or size of competitors or other changes in competitive influences, such as aggressive marketing and pricing practices, could adversely affect our operations. In Mexico, we compete directly with certain pawn stores owned and operated by government affiliated or sponsored non-profit foundations, and the government could take actions that would harm our ability to compete in that market.</w:t>
      </w:r>
    </w:p>
    <w:p>
      <w:pPr>
        <w:spacing w:after="0" w:line="12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profitability and growth plans are dependent on our ability to successfully design or acquire, deploy and maintain information technology and other business systems to support our current business and our planned growth and expansion.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the efficiency and reliability of our information technology and business systems and related controls, including the point-of-sale system utilized in our store locations. If access to our technology infrastructure is impaired (as may occur with a computer virus, a cyber-attack or other intentional disruption by a third party, natural disaster, telecommunications system failure, electrical system failure or lost connectivity), or if there are flaws in the design or roll-out of new or refreshed technology systems (such as our point-of-sale system), we may be unable to process transactions or otherwise carry on our business in a timely and efficient manner. An infrastructure disruption could damage our reputation and cause us to lose customers and revenue. We consider security risks from multiple viewpoints, including physical security as well as security of infrastructure and databases. As our technology infrastructure continues to evolve from on premise to cloud service providers, we continue to assess the security of such infrastructure, including third party service providers.</w:t>
      </w:r>
    </w:p>
    <w:p>
      <w:pPr>
        <w:spacing w:after="0" w:line="13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invested in Cash Converters International Limited for strategic reasons. We may be required in future periods to impair our investment and recognize related investment losses, as we have done in the past, and we may not realize a positive return on the investment.</w:t>
      </w:r>
    </w:p>
    <w:p>
      <w:pPr>
        <w:spacing w:after="0" w:line="10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We currently own 34.75% of the outstanding ordinary shares of Cash Converters International, which is a publicly traded company based in Australia. We made the initial investment in November 2009 and have made incremental investments periodically since then. The success of this strategic investment is dependent on a variety of factors, including Cash Converters International’s business performance and the market’s assessment of that performance. We have recorded a number of impairments to the carrying value of our investment in Cash Converters International in the past. After an analysis of Cash Converters International’s stock price performance and other factors, we determined that the fair value of our investment in Cash Converters International at September 30, 2020 was greater than its carrying value. Accordingly, we did not record an impairment at that date. See Note 5 of Notes to Consolidated Financial Statements included in “Part II, Item 8 - Financial Statements and Supplemental Data.” If the fair value of our investment declines and we determine that such decline is other-than-temporary, we may be required to further impair our investment and recognize the related investment loss, which would adversely affect our results of operations and financial position in the period of impairment. Furthermore, there can be no assurance that we will be able to dispose of some or all of our investment in Cash Converters International on favorable terms, should we decide to do so in the future.</w:t>
      </w:r>
    </w:p>
    <w:p>
      <w:pPr>
        <w:spacing w:after="0" w:line="11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recover our investment in RDC is heavily dependent on RDC's success and performance, including its ability to obtain further debt or equity financing.</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an investment in Rich Data Corporation (“RDC”), a previously consolidated variable interest entity. See Note 6 of Notes to Consolidated Financial Statements included in “Part II, Item 8 — Financial Statements and Supplemental Data.” Our ability to recover our investment in RDC is heavily dependent on RDC's success and performance, potentially including its ability to obtain further debt or equity financing. To the extent that RDC is not successful, we may be required in future periods to impair our investment and recognize related investment losses.</w:t>
      </w:r>
    </w:p>
    <w:p>
      <w:pPr>
        <w:spacing w:after="0" w:line="12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property, casualty or other losses, including losses related to natural disasters such as hurricanes, earthquakes and volcanoes. Not all such losses will be covered by insurance.</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significant operations located in areas that are susceptible to hurricanes (notably the Atlantic and Gulf Coast regions of Florida, the Gulf Coast regions of Texas including Houston, as well as Mexico and Central America). Certain areas of our operations are also susceptible to other types of natural disasters such as earthquakes, volcanoes and tornadoes. As noted above, not all physical damage that we incur as a result of any such natural disaster will be covered by insurance due to policy deductibles and risk retentions. In addition, natural disasters could have a significant negative impact on our business beyond physical damage to property, including a reduction of our loan portfolio, inventory, pawn service charges and merchandise sales. Only limited portions, if any, of those negative impacts will be covered by applicable business interruption insurance policies. As a result, geographically isolated natural disasters could have a material adverse effect on our overall operations and financial performance.</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carrying value of our goodwill was $257.6 million, or approximately 22% of our total assets, as of September 30, 2020. In accordance with Financial Accounting Standards Board Accounting Standards Codification 350-20-35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reporting unit (discounted using a market participant perspective) to determine the fair value of each reporting unit, which is then compared to the carrying value of the reporting unit to determine if an impairment exists.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w:t>
      </w:r>
    </w:p>
    <w:p>
      <w:pPr>
        <w:spacing w:after="0" w:line="13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During the second quarter of fiscal 2020, there was an indicator of impairment due to a decline in our market capitalization. We performed a quantitative analysis as of March 31, 2020 utilizing the income approach. As a result of our quantitative analysis, we determined the fair value of each of our reporting units was below its carrying value because of the impact of COVID-19, including a significant decline in pawn loan balances due to changes in typical customer behavior and mandated store closures in our GPMX countries. These factors impacted the forecast of future net revenues and earnings and resulted in lower present value of future cash flows. This led to a goodwill impairment charge of $41.3 million in the second quarter of fiscal 2020. These impairments were recorded under "Impairment of goodwill, intangible and other assets" in the Consolidated Statements of Operations</w:t>
      </w:r>
    </w:p>
    <w:p>
      <w:pPr>
        <w:spacing w:after="0" w:line="21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See Note 1 and Note 8 of Notes to Consolidated Financial Statements included in “Part II, Item 8 — Financial Statements and Supplementary Data” for a discussion of our annual impairment tests performed for goodwill and indefinite-lived intangible assets during fiscal 2020. We remain confident in our businesses, as all business units were performing well prior to the impact of COVID-19.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conversion feature of our convertible notes, if triggered, may adversely affect our financial condition and operating results.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outstanding a total of $316.3 million of convertible notes. See Note 9 of Note to Consolidated Financial Statements included in “Part II, Item 8 — Financial Statements and Supplementary Data.” If the conversion feature of any of those convertible notes is triggered, holders will be entitled to convert the notes at their option at any time during specified periods. If one or more holders elect to convert their notes, we may be required, or may choose, to settle the obligation through the payment of cash, which could adversely affect our liquidity. In addition, even if holders do not elect to convert their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our convertible notes into stock may dilute the ownership interests of existing stockholders or may otherwise depress the price of our Class A Common Stock.</w:t>
      </w:r>
    </w:p>
    <w:p>
      <w:pPr>
        <w:spacing w:after="0" w:line="10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it were to occur, the conversion of convertible notes would dilute the ownership interests of existing stockholders to the extent we deliver shares of Class A Common Stock upon conversion. Any sales in the public market of such shares could adversely affect prevailing market prices of our Class A Common Stock. In addition, the existence of the convertible notes may encourage short selling by market participants because the conversion of such notes could be used to satisfy short positions, 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conversion of the notes into shares of our Class A Common Stock could depress the price of our Class A Common Stock.</w:t>
      </w:r>
    </w:p>
    <w:p>
      <w:pPr>
        <w:spacing w:after="0" w:line="16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unreserved shares available for future issuance, which may limit our ability to conduct future financings and other transactions and our ability to offer equity awards to management.</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authorizes us to issue up to 100 million shares of Class A Common Stock. Taking into consideration the shares that are issued and outstanding, as well as the shares that have been reserved for issuance pursuant to convertible notes, warrants and outstanding equity incentive compensation awards and the conversion of the Class B Common Stock, we had approximately 10.4 million shares of authorized Class A Common Stock available for other uses as of September 30, 2020. Therefore, our ability to issue shares of Class A Common Stock (other than pursuant to the existing reserved-for commitments), or securities or instruments that are convertible into or exchangeable for shares of Class A Common Stock, may be limited until such time that additional authorized, unissued and unreserved shares become available or unless we determine that we are unlikely to issue all of the shares that are currently reserved. During this time, for example, our ability to complete equity or equity-linked financings or other transactions (including strategic acquisitions) that involve the issuance or potential issuance of Class A Common Stock may be limited. Further, our ability to offer equity-based compensation to our management team may also be limited, which could adversely affect our ability to align management’s incentives with stockholders or attract and retain key management personnel.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issues could adversely affect our financial condition, results of operations or liquidity.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business may be impacted by public health issues, including other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operations in Latin America, and changes in the business, regulatory, political or social climate could impact our operations there, which could adversely affect our results of operations and growth plans.</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own and operate a significant number of pawn stores in Latin America (primarily Mexico, but also Guatemala, El Salvador, Honduras and Peru). Further, our growth plans include potential expansion in some of those countries as well as potentially other countries in Latin America. Doing business in those countries exposes us to risks related to political instability, corruption, economic volatility, drug cartel and gang-related violence, social unrest including riots and looting, tax and foreign investment policies, public safety and security concerns, and uncertain application of laws and regulations. Consequently, actions or events in any of those countries that are beyond our control could restrict our ability to operate there or otherwise adversely affect the profitability of those operations. Furthermore, changes in the business, regulatory or political climate in any of those countries, or significant fluctuations in currency exchange rates, could affect our ability to expand or continue our operations there, which could have a material adverse impact on our prospects, results of operations and cash flows. For a description of the current regulatory environment in the Latin American countries in which we operate, see “Mexico Regulations” and “Other Latin America Regulations” under “Part I, Item 1 — Business — Regulation.”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change in foreign currency exchange rates could have a material adverse impact on our earnings and financial position.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foreign operations in Latin America (Mexico, Guatemala, Honduras, El Salvador and Peru) and an equity investment in Australia. Our assets and investments in, and earnings and dividends from each of these countries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regulatory proceedings could have a material adverse impact on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currently subject to various litigation and regulatory actions, and additional actions could arise in the future. Potential actions range from claims and assertions arising in the ordinary course of business (such as contract, customer or employment disputes) to more significant corporate-level matters or shareholder litigation. All of these matters are subject to inherent uncertainties, and unfavorable rulings could occur, which could include monetary damages, fines and penalties or other relief. Any unfavorable ruling or outcome could have a material adverse effect on our results of operations or could negatively affect our reputation.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our certificate of incorporation, we are generally obligated to indemnify our directors and officers for costs and liabilities they incur in their capacity as directors or officers of the Company. Consequently, if a proceeding names or involves any of our directors or officers, then (subject to certain exceptions) we are generally obligated to pay or reimburse the cost or liability such director or officer incurs as a result of such proceeding (including defense costs, judgments and amounts paid in settlement). We maintain management liability insurance that protects us from much of this potential indemnification exposure, as well as potential costs or liabilities that may be directly incurred by the Company in some cases. However, our insurance coverage is subject to deductibles and there may be elements of the costs or liabilities that are not covered under the insurance policies. In addition, to the extent that our ultimate liability in any such proceeding (or any combination of proceedings that are included in the same policy year) exceeds the management liability policy limits, our results of operations and financial condition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acquisitions, investments and other transactions could disrupt our ongoing business and harm our results of operations.</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and there are inherent risks in integrating and operating any acquired business. These factors could harm our business and results of operations.</w:t>
      </w:r>
    </w:p>
    <w:p>
      <w:pPr>
        <w:spacing w:after="0" w:line="131"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applicable anti-bribery, anti-corruption, anti-money laundering and other general business laws and regulations, and any determination that we violated these laws or regulations could have a material adverse effect on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various anti-bribery and anti-corruption laws that prohibit improper payments or offers of payments to foreign governments and their officials for the purpose of obtaining or retaining business, including the Foreign Corrupt Practices Act in the U.S. and the General Law of Administrative Responsibility in Mexico. We are also subject to various laws and regulations designed to prevent money laundering or the financial support of terrorism or other illegal activity, including the USA PATRIOT Act and the Bank Secrecy Act in the U.S. and The Federal Law for the Prevention and Identification of Transactions with Funds From Illegal Sources in Mexico. See “Part I, Item 1 — Business — Regulation.” Further, our business is expanding in countries and regions that are less developed and are generally recognized as potentially more corrupt business and political environments.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we maintain controls and policies to ensure compliance with applicable laws and regulations, these controls and policies may prove to be less than effective. If team members, agents or other persons for whose conduct we are held responsible violate our policies, we may be subject to severe criminal or civil sanctions and penalties, and we may be subject to other liabilities that could have a material adverse effect on our business, results of operations and financial condition.</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liquidity and capital requirements or in access to capital markets or other financing and transactional banking sources could limit our ability to achieve our plans.</w:t>
      </w:r>
    </w:p>
    <w:p>
      <w:pPr>
        <w:spacing w:after="0" w:line="10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significant reduction in cash flows from operations or the availability of debt or equity financing could materially and adversely affect our ability to achieve our planned growth and operating results. Our ability to obtain debt or equity financing, including the possible refinancing of existing indebtedness, will depend upon market conditions, our financial condition and the willingness of financing sources to make capital available to us at acceptable rates and terms. The inability to access capital at acceptable rates and terms could restrict or limit our ability to achieve our growth objectives, which could adversely affect our financial condition and results of operations.</w:t>
      </w:r>
    </w:p>
    <w:p>
      <w:pPr>
        <w:spacing w:after="0" w:line="1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access to transactional banking services, as well as international wire services between certain countries, is an ongoing business requirement. Inability in accessing or maintaining transactional banking or wire services could lead to increased costs or the inability to efficiently manage our cash as we would be required to seek alternative banking services or obtain services from several regional or local retail banks.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collect and store a variety of sensitive customer information, and breaches in data security or other cyber-attacks could harm our business operations and lead to reputational damage.</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course of conducting our business, we collect and store on our information technology systems a variety of information about our customers, including sensitive personal identifying and financial information. We may not have the resources or technical expertise to anticipate or prevent rapidly evolving types of cyber-attacks. Attacks may be targeted at us, our service providers, our customers or others who have entrusted us with information. Actual or anticipated attacks may cause us to incur increased costs, including costs to hire additional personnel, purchase additional protection technologies, train team members and engage third-party experts and consultants. Advances in computer capabilities, new technological discoveries or other developments may result in the technology we use to protect data being breached or compromised. In addition, data and security breaches can occur as a result of non-technical issues, including breach by us or by persons with whom we have commercial relationships that result in the unauthorized release of personal or confidential information. We could be subject to fines, penalties and liabilities if any such information is misappropriated from our systems or we otherwise fail to maintain the security and confidentiality of such information. Further, any such data security breach could cause damage to our reputation and a loss of confidence in our data security measures, which could adversely affect our business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business interruptions or other adverse effects on our operations and growth.</w:t>
      </w:r>
    </w:p>
    <w:p>
      <w:pPr>
        <w:spacing w:after="0" w:line="17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business and operations could be subject to interruption or damage due to inclement weather, natural disaster, power loss, acts of violence, terrorist attacks, war, civil unrest or similar events. Further, we may experience information technology or other business systems disruptions. Such events could impair our customers' access to our business, impact our ability to expand or continue our operations or otherwise have an adverse effect on our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other risks discussed under "Part II, Item 7A —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PROPERTIES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lease our pawn store locations, which are located throughout our geographic areas of operations. See “Part I, Item 1 — Business — Segment and Geographic Information” Our pawn stores are typically located in a freestanding building or occupy all or part of a retail strip center with contiguous parking. A portion of the store interior is designed for retail operations, with merchandise displayed for sale by category. Distinctive exterior design and attractive in-store signage provide an appealing atmosphere to customers. We maintain or reimburse our landlords for maintaining property and general liability insurance for each of our stores. Our stores are open six or seven days a week.</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Leases for our U.S. locations generally have initial terms ranging from three to 10 years and typically allow for renewals in increments of three-to-five years. Our primary corporate office is located in Austin, Texas and is leased through March 2029 with escalating rent payments annually and including two five-year extension options at the end of the lease term. Our locations in Latin America are generally leased on three-to-five year terms.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existing leases expire on dates ranging between November 2020 and fiscal 2036,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On an ongoing basis, we may close or consolidate under-performing store locations.</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2020 we had a total of 1,005 stores, 505 of which are located in the U.S., with 43% located in Texas, 19% in Florida and the rest spread across 18 other states. We also have 368 locations in Mexico, 87 in Guatemala, 18 in El Salvador, 16 in Honduras and 11 in Peru.</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store leases, we lease approximately 137,000 square feet of corporate office space in Austin, Texas, 92,400 square feet of which has been subleased to other tenants. We lease other corporate office space in Querétaro, Mexico (9,500 square feet), Guatemala City, Guatemala (7,700 square feet) and Miami, Florida (14,200 square feet, all of which has been subleased to a tenant).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store locations, see “Part I, Item 1 — Business — Segment and Geographic Information.”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of Notes to Consolidated Financial Statements included in “Part II, Item 8 — Financial Statements and Supplementary Data.”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6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 —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Class A Non-Voting Common Stock (“Class A Common Stock”) is traded on the NASDAQ Stock Market under the symbol “EZPW.” As of November 30, 2020, there were approximately 270 stockholders of record of our Class A Common Stock. There is no trading market for our Class B Voting Common Stock (“Class B Common Stock”), which was held by one stockholder as of November 30, 2020. As of September 30, 2020, the closing sales price of our Class A Common Stock, as reported by the NASDAQ Stock Market, was $5.03 per share.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2015.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743575" cy="3857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357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720" w:type="dxa"/>
        <w:tblCellMar>
          <w:top w:w="0" w:type="dxa"/>
          <w:left w:w="0" w:type="dxa"/>
          <w:bottom w:w="0" w:type="dxa"/>
          <w:right w:w="0" w:type="dxa"/>
        </w:tblCellMar>
      </w:tblPr>
      <w:tr>
        <w:trPr>
          <w:trHeight w:val="215"/>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Company Index</w:t>
            </w:r>
          </w:p>
        </w:tc>
        <w:tc>
          <w:tcPr>
            <w:tcW w:w="16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9"/>
              </w:rPr>
              <w:t>2016</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2018</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EZCORP, INC.</w:t>
            </w:r>
          </w:p>
        </w:tc>
        <w:tc>
          <w:tcPr>
            <w:tcW w:w="166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9"/>
              </w:rPr>
              <w:t>$100.00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$85.90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$96.75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$58.41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$45.48</w:t>
            </w: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 Index</w:t>
            </w:r>
          </w:p>
        </w:tc>
        <w:tc>
          <w:tcPr>
            <w:tcW w:w="166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$100.00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$122.29</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$151.47</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$150.59</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$210.23</w:t>
            </w: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Other Finance Index</w:t>
            </w:r>
          </w:p>
        </w:tc>
        <w:tc>
          <w:tcPr>
            <w:tcW w:w="166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9"/>
              </w:rPr>
              <w:t>$100.00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$125.64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$136.74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$152.19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$159.32</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ind w:left="10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6 — SELECTED FINANCIAL DATA</w:t>
      </w:r>
    </w:p>
    <w:p>
      <w:pPr>
        <w:spacing w:after="0" w:line="175" w:lineRule="exact"/>
        <w:rPr>
          <w:sz w:val="20"/>
          <w:szCs w:val="20"/>
          <w:color w:val="auto"/>
        </w:rPr>
      </w:pPr>
    </w:p>
    <w:p>
      <w:pPr>
        <w:ind w:left="100" w:right="200"/>
        <w:spacing w:after="0" w:line="261" w:lineRule="auto"/>
        <w:rPr>
          <w:sz w:val="20"/>
          <w:szCs w:val="20"/>
          <w:color w:val="auto"/>
        </w:rPr>
      </w:pPr>
      <w:r>
        <w:rPr>
          <w:rFonts w:ascii="Times New Roman" w:cs="Times New Roman" w:eastAsia="Times New Roman" w:hAnsi="Times New Roman"/>
          <w:sz w:val="18"/>
          <w:szCs w:val="18"/>
          <w:color w:val="auto"/>
        </w:rPr>
        <w:t>The following selected financial information summarizes our consolidated financial data, which has been derived from the consolidated financial statements for each of the five years in the period ended September 30, 2020. The selected consolidated financial data should be read in conjunction with our annual consolidated financial statements and accompanying notes and Management’s Discussion and Analysis of Financial Condition and Results of Operations included in “Part 1, Item 7” below.</w:t>
      </w: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Operating Data</w:t>
      </w:r>
    </w:p>
    <w:p>
      <w:pPr>
        <w:spacing w:after="0" w:line="5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9"/>
              </w:rPr>
              <w:t>Fiscal Year Ended September 30,</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2018 (a)</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20" w:type="dxa"/>
            <w:vAlign w:val="bottom"/>
            <w:gridSpan w:val="8"/>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(in thousands, except per share and store figures)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730,319</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428,044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 intangible and 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investments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10,957</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Basic (loss) earnings per share attributable to EZCORP, Inc. —</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4"/>
                <w:szCs w:val="14"/>
                <w:color w:val="auto"/>
              </w:rPr>
            </w:pP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Diluted (loss) earnings per share attributable to EZCORP, Inc. —</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54,427</w:t>
            </w: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Stores attributable to continuing operations at end of period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20" w:hanging="3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2018, we acquired 112 GuatePrenda-MaxiEfectivo (“GPMX”) pawn stores as further described in Note 3 of Notes to Consolidated Financial Statements included in “Part II, Item 8</w:t>
      </w:r>
    </w:p>
    <w:p>
      <w:pPr>
        <w:spacing w:after="0" w:line="17"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Financial Statements and Supplementary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 (c)</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6"/>
        </w:trPr>
        <w:tc>
          <w:tcPr>
            <w:tcW w:w="1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wn loans</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131,323$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198,463$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169,242$</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167,329</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ventory, net</w:t>
            </w:r>
          </w:p>
        </w:tc>
        <w:tc>
          <w:tcPr>
            <w:tcW w:w="1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179,355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166,997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154,411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140,224</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orking capital (a) (b)</w:t>
            </w:r>
          </w:p>
        </w:tc>
        <w:tc>
          <w:tcPr>
            <w:tcW w:w="1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460,783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489,422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503,918</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382,908</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tal assets (a)</w:t>
            </w:r>
          </w:p>
        </w:tc>
        <w:tc>
          <w:tcPr>
            <w:tcW w:w="1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1,197,023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1,083,702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1,241,780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1,021,144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980,182</w:t>
            </w:r>
          </w:p>
        </w:tc>
      </w:tr>
      <w:tr>
        <w:trPr>
          <w:trHeight w:val="222"/>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ng</w:t>
            </w:r>
          </w:p>
        </w:tc>
        <w:tc>
          <w:tcPr>
            <w:tcW w:w="3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-term debt, less current maturities (a)</w:t>
            </w:r>
          </w:p>
        </w:tc>
        <w:tc>
          <w:tcPr>
            <w:tcW w:w="1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238,380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284,807</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283,611</w:t>
            </w:r>
          </w:p>
        </w:tc>
      </w:tr>
      <w:tr>
        <w:trPr>
          <w:trHeight w:val="210"/>
        </w:trPr>
        <w:tc>
          <w:tcPr>
            <w:tcW w:w="1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CORP, Inc. stockholders’ equity</w:t>
            </w:r>
          </w:p>
        </w:tc>
        <w:tc>
          <w:tcPr>
            <w:tcW w:w="1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649,127$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744,949$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742,739$</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658,803$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-818515</wp:posOffset>
            </wp:positionV>
            <wp:extent cx="692658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-544195</wp:posOffset>
            </wp:positionV>
            <wp:extent cx="69265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111" w:lineRule="exact"/>
        <w:rPr>
          <w:sz w:val="20"/>
          <w:szCs w:val="20"/>
          <w:color w:val="auto"/>
        </w:rPr>
      </w:pPr>
    </w:p>
    <w:p>
      <w:pPr>
        <w:ind w:left="400" w:hanging="292"/>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assets and liabilities held for sale in conjunction with the disposal of Prestaciones Finmart, S.A.P.I. de C.V., SOFOM, E.N.R. ("Grupo Finmart") in September 2016.</w:t>
      </w:r>
    </w:p>
    <w:p>
      <w:pPr>
        <w:spacing w:after="0" w:line="55" w:lineRule="exact"/>
        <w:rPr>
          <w:rFonts w:ascii="Times New Roman" w:cs="Times New Roman" w:eastAsia="Times New Roman" w:hAnsi="Times New Roman"/>
          <w:sz w:val="14"/>
          <w:szCs w:val="14"/>
          <w:color w:val="auto"/>
        </w:rPr>
      </w:pPr>
    </w:p>
    <w:p>
      <w:pPr>
        <w:ind w:left="420" w:hanging="3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2019, we repaid $195.0 million in aggregate principal amount of our 2.125% Cash Convertible Senior Notes Due 2019 using cash on hand.</w:t>
      </w:r>
    </w:p>
    <w:p>
      <w:pPr>
        <w:spacing w:after="0" w:line="55" w:lineRule="exact"/>
        <w:rPr>
          <w:rFonts w:ascii="Times New Roman" w:cs="Times New Roman" w:eastAsia="Times New Roman" w:hAnsi="Times New Roman"/>
          <w:sz w:val="14"/>
          <w:szCs w:val="14"/>
          <w:color w:val="auto"/>
        </w:rPr>
      </w:pPr>
    </w:p>
    <w:p>
      <w:pPr>
        <w:ind w:left="440" w:right="460" w:hanging="332"/>
        <w:spacing w:after="0" w:line="282" w:lineRule="auto"/>
        <w:tabs>
          <w:tab w:leader="none" w:pos="41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and total asset amounts are inclusive of $0.9 million in gross installment loan balances which were securitized under the CASHMAX securitization facility as further described in Note 9 of Notes to Consolidated Financial Statements included in “Part II, Item 8 — Financial Statements and Supplementary Data.”</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 MANAGEMENT'S DISCUSSION AND ANALYSIS OF FINANCIAL CONDITION AND RESULTS OF OPERATIONS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inform the reader about matters affecting the financial condition and results of operations of EZCORP Inc. and its subsidiaries (collectively, “we,” “us”, “our” or the “Company”) for the two-year period ended September 30, 2020. The following discussion should be read together with our consolidated financial statements and accompanying notes included in “Part II, Item 8 — Financial Statements and Supplementary Data.” This discussion and analysis contains forward-looking statements, and our actual results could differ materially from those anticipated in these forward-looking statements. See “Part I, Item 1A — Risk Factors” and “Cautionary Statement Regarding Risks and Uncertainties That May Affect Future Results”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7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identified in Wuhan, China. This new coronavirus has caused a global health emergency and was declared a pandemic by the World Health Organization in March 2020. In an effort to contain and slow the spread of COVID-19, governments, beginning in March 2020, implemented various measures, such as ordering non-essential businesses to close, issuing travel advisories, canceling large scale public events, ordering shelter-in-place for residents and requiring the public to practice social distancing. Many of these measures have expired or been rescinded, but some are continuing and others are being reimplemented or considered for reimplementation in November 2020 as COVID-19 continues to spread at rapid rates in many parts of the U.S.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began to see the impact of COVID-19 to our operations in mid-March. Since that time and continuing through the fourth quarter and into fiscal 2021, we have been able to keep virtually all of our stores open for business, although operating under enhanced safety measures and, in some cases, restrictions on occupancy. We have seen tighter restrictions in our Latin America countries: In Mexico (368 stores), retail sales in all stores were prohibited by regulators during the last three weeks of May; in Guatemala (87 stores), regulators imposed country-wide lockdowns on many weekends and 39 mall-based locations were closed for extended periods; in El Salvador (18 stores), our stores were closed from late March through mid-June; in Honduras (16 stores), the majority of our stores were closed through mid April; and in Peru (11 stores), our stores were closed from mid-March through varying dates through mid-May and mid-June.</w:t>
      </w:r>
    </w:p>
    <w:p>
      <w:pPr>
        <w:spacing w:after="0" w:line="13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Beginning in mid-March and continuing through most of the fourth quarter, we have experienced a significant decline in pawn loan originations and associated loan balances in both the U.S. and Latin America, as a result of a change in customer borrowing behaviors related to COVID-19. Pawn loan balances at fiscal year end 2020 were down $51.1 million (32)% in U.S. Pawn and $16.7 million (40%) in Latin America Pawn (down $16.7 million, or 34% on a constant currency basis), compared to the prior-year end. The overall decline in pawn loan balances led to significantly reduced pawn service charge revenue. Offsetting this net revenue loss, we saw a strong increase in merchandise sales during March and continuing into the third quarter, before stabilizing in the fourth quarter. As a result of this increased sales activity, combined with the decrease in loan originations and our liquidity initiatives described below, our cash balance has grown to $312.6 million at the end of fiscal 2020. Sustained lower pawn portfolios will lead to lower pawn service charge revenue and may lead to less inventory available for sale, which in turn may lead to lower merchandise sales volume in fiscal 2021.</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factors described above impacted the forecast of future net revenues and earnings and resulted in lower present value of future cash flows. We recorded a goodwill impairment charge of $41.3 million in the second quarter of fiscal 2020. In addition, we (a) determined an impairment had occurred in the fair values of trade names of previously acquired entities in our Mexico and GPMX reporting units and recorded a related impairment of $2.9 million and $1.7 million respectively, and (b) determined the carrying amount of certain long-lived asset groups were not recoverable and recorded a related impairment of $1.1 million, all in the second quarter of 2020.</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order to maximize our ability to meet an expected increase in pawn loan originations, we have implemented several measures to increase liquidity. We have suspended repurchases of shares under our authorized stock repurchase program, have renegotiated certain supplier and vendor agreements, have slowed the pace of de novo store openings in Latin America, have delayed certain capital expenditures and were able to delay payments of certain taxes as a result of the economic relief in the Coronavirus Aid, Relief, and Economic Security (CARES) Act passed by Congress in response to COVID-19.</w:t>
      </w:r>
    </w:p>
    <w:p>
      <w:pPr>
        <w:spacing w:after="0" w:line="12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full extent and duration of the COVID-19 impact on the global economy generally, and on our business specifically, is currently unknown. The pandemic has had an adverse effect on our net revenues and earnings in fiscal 2020, producing operating losses in the fourth quarter. We expect the impact of the pandemic, and the recovery therefrom, will continue to adversely affect net revenues and earnings into fiscal 2021. A prolonged pandemic and recovery may have an adverse effect on our results of operations, financial position and liquidity in future periods. See "Part I, Item 1A - Risk Factors."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Initiatives</w:t>
      </w:r>
    </w:p>
    <w:p>
      <w:pPr>
        <w:spacing w:after="0" w:line="14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During the fourth quarter of fiscal 2020, we began to implement strategic initiatives to refocus on our core pawn business and optimize our cost structure in order to improve our bottom line performance and position the Company for sustainable growth. The initiatives focused on workforce reductions, closure of our CASHMAX operations in Canada, store closures and write-offs of other miscellaneous charges. As a result of these initiatives, we incurred the following pre-tax charges during the fourth quarter of fiscal 2020:</w:t>
      </w:r>
    </w:p>
    <w:p>
      <w:pPr>
        <w:spacing w:after="0" w:line="145"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$6.4 million in severance and other payroll-related costs related to a headcount reduction in the corporate office;</w:t>
      </w:r>
    </w:p>
    <w:p>
      <w:pPr>
        <w:spacing w:after="0" w:line="94" w:lineRule="exact"/>
        <w:rPr>
          <w:rFonts w:ascii="Times New Roman" w:cs="Times New Roman" w:eastAsia="Times New Roman" w:hAnsi="Times New Roman"/>
          <w:sz w:val="20"/>
          <w:szCs w:val="20"/>
          <w:color w:val="auto"/>
        </w:rPr>
      </w:pPr>
    </w:p>
    <w:p>
      <w:pPr>
        <w:ind w:left="660" w:right="40" w:hanging="328"/>
        <w:spacing w:after="0" w:line="23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$4.9 million in costs related to the closure of the CASHMAX business and related operations, primarily consisting of severance and other payroll-related costs, net asset write-offs, impairment of internally developed software and contract termination costs;</w:t>
      </w:r>
    </w:p>
    <w:p>
      <w:pPr>
        <w:spacing w:after="0" w:line="91" w:lineRule="exact"/>
        <w:rPr>
          <w:rFonts w:ascii="Times New Roman" w:cs="Times New Roman" w:eastAsia="Times New Roman" w:hAnsi="Times New Roman"/>
          <w:sz w:val="20"/>
          <w:szCs w:val="20"/>
          <w:color w:val="auto"/>
        </w:rPr>
      </w:pPr>
    </w:p>
    <w:p>
      <w:pPr>
        <w:ind w:left="660" w:right="220" w:hanging="328"/>
        <w:spacing w:after="0" w:line="239"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$4.1 million in costs primarily related to the closure of four stores in U.S. Pawn and three stores in Latin America Pawn, consisting primarily of severance and other payroll-related costs and reserves on net assets; and</w:t>
      </w:r>
    </w:p>
    <w:p>
      <w:pPr>
        <w:spacing w:after="0" w:line="9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$5.0 million in other miscellaneous charges, primarily consisting of impairment of internally developed software and contract termination costs.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optimizing our cost structure to improve profitability and better align with near-term pawn loans outstanding trends, we are focused on creating long-term shareholder value by strengthening our core business operations and continuing to innovate and grow. Our optimization of pricing, lending and transactional efficiencies, and the modernization of our IT and data assets, will drive more consistent profitability. Our efforts to give customers more convenient choices, both in-store and through our Lana platform, will result in a superior customer experience, and our continued de novo store growth will give us the opportunity to expand our platform.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Unrest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late May and early June 2020, protests and demonstrations in some cities escalated into riots and lootings in neighborhoods where our stores are located. As a result, 30 stores suffered losses and damages during the riots and looting activity. A total of four stores in the U.S. suffered total losses, and two of these stores were permanently closed as of September 30, 2020. We recorded $1.9 million in inventory losses, $0.2 million in loan restitution losses and $0.2 million in property, plant and equipment losses during the fiscal year. The inventory losses were recorded under "Merchandise cost of goods sold"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2020 vs. Fiscal 2019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Data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summary consolidated financial data for fiscal 2020 and fiscal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6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6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6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service charges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272,638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327,366</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(17)%</w:t>
            </w:r>
          </w:p>
        </w:tc>
      </w:tr>
      <w:tr>
        <w:trPr>
          <w:trHeight w:val="111"/>
        </w:trPr>
        <w:tc>
          <w:tcPr>
            <w:tcW w:w="68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Merchandise sales</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498,213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453,375</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Merchandise sales 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155,867</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Gross margin on merchandise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 bps</w:t>
            </w:r>
          </w:p>
        </w:tc>
      </w:tr>
      <w:tr>
        <w:trPr>
          <w:trHeight w:val="111"/>
        </w:trPr>
        <w:tc>
          <w:tcPr>
            <w:tcW w:w="68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 scrapping sales</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47,953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60,445</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 scrapping 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7,510</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6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Gross margin on jewelry scrapping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900 bps</w:t>
            </w:r>
          </w:p>
        </w:tc>
      </w:tr>
      <w:tr>
        <w:trPr>
          <w:trHeight w:val="111"/>
        </w:trPr>
        <w:tc>
          <w:tcPr>
            <w:tcW w:w="68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revenues, net</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3,705</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6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449,235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494,448</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w:t>
            </w:r>
          </w:p>
        </w:tc>
      </w:tr>
      <w:tr>
        <w:trPr>
          <w:trHeight w:val="108"/>
        </w:trPr>
        <w:tc>
          <w:tcPr>
            <w:tcW w:w="6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422,565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447,439</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 intangible and other assets</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54,666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charges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Non-operating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21,711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42,835</w:t>
            </w:r>
          </w:p>
        </w:tc>
        <w:tc>
          <w:tcPr>
            <w:tcW w:w="14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(49)%</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(70,095)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4,174</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(1,779)%</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2,406</w:t>
            </w:r>
          </w:p>
        </w:tc>
        <w:tc>
          <w:tcPr>
            <w:tcW w:w="14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(168)%</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1,768</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(3,972)%</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(457)</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1,311</w:t>
            </w:r>
          </w:p>
        </w:tc>
        <w:tc>
          <w:tcPr>
            <w:tcW w:w="1400" w:type="dxa"/>
            <w:vAlign w:val="bottom"/>
            <w:tcBorders>
              <w:top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(5,322)%</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3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(1,230)</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r>
      <w:tr>
        <w:trPr>
          <w:trHeight w:val="237"/>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EZCORP, Inc.</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2,541</w:t>
            </w:r>
          </w:p>
        </w:tc>
        <w:tc>
          <w:tcPr>
            <w:tcW w:w="1400" w:type="dxa"/>
            <w:vAlign w:val="bottom"/>
            <w:tcBorders>
              <w:top w:val="single" w:sz="8" w:color="CCEEFF"/>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(2,794)%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55"/>
        </w:trPr>
        <w:tc>
          <w:tcPr>
            <w:tcW w:w="6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pawn earning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loans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131,323</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199,058</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95,891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179,355</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(47)%</w:t>
            </w:r>
          </w:p>
        </w:tc>
      </w:tr>
      <w:tr>
        <w:trPr>
          <w:trHeight w:val="209"/>
        </w:trPr>
        <w:tc>
          <w:tcPr>
            <w:tcW w:w="6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net pawn earning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227,214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378,413</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(40)%</w:t>
            </w:r>
          </w:p>
        </w:tc>
      </w:tr>
      <w:tr>
        <w:trPr>
          <w:trHeight w:val="21"/>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12" w:lineRule="exact"/>
        <w:rPr>
          <w:sz w:val="20"/>
          <w:szCs w:val="20"/>
          <w:color w:val="auto"/>
        </w:rPr>
      </w:pPr>
    </w:p>
    <w:p>
      <w:pPr>
        <w:ind w:left="720" w:hanging="694"/>
        <w:spacing w:after="0"/>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percentage computation that is not mathematically meaningful.</w:t>
      </w:r>
    </w:p>
    <w:p>
      <w:pPr>
        <w:spacing w:after="0" w:line="1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revenues for fiscal 2020 were $449.2 million compared to $494.4 million in the prior year. Pawn service charges (“PSC”) decreased 17% as a result of lower loan demand and increased loan redemptions believed to be related to the federal economic stimulus in response to the COVID-19 pandemic. Pawn loans outstanding decreased 34% during fiscal 2020. Merchandise sales increased 10%, but gross margin on merchandise sales declined 100 bps to 33%, resulting in a net 5% increase in merchandise sales gross profit. Excluding looting charges of $2.3 million and a $2.6 million increase in inventory reserves due to an increase in aged inventory resulting from the impact of COVID-19, gross margin on merchandise sales was flat at 34%. Jewelry scrapping sales decreased 21%, primarily reflecting disruption in the diamond auction market. Jewelry scrapping gross profit increased 32% due to a 900 bps increase in gross margin, partially driven by an increase in gold prices.</w:t>
      </w:r>
    </w:p>
    <w:p>
      <w:pPr>
        <w:spacing w:after="0" w:line="135"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Operating expenses decreased 6% due to a $21.0 million reversal in accrued short-term and long-term incentive compensation as well as the implementation of strategic initiatives, including cost cutting at the store level due to reduced transaction activity.</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second and fourth quarters, we recorded goodwill, intangible and other assets impairment charges of $47.1 million and $7.6 million respectively, totaling $54.7 million for the fiscal year, as further described in Note 8 of Notes to Consolidated Financial Statements included in “Part II, Item 8 — Financial Statements and Supplementary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charges of $20.4 million consist of charges recorded in the fourth quarter of fiscal year 2020 due to the implementation of strategic initiatives, as further described in Note 2 of Notes to Consolidated Financial Statements included in “Part II, Item 8 — Financial Statements and Supplementary Data.”</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non-operating expenses decreased $21.1 million, or 49%, primarily due to an impairment of $19.7 million in unconsolidated subsidiaries in the prior year with no similar impairment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Pawn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summary financial data from the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2"/>
        </w:trPr>
        <w:tc>
          <w:tcPr>
            <w:tcW w:w="6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6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6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service charges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210,081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248,369</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(15)%</w:t>
            </w:r>
          </w:p>
        </w:tc>
      </w:tr>
      <w:tr>
        <w:trPr>
          <w:trHeight w:val="111"/>
        </w:trPr>
        <w:tc>
          <w:tcPr>
            <w:tcW w:w="68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Merchandise sales</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391,921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355,996</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Merchandise sales 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140,377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130,860</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6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Gross margin on merchandise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 bps</w:t>
            </w:r>
          </w:p>
        </w:tc>
      </w:tr>
      <w:tr>
        <w:trPr>
          <w:trHeight w:val="111"/>
        </w:trPr>
        <w:tc>
          <w:tcPr>
            <w:tcW w:w="68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 scrapping sales</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45,815</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 scrapping sales 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6,497</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6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Gross margin on jewelry scrapping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 bps</w:t>
            </w:r>
          </w:p>
        </w:tc>
      </w:tr>
      <w:tr>
        <w:trPr>
          <w:trHeight w:val="111"/>
        </w:trPr>
        <w:tc>
          <w:tcPr>
            <w:tcW w:w="68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revenues</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6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359,235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385,959</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r>
      <w:tr>
        <w:trPr>
          <w:trHeight w:val="108"/>
        </w:trPr>
        <w:tc>
          <w:tcPr>
            <w:tcW w:w="6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contribution: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expense</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261,608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269,003</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goodwill, intangible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11,879</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07"/>
        </w:trPr>
        <w:tc>
          <w:tcPr>
            <w:tcW w:w="6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Segment operating contribution</w:t>
            </w:r>
          </w:p>
        </w:tc>
        <w:tc>
          <w:tcPr>
            <w:tcW w:w="34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73,491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105,077</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segment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3,402</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(89)%</w:t>
            </w:r>
          </w:p>
        </w:tc>
      </w:tr>
      <w:tr>
        <w:trPr>
          <w:trHeight w:val="212"/>
        </w:trPr>
        <w:tc>
          <w:tcPr>
            <w:tcW w:w="6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Segment contribution</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73,106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101,675</w:t>
            </w:r>
          </w:p>
        </w:tc>
        <w:tc>
          <w:tcPr>
            <w:tcW w:w="14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75"/>
        </w:trPr>
        <w:tc>
          <w:tcPr>
            <w:tcW w:w="68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earning assets — continuing operations (a)</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299,674</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turnover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0.4x</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Average monthly ending pawn loan balance per store (b)</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292</w:t>
            </w:r>
          </w:p>
        </w:tc>
        <w:tc>
          <w:tcPr>
            <w:tcW w:w="14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6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Monthly average yield on pawn loans outstanding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bps</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loan redemption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 bps</w:t>
            </w:r>
          </w:p>
        </w:tc>
      </w:tr>
    </w:tbl>
    <w:p>
      <w:pPr>
        <w:spacing w:after="0" w:line="112" w:lineRule="exact"/>
        <w:rPr>
          <w:sz w:val="20"/>
          <w:szCs w:val="20"/>
          <w:color w:val="auto"/>
        </w:rPr>
      </w:pPr>
    </w:p>
    <w:p>
      <w:pPr>
        <w:ind w:left="380" w:hanging="354"/>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percentage computation that is not mathematically meaningful.</w:t>
      </w:r>
    </w:p>
    <w:p>
      <w:pPr>
        <w:spacing w:after="0" w:line="28" w:lineRule="exact"/>
        <w:rPr>
          <w:sz w:val="20"/>
          <w:szCs w:val="20"/>
          <w:color w:val="auto"/>
        </w:rPr>
      </w:pPr>
    </w:p>
    <w:p>
      <w:pPr>
        <w:ind w:left="380" w:hanging="354"/>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pawn loans and inventory.</w:t>
      </w:r>
    </w:p>
    <w:p>
      <w:pPr>
        <w:spacing w:after="0" w:line="28" w:lineRule="exact"/>
        <w:rPr>
          <w:rFonts w:ascii="Times New Roman" w:cs="Times New Roman" w:eastAsia="Times New Roman" w:hAnsi="Times New Roman"/>
          <w:sz w:val="14"/>
          <w:szCs w:val="14"/>
          <w:color w:val="auto"/>
        </w:rPr>
      </w:pPr>
    </w:p>
    <w:p>
      <w:pPr>
        <w:ind w:left="380" w:hanging="354"/>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is calculated based on the average of the monthly ending balance averages during the applicable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contribution decreased $28.6 million, primarily due to a $26.7 million decrease in net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revenues split between same stores and stores closed during the year is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Change in Net Revenue</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Pawn Service</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Merchandise</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Sales Gross Profit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 stores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Closed stores and 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jewelry scrapping sales gross profit and other revenues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0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change in net revenue</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PSC decreased 15% primarily due to a substantial decline in new loan originations and associated loan balances because of a change in customer borrowing behaviors during the COVID-19 pandemic.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Merchandise sales increased 10% and merchandise sales gross profit increased 7% to $140.4 million primarily due to the impact of federal economic stimulus measures, with gross margin on merchandise sales down 100 bps to 36%, falling within our target range of 35-38%. Excluding looting charges of $2.1 million and a $1.4 million increase in inventory reserves due to an increase in aged inventory resulting from the impact of COVID-19, gross margin on merchandise sales remained flat at 37%.</w:t>
      </w:r>
    </w:p>
    <w:p>
      <w:pPr>
        <w:spacing w:after="0" w:line="12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Jewelry scrapping sales gross profit increased 33% to $8.6 million, due primarily to higher scrapping margins as a result of higher gold prices and a reduction in demand for diamond scrap sales. Jewelry scrap sales margins increased 1,000 bps to 24%.</w:t>
      </w:r>
    </w:p>
    <w:p>
      <w:pPr>
        <w:spacing w:after="0" w:line="162"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Total expenses increased $1.8 million, or 1%. Excluding an impairment charge of $10.0 million and other charges of $3.1 million, total expenses decreased $11.3 million, or 4%, primarily due to a $7.4 million decrease in operating expenses ($5.0 million attributable to cost reduction initiatives and $2.4 million attributable to the reversal of accrued short-term and long-term incentive compensation) and a $3.0 million decrease in loss on sale or disposal of assets.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Information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generally accepted accounting principles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2020 and 2019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36"/>
        </w:trPr>
        <w:tc>
          <w:tcPr>
            <w:tcW w:w="2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Mexican peso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Guatemalan quetzal</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7.5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Honduran lempira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24.3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Peruvian sol</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88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3.5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statement of operations constant currency results reflect the monthly exchange rate fluctuations and so are not directly calculable from the above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Constant currency results, where presented, also exclude the foreign currency gain or loss.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Latin America Pawn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summary financial data for the Latin America Pawn segment, including constant currency results, after translation to U.S. dollars from its functional currencies of the Mexican peso, Guatemalan quetzal, Honduran lempira and Peruvian sol. See “Results of Operations — Non-GAAP Financial Information” above.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6"/>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3"/>
                <w:szCs w:val="13"/>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3"/>
                <w:szCs w:val="13"/>
                <w:color w:val="auto"/>
              </w:rPr>
            </w:pPr>
          </w:p>
        </w:tc>
        <w:tc>
          <w:tcPr>
            <w:tcW w:w="12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(GAAP)</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6"/>
              </w:rPr>
              <w:t>(GAAP)</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(GAAP)</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49"/>
        </w:trPr>
        <w:tc>
          <w:tcPr>
            <w:tcW w:w="4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service charges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62,557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78,997</w:t>
            </w:r>
          </w:p>
        </w:tc>
        <w:tc>
          <w:tcPr>
            <w:tcW w:w="13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65,513</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111"/>
        </w:trPr>
        <w:tc>
          <w:tcPr>
            <w:tcW w:w="4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Merchandise sales</w:t>
            </w:r>
          </w:p>
        </w:tc>
        <w:tc>
          <w:tcPr>
            <w:tcW w:w="2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106,292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97,379</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112,603</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5"/>
              </w:rPr>
              <w:t>16%</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Merchandise sales gross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23,355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25,007</w:t>
            </w:r>
          </w:p>
        </w:tc>
        <w:tc>
          <w:tcPr>
            <w:tcW w:w="13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24,838</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3"/>
        </w:trPr>
        <w:tc>
          <w:tcPr>
            <w:tcW w:w="4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Gross margin on merchandise sales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(400) bps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(400) bps</w:t>
            </w:r>
          </w:p>
        </w:tc>
        <w:tc>
          <w:tcPr>
            <w:tcW w:w="0" w:type="dxa"/>
            <w:vAlign w:val="bottom"/>
          </w:tcPr>
          <w:p>
            <w:pPr>
              <w:spacing w:after="0"/>
              <w:rPr>
                <w:sz w:val="1"/>
                <w:szCs w:val="1"/>
                <w:color w:val="auto"/>
              </w:rPr>
            </w:pPr>
          </w:p>
        </w:tc>
      </w:tr>
      <w:tr>
        <w:trPr>
          <w:trHeight w:val="111"/>
        </w:trPr>
        <w:tc>
          <w:tcPr>
            <w:tcW w:w="4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 scrapping sales</w:t>
            </w:r>
          </w:p>
        </w:tc>
        <w:tc>
          <w:tcPr>
            <w:tcW w:w="2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14,630</w:t>
            </w:r>
          </w:p>
        </w:tc>
        <w:tc>
          <w:tcPr>
            <w:tcW w:w="13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11,961</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 scrapping sales gross profit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1,013</w:t>
            </w:r>
          </w:p>
        </w:tc>
        <w:tc>
          <w:tcPr>
            <w:tcW w:w="13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1,347</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5"/>
              </w:rPr>
              <w:t>33%</w:t>
            </w:r>
          </w:p>
        </w:tc>
        <w:tc>
          <w:tcPr>
            <w:tcW w:w="0" w:type="dxa"/>
            <w:vAlign w:val="bottom"/>
          </w:tcPr>
          <w:p>
            <w:pPr>
              <w:spacing w:after="0"/>
              <w:rPr>
                <w:sz w:val="1"/>
                <w:szCs w:val="1"/>
                <w:color w:val="auto"/>
              </w:rPr>
            </w:pPr>
          </w:p>
        </w:tc>
      </w:tr>
      <w:tr>
        <w:trPr>
          <w:trHeight w:val="213"/>
        </w:trPr>
        <w:tc>
          <w:tcPr>
            <w:tcW w:w="4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Gross margin on jewelry scrapping sales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400 bps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400 bps</w:t>
            </w:r>
          </w:p>
        </w:tc>
        <w:tc>
          <w:tcPr>
            <w:tcW w:w="0" w:type="dxa"/>
            <w:vAlign w:val="bottom"/>
          </w:tcPr>
          <w:p>
            <w:pPr>
              <w:spacing w:after="0"/>
              <w:rPr>
                <w:sz w:val="1"/>
                <w:szCs w:val="1"/>
                <w:color w:val="auto"/>
              </w:rPr>
            </w:pPr>
          </w:p>
        </w:tc>
      </w:tr>
      <w:tr>
        <w:trPr>
          <w:trHeight w:val="111"/>
        </w:trPr>
        <w:tc>
          <w:tcPr>
            <w:tcW w:w="40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 revenues, net</w:t>
            </w:r>
          </w:p>
        </w:tc>
        <w:tc>
          <w:tcPr>
            <w:tcW w:w="2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c>
          <w:tcPr>
            <w:tcW w:w="13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(164)</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(192)%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87,096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105,196</w:t>
            </w:r>
          </w:p>
        </w:tc>
        <w:tc>
          <w:tcPr>
            <w:tcW w:w="13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91,534</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108"/>
        </w:trPr>
        <w:tc>
          <w:tcPr>
            <w:tcW w:w="4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contribution: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 expense</w:t>
            </w:r>
          </w:p>
        </w:tc>
        <w:tc>
          <w:tcPr>
            <w:tcW w:w="2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69,916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74,199</w:t>
            </w:r>
          </w:p>
        </w:tc>
        <w:tc>
          <w:tcPr>
            <w:tcW w:w="13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73,377</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goodwill, intangible and other assets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35,938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37,745</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6,267</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7,749</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5"/>
              </w:rPr>
              <w:t>24%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charges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1,801</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4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Segment operating (loss) contribution</w:t>
            </w:r>
          </w:p>
        </w:tc>
        <w:tc>
          <w:tcPr>
            <w:tcW w:w="26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(27,788)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24,730</w:t>
            </w:r>
          </w:p>
        </w:tc>
        <w:tc>
          <w:tcPr>
            <w:tcW w:w="13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(29,138)</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(218)%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segment (income) expense (a)</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606</w:t>
            </w:r>
          </w:p>
        </w:tc>
        <w:tc>
          <w:tcPr>
            <w:tcW w:w="13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(1,625)</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2"/>
        </w:trPr>
        <w:tc>
          <w:tcPr>
            <w:tcW w:w="40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Segment (loss) contribution</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(26,659)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24,124</w:t>
            </w:r>
          </w:p>
        </w:tc>
        <w:tc>
          <w:tcPr>
            <w:tcW w:w="13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(211)%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(27,513)</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(214)%</w:t>
            </w:r>
          </w:p>
        </w:tc>
        <w:tc>
          <w:tcPr>
            <w:tcW w:w="0" w:type="dxa"/>
            <w:vAlign w:val="bottom"/>
          </w:tcPr>
          <w:p>
            <w:pPr>
              <w:spacing w:after="0"/>
              <w:rPr>
                <w:sz w:val="1"/>
                <w:szCs w:val="1"/>
                <w:color w:val="auto"/>
              </w:rPr>
            </w:pPr>
          </w:p>
        </w:tc>
      </w:tr>
      <w:tr>
        <w:trPr>
          <w:trHeight w:val="46"/>
        </w:trPr>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data:</w:t>
            </w: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earning assets — continuing operations (b)</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78,739</w:t>
            </w:r>
          </w:p>
        </w:tc>
        <w:tc>
          <w:tcPr>
            <w:tcW w:w="13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49,163</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turnover</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0.4x</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Average monthly ending pawn loan balance per store (c)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13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4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3"/>
              </w:rPr>
              <w:t>3%</w:t>
            </w:r>
          </w:p>
        </w:tc>
        <w:tc>
          <w:tcPr>
            <w:tcW w:w="0" w:type="dxa"/>
            <w:vAlign w:val="bottom"/>
          </w:tcPr>
          <w:p>
            <w:pPr>
              <w:spacing w:after="0"/>
              <w:rPr>
                <w:sz w:val="1"/>
                <w:szCs w:val="1"/>
                <w:color w:val="auto"/>
              </w:rPr>
            </w:pPr>
          </w:p>
        </w:tc>
      </w:tr>
      <w:tr>
        <w:trPr>
          <w:trHeight w:val="213"/>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Monthly average yield on pawn loans outstanding</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(100) bps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bps</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loan redemption rate (d)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 bps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bps</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40" w:hanging="514"/>
        <w:spacing w:after="0"/>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percentage computation that is not mathematically meaningful.</w:t>
      </w:r>
    </w:p>
    <w:p>
      <w:pPr>
        <w:spacing w:after="0" w:line="28" w:lineRule="exact"/>
        <w:rPr>
          <w:sz w:val="20"/>
          <w:szCs w:val="20"/>
          <w:color w:val="auto"/>
        </w:rPr>
      </w:pPr>
    </w:p>
    <w:p>
      <w:pPr>
        <w:ind w:left="540" w:hanging="514"/>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2020 constant currency amount excludes net GAAP basis foreign currency transaction gains of $0.5 million resulting from movement in exchange rates.</w:t>
      </w:r>
    </w:p>
    <w:p>
      <w:pPr>
        <w:spacing w:after="0" w:line="28" w:lineRule="exact"/>
        <w:rPr>
          <w:rFonts w:ascii="Times New Roman" w:cs="Times New Roman" w:eastAsia="Times New Roman" w:hAnsi="Times New Roman"/>
          <w:sz w:val="14"/>
          <w:szCs w:val="14"/>
          <w:color w:val="auto"/>
        </w:rPr>
      </w:pPr>
    </w:p>
    <w:p>
      <w:pPr>
        <w:ind w:left="540" w:hanging="514"/>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pawn loans and inventory.</w:t>
      </w:r>
    </w:p>
    <w:p>
      <w:pPr>
        <w:spacing w:after="0" w:line="28" w:lineRule="exact"/>
        <w:rPr>
          <w:rFonts w:ascii="Times New Roman" w:cs="Times New Roman" w:eastAsia="Times New Roman" w:hAnsi="Times New Roman"/>
          <w:sz w:val="14"/>
          <w:szCs w:val="14"/>
          <w:color w:val="auto"/>
        </w:rPr>
      </w:pPr>
    </w:p>
    <w:p>
      <w:pPr>
        <w:ind w:left="540" w:hanging="514"/>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is calculated based on the average of the monthly ending balance averages during the applicable period.</w:t>
      </w:r>
    </w:p>
    <w:p>
      <w:pPr>
        <w:spacing w:after="0" w:line="28" w:lineRule="exact"/>
        <w:rPr>
          <w:rFonts w:ascii="Times New Roman" w:cs="Times New Roman" w:eastAsia="Times New Roman" w:hAnsi="Times New Roman"/>
          <w:sz w:val="14"/>
          <w:szCs w:val="14"/>
          <w:color w:val="auto"/>
        </w:rPr>
      </w:pPr>
    </w:p>
    <w:p>
      <w:pPr>
        <w:ind w:left="540" w:hanging="514"/>
        <w:spacing w:after="0"/>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is solely inclusive of results from Empeño Fácil.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2020, we opened 23 de novo stores in Latin America.</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Segment contribution decreased $50.8 million, or 211%, to $(26.7) million (down 214% on a constant currency basis), primarily due to the goodwill impairment charges of $35.9 million recorded during the second quarter. Excluding those charges, segment contribution decreased $14.5 million, primarily due to a decrease in net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revenues split between same stores and stores added/closed during the year is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Change in Net Revenue (GAAP)</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280" w:type="dxa"/>
            <w:vAlign w:val="bottom"/>
          </w:tcPr>
          <w:p>
            <w:pPr>
              <w:spacing w:after="0"/>
              <w:rPr>
                <w:sz w:val="11"/>
                <w:szCs w:val="11"/>
                <w:color w:val="auto"/>
              </w:rPr>
            </w:pPr>
          </w:p>
        </w:tc>
        <w:tc>
          <w:tcPr>
            <w:tcW w:w="15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Pawn Service Charges</w:t>
            </w:r>
          </w:p>
        </w:tc>
        <w:tc>
          <w:tcPr>
            <w:tcW w:w="100" w:type="dxa"/>
            <w:vAlign w:val="bottom"/>
            <w:vMerge w:val="restart"/>
          </w:tcPr>
          <w:p>
            <w:pPr>
              <w:spacing w:after="0"/>
              <w:rPr>
                <w:sz w:val="11"/>
                <w:szCs w:val="11"/>
                <w:color w:val="auto"/>
              </w:rPr>
            </w:pPr>
          </w:p>
        </w:tc>
        <w:tc>
          <w:tcPr>
            <w:tcW w:w="170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Merchandise Sales Gross</w:t>
            </w:r>
          </w:p>
        </w:tc>
        <w:tc>
          <w:tcPr>
            <w:tcW w:w="520" w:type="dxa"/>
            <w:vAlign w:val="bottom"/>
          </w:tcPr>
          <w:p>
            <w:pPr>
              <w:spacing w:after="0"/>
              <w:rPr>
                <w:sz w:val="11"/>
                <w:szCs w:val="11"/>
                <w:color w:val="auto"/>
              </w:rPr>
            </w:pPr>
          </w:p>
        </w:tc>
        <w:tc>
          <w:tcPr>
            <w:tcW w:w="100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stores</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8"/>
              </w:rPr>
              <w:t>(3.4)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Stores added/closed and other</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77"/>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jewelry scrapping sales gross profit and other revenues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change in net revenue</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2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Change in Net Revenue (Constant Currency)</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280" w:type="dxa"/>
            <w:vAlign w:val="bottom"/>
          </w:tcPr>
          <w:p>
            <w:pPr>
              <w:spacing w:after="0"/>
              <w:rPr>
                <w:sz w:val="11"/>
                <w:szCs w:val="11"/>
                <w:color w:val="auto"/>
              </w:rPr>
            </w:pPr>
          </w:p>
        </w:tc>
        <w:tc>
          <w:tcPr>
            <w:tcW w:w="15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Pawn Service Charges</w:t>
            </w:r>
          </w:p>
        </w:tc>
        <w:tc>
          <w:tcPr>
            <w:tcW w:w="100" w:type="dxa"/>
            <w:vAlign w:val="bottom"/>
            <w:vMerge w:val="restart"/>
          </w:tcPr>
          <w:p>
            <w:pPr>
              <w:spacing w:after="0"/>
              <w:rPr>
                <w:sz w:val="11"/>
                <w:szCs w:val="11"/>
                <w:color w:val="auto"/>
              </w:rPr>
            </w:pPr>
          </w:p>
        </w:tc>
        <w:tc>
          <w:tcPr>
            <w:tcW w:w="170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Merchandise Sales Gross</w:t>
            </w:r>
          </w:p>
        </w:tc>
        <w:tc>
          <w:tcPr>
            <w:tcW w:w="520" w:type="dxa"/>
            <w:vAlign w:val="bottom"/>
          </w:tcPr>
          <w:p>
            <w:pPr>
              <w:spacing w:after="0"/>
              <w:rPr>
                <w:sz w:val="11"/>
                <w:szCs w:val="11"/>
                <w:color w:val="auto"/>
              </w:rPr>
            </w:pPr>
          </w:p>
        </w:tc>
        <w:tc>
          <w:tcPr>
            <w:tcW w:w="100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 stores</w:t>
            </w: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8"/>
              </w:rPr>
              <w:t>(2.0)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Stores added/closed and other</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77"/>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jewelry scrapping sales gross profit and other revenues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change in net revenue</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decreased $18.1 million, or 17%, primarily due to a decrease in PSC of $16.4 million.</w:t>
      </w:r>
    </w:p>
    <w:p>
      <w:pPr>
        <w:spacing w:after="0" w:line="17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PSC decreased 21%, or 17% on a constant currency basis, primarily due to a substantial decline in new loan originations and associated loan balances because of a change in customer borrowing behaviors during the COVID-19 pandemic. Pawn loans outstanding decreased by 40% during the current year.</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Merchandise sales increased 9% (16% on a constant currency basis) as we continued with efforts to reduce aged general merchandise at a higher cost basis, with an offsetting 400 bps decline in margins to 22% (400 bps on a constant currency basis). Excluding the $1.2 million increase in inventory reserves due to an increase in aged inventory resulting from the impact of COVID-19, gross margin on merchandise sales decreased to 23% from 26%.</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Jewelry scrapping gross profit increased 27% (33% on a constant currency basis) due to a 400 bps increase in margins (400 bps on a constant currency basis), as a result of higher gold prices.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Operations expense decreased $4.3 million or 6% (1% on a constant currency basis) due to cost reduction initiatives. Of the total decrease, $1.1 million is related to the reversal of accrued short-term and long-term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summary financial data from the Lana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24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2"/>
        </w:trPr>
        <w:tc>
          <w:tcPr>
            <w:tcW w:w="70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7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9"/>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108"/>
        </w:trPr>
        <w:tc>
          <w:tcPr>
            <w:tcW w:w="7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contribution:</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w:t>
            </w:r>
          </w:p>
        </w:tc>
        <w:tc>
          <w:tcPr>
            <w:tcW w:w="82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4,270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(44)%</w:t>
            </w:r>
          </w:p>
        </w:tc>
      </w:tr>
      <w:tr>
        <w:trPr>
          <w:trHeight w:val="21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charges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expense and other</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8,586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5"/>
              </w:rPr>
              <w:t>12%</w:t>
            </w:r>
          </w:p>
        </w:tc>
      </w:tr>
      <w:tr>
        <w:trPr>
          <w:trHeight w:val="216"/>
        </w:trPr>
        <w:tc>
          <w:tcPr>
            <w:tcW w:w="70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r>
      <w:tr>
        <w:trPr>
          <w:trHeight w:val="235"/>
        </w:trPr>
        <w:tc>
          <w:tcPr>
            <w:tcW w:w="7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Segment loss</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(8,552)</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(7,685)</w:t>
            </w:r>
          </w:p>
        </w:tc>
        <w:tc>
          <w:tcPr>
            <w:tcW w:w="14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5"/>
              </w:rPr>
              <w:t>11%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ind w:left="540" w:hanging="514"/>
        <w:spacing w:after="0"/>
        <w:tabs>
          <w:tab w:leader="none" w:pos="5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percentage computation that is not mathematically meaningful.</w:t>
      </w:r>
    </w:p>
    <w:p>
      <w:pPr>
        <w:spacing w:after="0" w:line="2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Discrete revenues to date are minimal as the Lana product offering launched late in the first quarter of fiscal 2020 and all fees from pawn loan extensions, including those made through the Lana platform, are reported in our pawn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expense decreased 44% due to the initial investment of non-capitalizable costs in the Lana platform in the prior year.</w:t>
      </w:r>
    </w:p>
    <w:p>
      <w:pPr>
        <w:spacing w:after="0" w:line="25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Segment loss increased 11% primarily as a result of the $3.3 million increase in other charges primarily related to the impairment of Lana software of $3.0 million and an increase in depreciation of $1.0 million (as the product offering was launched in the first quarter of fiscal 2020) offset by the decrease in operations expense. The impairment was due to a strategic initiative to focus on significantly improving and strengthening our core pawn business, which led to scaling back our expectations and development of Lana to a digital customer service platform to support our pawn businesses.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International</w:t>
      </w:r>
    </w:p>
    <w:p>
      <w:pPr>
        <w:spacing w:after="0" w:line="1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following table presents selected summary financial data for the Other International segment after translation to U.S. dollars from its reporting units’ functional currencies of primarily Canadian and Australian dollars:</w:t>
      </w:r>
    </w:p>
    <w:tbl>
      <w:tblPr>
        <w:tblLayout w:type="fixed"/>
        <w:tblInd w:w="0" w:type="dxa"/>
        <w:tblCellMar>
          <w:top w:w="0" w:type="dxa"/>
          <w:left w:w="0" w:type="dxa"/>
          <w:bottom w:w="0" w:type="dxa"/>
          <w:right w:w="0" w:type="dxa"/>
        </w:tblCellMar>
      </w:tblPr>
      <w:tr>
        <w:trPr>
          <w:trHeight w:val="165"/>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center"/>
              <w:ind w:right="219"/>
              <w:spacing w:after="0" w:line="165" w:lineRule="exact"/>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2"/>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Consumer loan fees and interest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(32)%</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Consumer loan bad debt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(59)%</w:t>
            </w:r>
          </w:p>
        </w:tc>
      </w:tr>
      <w:tr>
        <w:trPr>
          <w:trHeight w:val="207"/>
        </w:trPr>
        <w:tc>
          <w:tcPr>
            <w:tcW w:w="7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(13)%</w:t>
            </w:r>
          </w:p>
        </w:tc>
      </w:tr>
      <w:tr>
        <w:trPr>
          <w:trHeight w:val="111"/>
        </w:trPr>
        <w:tc>
          <w:tcPr>
            <w:tcW w:w="70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(30)%</w:t>
            </w:r>
          </w:p>
        </w:tc>
      </w:tr>
      <w:tr>
        <w:trPr>
          <w:trHeight w:val="213"/>
        </w:trPr>
        <w:tc>
          <w:tcPr>
            <w:tcW w:w="7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goodwill, intangible and 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investment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7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charges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net loss of unconsolidated affiliates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07"/>
        </w:trPr>
        <w:tc>
          <w:tcPr>
            <w:tcW w:w="70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Segment operating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(24,162)</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14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(80)%</w:t>
            </w:r>
          </w:p>
        </w:tc>
      </w:tr>
      <w:tr>
        <w:trPr>
          <w:trHeight w:val="237"/>
        </w:trPr>
        <w:tc>
          <w:tcPr>
            <w:tcW w:w="7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Segment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(26,830)</w:t>
            </w:r>
          </w:p>
        </w:tc>
        <w:tc>
          <w:tcPr>
            <w:tcW w:w="14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(61)%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ind w:left="520" w:hanging="494"/>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percentage computation that is not mathematically meaningful.</w:t>
      </w:r>
    </w:p>
    <w:p>
      <w:pPr>
        <w:spacing w:after="0" w:line="2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Segment loss was $10.4 million, an improvement of $16.5 million from the prior year primarily due to an impairment of our investment in Cash Converters International in the amount of $19.7 million in the prior year with no similar impairment in the current year, offset by a $7.1 million charge, ($10.1 million, net of a $3.0 million tax benefit) in the first quarter of fiscal 2020 for our share of the Cash Converters International settlement of a class action lawsuit.</w:t>
      </w:r>
    </w:p>
    <w:p>
      <w:pPr>
        <w:spacing w:after="0" w:line="1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operated 22 financial services stores in Canada under the CASHMAX brand during the fiscal year. All of the stores were located in the Ontario province, in and around Toronto. During the fourth quarter, we closed our CASHMAX business. We recorded other charges of $4.9 million in this segment, primarily consisting of severance and other payroll-related costs, net asset write-offs, impairment of internally developed software and contract termination costs.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2019, Cash Converters International agreed to settle the sole remaining class action lawsuit previously lodged on behalf of borrowers residing in Queensland, Australia who took out personal loans from Cash Converters International between July 30, 2009 and June 30, 2013. Cash Converters International agreed to pay AUD $42.5 million in two tranches, subject to court approval. We recorded a charge of approximately $10.0 million for our share of the settlement from Cash Converters International in fiscal 2020 related to this event, in addition to our regularly included share of their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2"/>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contribution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91,284</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(70)%</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expenses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55,990</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(11)%</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goodwill and intangibles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3"/>
              </w:rPr>
              <w:t>9%</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sale or disposal of assets and other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30,537</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(30)%</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(83)%</w:t>
            </w:r>
          </w:p>
        </w:tc>
      </w:tr>
      <w:tr>
        <w:trPr>
          <w:trHeight w:val="21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4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2"/>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44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(168)%</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4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(100)%</w:t>
            </w:r>
          </w:p>
        </w:tc>
      </w:tr>
      <w:tr>
        <w:trPr>
          <w:trHeight w:val="212"/>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440" w:type="dxa"/>
            <w:vAlign w:val="bottom"/>
            <w:tcBorders>
              <w:top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EZCORP, Inc.</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440" w:type="dxa"/>
            <w:vAlign w:val="bottom"/>
            <w:tcBorders>
              <w:top w:val="single" w:sz="8" w:color="CCEEFF"/>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ind w:left="520" w:hanging="494"/>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percentage computation that is not mathematically meaningful.</w:t>
      </w:r>
    </w:p>
    <w:p>
      <w:pPr>
        <w:spacing w:after="0" w:line="262"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Administrative expenses decreased $6.1 million, or 11%, primarily due to the reduction of short-term and long-term incentive compensation of approximately $17.0 million, offset by a $10.9 million increase in labor costs.</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Other charges include $8.5 million of charges resulting from the implementation of cost saving initiatives and rationalizing non-core activities. These charges include $5.4 million in severance costs and other payroll-related costs and $3.1 million of miscellaneous charges.</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Interest expense decreased $9.3 million, or 30%, primarily due to the repayment in June 2019 of our 2.125% Cash Convertible Senior Notes Due 2019. Prior to repayment, the principal amount of these notes was $195.0 million. For additional information about our financing transactions, see “Note 9 of Notes to Consolidated Financial Statements included in “Part II, Item 8 — Financial Statements and Supplementary Data.”</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income decreased $7.9 million, or 83%, primarily due to the declining principal balance on the Grupo Finmart notes receivable, in addition to the reduction of interest earned on outstanding cash balances after our 2019 Convertible Notes were repaid in June 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decreased $4.0 million due primarily to:</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$74.3 million decrease in income from continuing operations before income taxes;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 million increase in income tax expense resulting from non-deductible goodwill impairments.</w:t>
      </w:r>
    </w:p>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Note 11 of Notes to Consolidated Financial Statements included in “Part II, Item 8 — Financial Statements and Supplemental Data” for quantification of these items.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2019 vs. Fiscal 2018</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Results of Operations discussion for fiscal 2019 vs. fiscal 2018 has been omitted and is located in “Part II, Item 7 —Management’s Discussion and Analysis of Financial Condition and Results of Operations” of our Annual Report on Form 10-K for the year ended September 30, 2019, which was filed with the SEC on December 5,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and discussion below present a summary of the sources and uses of our cash: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320" w:type="dxa"/>
            <w:vAlign w:val="bottom"/>
          </w:tcPr>
          <w:p>
            <w:pPr>
              <w:spacing w:after="0"/>
              <w:rPr>
                <w:sz w:val="16"/>
                <w:szCs w:val="16"/>
                <w:color w:val="auto"/>
              </w:rPr>
            </w:pPr>
          </w:p>
        </w:tc>
      </w:tr>
      <w:tr>
        <w:trPr>
          <w:trHeight w:val="212"/>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49"/>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(27,829)</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495%</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97%</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7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150,111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(123,136)</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20" w:hanging="394"/>
        <w:spacing w:after="0"/>
        <w:tabs>
          <w:tab w:leader="none" w:pos="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percentage computation that is not mathematically meaningful.</w:t>
      </w:r>
    </w:p>
    <w:p>
      <w:pPr>
        <w:spacing w:after="0" w:line="2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decrease in cash flows from operating activities year-over-year was due to $33.2 million of changes in working capital and a $20.3 million change in net income, exclusive of non-cash items. Changes in working capital included certain required prepayments and payments of accounts payable, including certain discrete items, accrued as of September 30, 2019.</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increase in cash flows from investing activities year-over-year was primarily due to a $129.5 million net decrease in new loan originations and associated loan balances because of a change in customer borrowing behaviors during the COVID-19 pandemic and a $15.8 million increase in the sale of forfeited collateral, partially offset by a $26.1 million net decrease in principal collections on the Grupo Finmart notes receivable.</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decrease in cash flows used in financing activities was due primarily to repayment of $195.0 million principal amount of 2.125% Cash Convertible Senior Notes Due 2019 in the prior year, partially offset by $5.2 million in common stock repurchases in the current year.</w:t>
      </w:r>
    </w:p>
    <w:p>
      <w:pPr>
        <w:spacing w:after="0" w:line="10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net effect of these changes was a $150.1 million increase in cash on hand during the current year, resulting in a $312.6 million ending cash and restricted cash balance. Of the ending cash balance on September 30, 2020, $49.0 million was unavailable to fund domestic operations as we intend to permanently reinvest those funds in our foreign operations and $8.0 million was also unavailable as these funds are being held in an escrow account pending resolution of an indemnification claim related to the sale of Grupo Finmart.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2019, our Board of Directors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The resumption of our stock repurchase program and the amount and timing of purchases will be dependent on a variety of factors. These factors include the return to normal business conditions, stock price, trading volume, general market conditions, legal and regulatory requirements, cash flow levels, and corporate considerations determined by management and the Board, such as liquidity and capital needs and the availability of attractive alternative investment opportunities. The Board of Directors has reserved the right to modify, suspend or terminate the program at any time. During the year ended September 30, 2020, we repurchased and retired 943,149 shares of our Class A Common Stock for $5.2 million.</w:t>
      </w:r>
    </w:p>
    <w:p>
      <w:pPr>
        <w:spacing w:after="0" w:line="2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anticipate that cash flows from operations and cash on hand will be adequate to fund any future stock repurchases, our contractual obligations, planned de novo store growth, capital expenditures and working capital requirements through fiscal 2021. We continue to explore accretive acquisition opportunities, both large and small, and may choose to pursue additional debt, equity or equity-linked financings in the future should the need arise. Given the current uncertainty related to the COVID-19 pandemic, we may continue to adjust our capital or other expenditures.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a description of the terms of our convertible notes, including the associated conversion and other related features and transactions, see Note 9 of Notes to Consolidated Financial Statements included in “Part II, Item 8 — Financial Statements and Supplementary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2019, we repaid $195.0 million principal amount of 2.125% Cash Convertible Senior Notes Due 2019 at maturity using cash on hand.</w:t>
      </w:r>
    </w:p>
    <w:p>
      <w:pPr>
        <w:spacing w:after="0" w:line="239" w:lineRule="exact"/>
        <w:rPr>
          <w:sz w:val="20"/>
          <w:szCs w:val="20"/>
          <w:color w:val="auto"/>
        </w:rPr>
      </w:pPr>
    </w:p>
    <w:p>
      <w:pPr>
        <w:jc w:val="both"/>
        <w:ind w:right="620"/>
        <w:spacing w:after="0" w:line="250" w:lineRule="auto"/>
        <w:rPr>
          <w:sz w:val="20"/>
          <w:szCs w:val="20"/>
          <w:color w:val="auto"/>
        </w:rPr>
      </w:pPr>
      <w:r>
        <w:rPr>
          <w:rFonts w:ascii="Times New Roman" w:cs="Times New Roman" w:eastAsia="Times New Roman" w:hAnsi="Times New Roman"/>
          <w:sz w:val="18"/>
          <w:szCs w:val="18"/>
          <w:color w:val="auto"/>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Grupo Finmart Notes</w:t>
      </w:r>
    </w:p>
    <w:p>
      <w:pPr>
        <w:spacing w:after="0" w:line="17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 connection with the sale of Grupo Finmart to Alpha Holding, S.A. de C.V. (“AlphaCredit”) in September 2016, Grupo Finmart issued two promissory notes (the “Parent Loan Notes”) to us in the aggregate principal amount of $60.2 million. The repayment terms of the Parent Loan Notes were amended in September 2017, and since that time, we received all scheduled payments when due. During the year ended September 30, 2020, we received the remaining deferred compensation fees of $8.0 million, which was placed into escrow pending resolution of a potential indemnity claim.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cash needs to meet future aggregate contractual obligations as of September 30,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300" w:type="dxa"/>
            <w:vAlign w:val="bottom"/>
          </w:tcPr>
          <w:p>
            <w:pPr>
              <w:spacing w:after="0"/>
              <w:rPr>
                <w:sz w:val="13"/>
                <w:szCs w:val="13"/>
                <w:color w:val="auto"/>
              </w:rPr>
            </w:pPr>
          </w:p>
        </w:tc>
        <w:tc>
          <w:tcPr>
            <w:tcW w:w="10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40" w:type="dxa"/>
            <w:vAlign w:val="bottom"/>
          </w:tcPr>
          <w:p>
            <w:pPr>
              <w:spacing w:after="0"/>
              <w:rPr>
                <w:sz w:val="13"/>
                <w:szCs w:val="13"/>
                <w:color w:val="auto"/>
              </w:rPr>
            </w:pP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obligations (a)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long-term debt obligations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obligations (b)</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89,971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41,639</w:t>
            </w:r>
          </w:p>
        </w:tc>
        <w:tc>
          <w:tcPr>
            <w:tcW w:w="0" w:type="dxa"/>
            <w:vAlign w:val="bottom"/>
          </w:tcPr>
          <w:p>
            <w:pPr>
              <w:spacing w:after="0"/>
              <w:rPr>
                <w:sz w:val="1"/>
                <w:szCs w:val="1"/>
                <w:color w:val="auto"/>
              </w:rPr>
            </w:pP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 (d)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604,592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106,935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381,431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debt discount and deferred financing costs as well as convertible features.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$8.6 million in sublease payments expected to be received.</w:t>
      </w:r>
    </w:p>
    <w:p>
      <w:pPr>
        <w:spacing w:after="0" w:line="55"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for uncertain tax benefits has been reflected in the contractual obligations table as the timing of any such payment is uncertain. See Note 11 of Notes to Consolidated Financial Statements included in “Part II, Item 8 — Financial Statements and Supplemental Data.” Additionally, no provision for insurance reserves, deferred compensation arrangements, or other liabilities totaling $6.1 million has been included as the timing of such payments are uncertain.</w:t>
      </w:r>
    </w:p>
    <w:p>
      <w:pPr>
        <w:spacing w:after="0" w:line="14" w:lineRule="exact"/>
        <w:rPr>
          <w:rFonts w:ascii="Times New Roman" w:cs="Times New Roman" w:eastAsia="Times New Roman" w:hAnsi="Times New Roman"/>
          <w:sz w:val="14"/>
          <w:szCs w:val="14"/>
          <w:color w:val="auto"/>
        </w:rPr>
      </w:pPr>
    </w:p>
    <w:p>
      <w:pPr>
        <w:ind w:left="340" w:right="220" w:hanging="332"/>
        <w:spacing w:after="0" w:line="282" w:lineRule="auto"/>
        <w:tabs>
          <w:tab w:leader="none" w:pos="325"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excludes contractual obligations already recorded on our consolidated balance sheets as current liabilities, except for the accrued portions of interest and lease obligations which are included in interest on long-term debt obligations and lease obligations captions above.</w:t>
      </w:r>
    </w:p>
    <w:p>
      <w:pPr>
        <w:spacing w:after="0" w:line="1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lease obligations in the table above, we are responsible for the maintenance, property taxes and insurance at most of our locations. During the fiscal year ended September 30, 2020, these collectively amounted to $24.7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generally accepted accounting principles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19"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 critical accounting policies and estimates that could have a significant impact on our results of operations, as well as relevant recent accounting pronouncements, are described in Note 1 of Notes to Consolidated Financial Statements included in “Part II, Item 8 — Financial Statements and Supplemental Data.” Certain accounting policies regarding the quantification of the sensitivity of certain critical estimates are discussed further below.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Pawn Loan Revenue Recognition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record PSC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 As of September 30, 2020, the balance of our PSC receivable was $20.6 million. Assuming the average forfeiture rate increased or decreased by 10%, our pawn service charges receivable balance as of September 30, 2020 would have increased or decreased by approximately $2.0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Goods Sold</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consider our estimates of obsolete or slow-moving inventory and shrinkage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and resulting trends in margins. Future declines in gold prices may cause an increase in reserve rates pertaining to jewelry inventory. As of September 30, 2020, the gross balance of our inventory was $108.2 million, for which we have included reserves of $12.3 million. Assuming the reserve rates were increased or decreased by 10%, our inventory reserve balance as of September 30, 2020 would have increased or decreased by approximately $1.2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equivalent to our operating segments for fiscal 2020.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We use discount rates that are commensurate with the risks and uncertainties inherent in the respective businesses and in our internally developed forecasts. Discount rates used in fiscal 2020 goodwill valuations ranged from 11% to 19%, compared to 10% to 15% used in fiscal 2019. In testing other intangible assets for potential impairment, we apply key assumptions that are consistent with those utilized in our goodwill impairment test.</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perform a qualitative assessment in making our determination of whether it is more likely than not that goodwill and other intangible assets are impaired under appropriate accounting guidance on an annual basis in future reporting periods. In addition to the assumptions discussed above pertaining to the income approach, we consider the assessment of potential triggering events to be a critical estimate. The results of impairment analyses for fiscal year 2020 are described in Note 8 of Notes to Consolidated Financial Statements included in “Part II, Item 8 — Financial Statements and Supplemental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net recorded deferred tax assets. In the event that we determine all or part of the net deferred tax assets are not realizable in the future, we will make an adjustment to the valuation allowance that would be charged to earnings in the period such determination is made. We have included valuation allowances against deferred tax assets for net operating losses and tax credits not expected to be utilized based on specific facts and estimates for each jurisdiction.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foreign withholding taxes of our undistributed earnings of foreign subsidiaries indefinitely invested outside the U.S.</w:t>
      </w:r>
    </w:p>
    <w:p>
      <w:pPr>
        <w:spacing w:after="0" w:line="12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an audit or the refinement of an estimate. Changes in recognition or measurement are reflected in the period in which the change in judgment occurs. We believe adequate provisions for income taxes have been made for all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3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operating losses and uncertainties relating to the COVID-19 pandemic, including the impact of renewed economic stimulus measures;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sustain focus on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characterizations of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business in Texas and Florida;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gold prices or volumes;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sales, pawn loan balances, sales margins, pawn redemption rates or other important operating metrics;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growing our store count through acquisitions and de novo openings;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a digital transaction and lending services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indemnification obligations for pre-closing taxes related to our sale of Grupo Finmart;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controlled ownership 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fines and penalties, lawsuits and related liabilities related to firearms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robberies, burglaries and other crimes at our stores;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or acquire, deploy and maintain adequate information technology and other business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adequate return on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uninsured property, casualty or other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natural disasters;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impact of potential impairment of goodwill or other intangible assets such as trade names;</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conversion of Convertible Notes into cash (which could adversely affect liquidity) or stock (which will cause dilution of existing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number of unreserved shares available for future issuance;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that could adversely affect our financial condition or results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regulatory, political or social climate in Latin America;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litigation and regulatory proceedings;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disruptive effect of acquisitions, investments and new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under anti-corruption, anti-bribery, anti-money laundering and other general business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liquidity, capital requirements or access to debt and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data security breaches or other cyber-attacks;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civil unrest or government overthrow and other events beyond our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these important risk factors, see "Part I, Item 1A — Risk Factors."</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related primarily to gold values and changes in foreign currency exchange rates.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earnings and financial position are affected by changes in gold values, and to a lesser extent silver and precious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due to the timing of scrap sales, among other operational considerations.</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earnings and financial position are affected by foreign exchange rate fluctuations related to our equity investments and our operations outside the U.S. While we generally do not seek to hedge amounts in foreign currencies, we consider hedging strategies from time to time to mitigate certain discrete risks of exposure via short term arrangements.</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translation adjustment from Cash Converters International through June 30, 2020 (included in our September 30, 2020 results on a three-month lag) was a $1.7 million increase to stockholders’ equity, excluding income tax impacts. During the fiscal year ended September 30, 2020, the $1.00 Australian dollar to $0.6750 U.S. was flat as compared to the prior year.</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translation adjustment from Latin America primarily representing the change of the Mexican peso during the year ended September 30, 2020 was a $14.7 million decrease to stockholders’ equity. During the fiscal year ended September 30, 2020, the Mexican peso weakened approximately 10.7% to $1.00 Mexican to $0.0453 U.S. from $0.0507 U.S. as of September 30, 2019. During the fiscal year ended September 30, 2020, the Guatemalan quetzal weakened approximately 2.9% to Q1.00 Guatemalan to $0.1285 U.S. from $0.1324 U.S. as of September 30, 2019. We have currently assumed indefinite reinvestment of earnings and capital in Latin America. Accumulated translation gains or losses related to any future repatriation of earnings or capital would impact our earnings in the period of repatriation.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lesser degree, our operations are affected by fluctuations in the exchange rate of the Honduran lempira and the Peruvian sol.</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translation adjustment from our Canadian operations representing the weakening of the Canadian dollar during the year ended September 30, 2020 was a $0.2 million decrease to stockholders’ equity. During the fiscal year ended September 30, 2020, the $1.00 Canadian dollar to $0.7507 U.S. was flat as compared to the prior year.</w:t>
      </w:r>
    </w:p>
    <w:p>
      <w:pPr>
        <w:spacing w:after="0" w:line="1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cannot predict the future valuation of foreign currencies or how further movements in exchange rates could affect our future earnings or financial position due to the interrelationship of operating results and exchange rates.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2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18"/>
        </w:trPr>
        <w:tc>
          <w:tcPr>
            <w:tcW w:w="10420" w:type="dxa"/>
            <w:vAlign w:val="bottom"/>
            <w:gridSpan w:val="11"/>
          </w:tcPr>
          <w:p>
            <w:pPr>
              <w:ind w:left="2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Report of Independent Registered Public Accounting Firm</w:t>
              </w:r>
            </w:hyperlink>
          </w:p>
        </w:tc>
        <w:tc>
          <w:tcPr>
            <w:tcW w:w="800" w:type="dxa"/>
            <w:vAlign w:val="bottom"/>
            <w:tcBorders>
              <w:top w:val="single" w:sz="8" w:color="auto"/>
            </w:tcBorders>
          </w:tcPr>
          <w:p>
            <w:pPr>
              <w:jc w:val="center"/>
              <w:spacing w:after="0"/>
              <w:rPr>
                <w:rFonts w:ascii="Times New Roman" w:cs="Times New Roman" w:eastAsia="Times New Roman" w:hAnsi="Times New Roman"/>
                <w:sz w:val="18"/>
                <w:szCs w:val="18"/>
                <w:u w:val="single" w:color="auto"/>
                <w:color w:val="0000FF"/>
                <w:w w:val="99"/>
              </w:rPr>
            </w:pPr>
            <w:hyperlink w:anchor="page40">
              <w:r>
                <w:rPr>
                  <w:rFonts w:ascii="Times New Roman" w:cs="Times New Roman" w:eastAsia="Times New Roman" w:hAnsi="Times New Roman"/>
                  <w:sz w:val="18"/>
                  <w:szCs w:val="18"/>
                  <w:u w:val="single" w:color="auto"/>
                  <w:color w:val="0000FF"/>
                  <w:w w:val="99"/>
                </w:rPr>
                <w:t>40</w:t>
              </w:r>
            </w:hyperlink>
          </w:p>
        </w:tc>
        <w:tc>
          <w:tcPr>
            <w:tcW w:w="20" w:type="dxa"/>
            <w:vAlign w:val="bottom"/>
          </w:tcPr>
          <w:p>
            <w:pPr>
              <w:spacing w:after="0"/>
              <w:rPr>
                <w:sz w:val="18"/>
                <w:szCs w:val="18"/>
                <w:color w:val="auto"/>
              </w:rPr>
            </w:pPr>
          </w:p>
        </w:tc>
      </w:tr>
      <w:tr>
        <w:trPr>
          <w:trHeight w:val="229"/>
        </w:trPr>
        <w:tc>
          <w:tcPr>
            <w:tcW w:w="10420" w:type="dxa"/>
            <w:vAlign w:val="bottom"/>
            <w:gridSpan w:val="11"/>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Consolidated Financial Statements:</w:t>
              </w:r>
            </w:hyperlink>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420" w:type="dxa"/>
            <w:vAlign w:val="bottom"/>
            <w:gridSpan w:val="11"/>
          </w:tcPr>
          <w:p>
            <w:pPr>
              <w:ind w:left="2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Consolidated Balance Sheets as of September 30, 2020 and 2019</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1">
              <w:r>
                <w:rPr>
                  <w:rFonts w:ascii="Times New Roman" w:cs="Times New Roman" w:eastAsia="Times New Roman" w:hAnsi="Times New Roman"/>
                  <w:sz w:val="18"/>
                  <w:szCs w:val="18"/>
                  <w:u w:val="single" w:color="auto"/>
                  <w:color w:val="0000FF"/>
                  <w:w w:val="99"/>
                </w:rPr>
                <w:t>41</w:t>
              </w:r>
            </w:hyperlink>
          </w:p>
        </w:tc>
        <w:tc>
          <w:tcPr>
            <w:tcW w:w="20" w:type="dxa"/>
            <w:vAlign w:val="bottom"/>
          </w:tcPr>
          <w:p>
            <w:pPr>
              <w:spacing w:after="0"/>
              <w:rPr>
                <w:sz w:val="19"/>
                <w:szCs w:val="19"/>
                <w:color w:val="auto"/>
              </w:rPr>
            </w:pPr>
          </w:p>
        </w:tc>
      </w:tr>
      <w:tr>
        <w:trPr>
          <w:trHeight w:val="229"/>
        </w:trPr>
        <w:tc>
          <w:tcPr>
            <w:tcW w:w="10420" w:type="dxa"/>
            <w:vAlign w:val="bottom"/>
            <w:gridSpan w:val="11"/>
          </w:tcPr>
          <w:p>
            <w:pPr>
              <w:ind w:left="2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Consolidated Statements of Operations for each of the three years ended September 30, 2020, 2019 and 2018</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2">
              <w:r>
                <w:rPr>
                  <w:rFonts w:ascii="Times New Roman" w:cs="Times New Roman" w:eastAsia="Times New Roman" w:hAnsi="Times New Roman"/>
                  <w:sz w:val="18"/>
                  <w:szCs w:val="18"/>
                  <w:u w:val="single" w:color="auto"/>
                  <w:color w:val="0000FF"/>
                  <w:w w:val="99"/>
                </w:rPr>
                <w:t>42</w:t>
              </w:r>
            </w:hyperlink>
          </w:p>
        </w:tc>
        <w:tc>
          <w:tcPr>
            <w:tcW w:w="20" w:type="dxa"/>
            <w:vAlign w:val="bottom"/>
          </w:tcPr>
          <w:p>
            <w:pPr>
              <w:spacing w:after="0"/>
              <w:rPr>
                <w:sz w:val="19"/>
                <w:szCs w:val="19"/>
                <w:color w:val="auto"/>
              </w:rPr>
            </w:pPr>
          </w:p>
        </w:tc>
      </w:tr>
      <w:tr>
        <w:trPr>
          <w:trHeight w:val="230"/>
        </w:trPr>
        <w:tc>
          <w:tcPr>
            <w:tcW w:w="10420" w:type="dxa"/>
            <w:vAlign w:val="bottom"/>
            <w:gridSpan w:val="11"/>
          </w:tcPr>
          <w:p>
            <w:pPr>
              <w:ind w:left="22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Consolidated Statements of Comprehensive (Loss) Income for each of the three years ended September 30, 2020, 2019 and 2018</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3">
              <w:r>
                <w:rPr>
                  <w:rFonts w:ascii="Times New Roman" w:cs="Times New Roman" w:eastAsia="Times New Roman" w:hAnsi="Times New Roman"/>
                  <w:sz w:val="18"/>
                  <w:szCs w:val="18"/>
                  <w:u w:val="single" w:color="auto"/>
                  <w:color w:val="0000FF"/>
                  <w:w w:val="99"/>
                </w:rPr>
                <w:t>43</w:t>
              </w:r>
            </w:hyperlink>
          </w:p>
        </w:tc>
        <w:tc>
          <w:tcPr>
            <w:tcW w:w="20" w:type="dxa"/>
            <w:vAlign w:val="bottom"/>
          </w:tcPr>
          <w:p>
            <w:pPr>
              <w:spacing w:after="0"/>
              <w:rPr>
                <w:sz w:val="19"/>
                <w:szCs w:val="19"/>
                <w:color w:val="auto"/>
              </w:rPr>
            </w:pPr>
          </w:p>
        </w:tc>
      </w:tr>
      <w:tr>
        <w:trPr>
          <w:trHeight w:val="229"/>
        </w:trPr>
        <w:tc>
          <w:tcPr>
            <w:tcW w:w="10420" w:type="dxa"/>
            <w:vAlign w:val="bottom"/>
            <w:gridSpan w:val="11"/>
          </w:tcPr>
          <w:p>
            <w:pPr>
              <w:ind w:left="22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Consolidated Statements of Stockholders’ Equity for each of the three years ended September 30, 2020, 2019 and 2018</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44</w:t>
              </w:r>
            </w:hyperlink>
          </w:p>
        </w:tc>
        <w:tc>
          <w:tcPr>
            <w:tcW w:w="20" w:type="dxa"/>
            <w:vAlign w:val="bottom"/>
          </w:tcPr>
          <w:p>
            <w:pPr>
              <w:spacing w:after="0"/>
              <w:rPr>
                <w:sz w:val="19"/>
                <w:szCs w:val="19"/>
                <w:color w:val="auto"/>
              </w:rPr>
            </w:pPr>
          </w:p>
        </w:tc>
      </w:tr>
      <w:tr>
        <w:trPr>
          <w:trHeight w:val="229"/>
        </w:trPr>
        <w:tc>
          <w:tcPr>
            <w:tcW w:w="10420" w:type="dxa"/>
            <w:vAlign w:val="bottom"/>
            <w:gridSpan w:val="11"/>
          </w:tcPr>
          <w:p>
            <w:pPr>
              <w:ind w:left="22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Consolidated Statements of Cash Flows for each of the three years ended September 30, 2020, 2019 and 2018</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5">
              <w:r>
                <w:rPr>
                  <w:rFonts w:ascii="Times New Roman" w:cs="Times New Roman" w:eastAsia="Times New Roman" w:hAnsi="Times New Roman"/>
                  <w:sz w:val="18"/>
                  <w:szCs w:val="18"/>
                  <w:u w:val="single" w:color="auto"/>
                  <w:color w:val="0000FF"/>
                  <w:w w:val="99"/>
                </w:rPr>
                <w:t>45</w:t>
              </w:r>
            </w:hyperlink>
          </w:p>
        </w:tc>
        <w:tc>
          <w:tcPr>
            <w:tcW w:w="20" w:type="dxa"/>
            <w:vAlign w:val="bottom"/>
          </w:tcPr>
          <w:p>
            <w:pPr>
              <w:spacing w:after="0"/>
              <w:rPr>
                <w:sz w:val="19"/>
                <w:szCs w:val="19"/>
                <w:color w:val="auto"/>
              </w:rPr>
            </w:pPr>
          </w:p>
        </w:tc>
      </w:tr>
      <w:tr>
        <w:trPr>
          <w:trHeight w:val="230"/>
        </w:trPr>
        <w:tc>
          <w:tcPr>
            <w:tcW w:w="10420" w:type="dxa"/>
            <w:vAlign w:val="bottom"/>
            <w:gridSpan w:val="11"/>
          </w:tcPr>
          <w:p>
            <w:pPr>
              <w:ind w:left="2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Notes to Consolidated Financial Statements</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6">
              <w:r>
                <w:rPr>
                  <w:rFonts w:ascii="Times New Roman" w:cs="Times New Roman" w:eastAsia="Times New Roman" w:hAnsi="Times New Roman"/>
                  <w:sz w:val="18"/>
                  <w:szCs w:val="18"/>
                  <w:u w:val="single" w:color="auto"/>
                  <w:color w:val="0000FF"/>
                  <w:w w:val="99"/>
                </w:rPr>
                <w:t>46</w:t>
              </w:r>
            </w:hyperlink>
          </w:p>
        </w:tc>
        <w:tc>
          <w:tcPr>
            <w:tcW w:w="2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9920" w:type="dxa"/>
            <w:vAlign w:val="bottom"/>
            <w:gridSpan w:val="10"/>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Note 1: Organization and Summary of Significant Accounting Policies</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7">
              <w:r>
                <w:rPr>
                  <w:rFonts w:ascii="Times New Roman" w:cs="Times New Roman" w:eastAsia="Times New Roman" w:hAnsi="Times New Roman"/>
                  <w:sz w:val="18"/>
                  <w:szCs w:val="18"/>
                  <w:u w:val="single" w:color="auto"/>
                  <w:color w:val="0000FF"/>
                  <w:w w:val="99"/>
                </w:rPr>
                <w:t>46</w:t>
              </w:r>
            </w:hyperlink>
          </w:p>
        </w:tc>
        <w:tc>
          <w:tcPr>
            <w:tcW w:w="20" w:type="dxa"/>
            <w:vAlign w:val="bottom"/>
          </w:tcPr>
          <w:p>
            <w:pPr>
              <w:spacing w:after="0"/>
              <w:rPr>
                <w:sz w:val="19"/>
                <w:szCs w:val="19"/>
                <w:color w:val="auto"/>
              </w:rPr>
            </w:pPr>
          </w:p>
        </w:tc>
      </w:tr>
      <w:tr>
        <w:trPr>
          <w:trHeight w:val="194"/>
        </w:trPr>
        <w:tc>
          <w:tcPr>
            <w:tcW w:w="500" w:type="dxa"/>
            <w:vAlign w:val="bottom"/>
          </w:tcPr>
          <w:p>
            <w:pPr>
              <w:spacing w:after="0"/>
              <w:rPr>
                <w:sz w:val="16"/>
                <w:szCs w:val="16"/>
                <w:color w:val="auto"/>
              </w:rPr>
            </w:pPr>
          </w:p>
        </w:tc>
        <w:tc>
          <w:tcPr>
            <w:tcW w:w="9920" w:type="dxa"/>
            <w:vAlign w:val="bottom"/>
            <w:gridSpan w:val="10"/>
          </w:tcPr>
          <w:p>
            <w:pPr>
              <w:spacing w:after="0" w:line="194" w:lineRule="exact"/>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Note 2: Other C</w:t>
              </w:r>
              <w:r>
                <w:rPr>
                  <w:rFonts w:ascii="Times New Roman" w:cs="Times New Roman" w:eastAsia="Times New Roman" w:hAnsi="Times New Roman"/>
                  <w:sz w:val="18"/>
                  <w:szCs w:val="18"/>
                  <w:u w:val="single" w:color="auto"/>
                  <w:color w:val="0000FF"/>
                </w:rPr>
                <w:t>harges</w:t>
              </w:r>
            </w:hyperlink>
          </w:p>
        </w:tc>
        <w:tc>
          <w:tcPr>
            <w:tcW w:w="800" w:type="dxa"/>
            <w:vAlign w:val="bottom"/>
          </w:tcPr>
          <w:p>
            <w:pPr>
              <w:jc w:val="center"/>
              <w:spacing w:after="0" w:line="194" w:lineRule="exact"/>
              <w:rPr>
                <w:rFonts w:ascii="Times New Roman" w:cs="Times New Roman" w:eastAsia="Times New Roman" w:hAnsi="Times New Roman"/>
                <w:sz w:val="18"/>
                <w:szCs w:val="18"/>
                <w:u w:val="single" w:color="auto"/>
                <w:color w:val="0000FF"/>
                <w:w w:val="99"/>
              </w:rPr>
            </w:pPr>
            <w:hyperlink w:anchor="page53">
              <w:r>
                <w:rPr>
                  <w:rFonts w:ascii="Times New Roman" w:cs="Times New Roman" w:eastAsia="Times New Roman" w:hAnsi="Times New Roman"/>
                  <w:sz w:val="18"/>
                  <w:szCs w:val="18"/>
                  <w:u w:val="single" w:color="auto"/>
                  <w:color w:val="0000FF"/>
                  <w:w w:val="99"/>
                </w:rPr>
                <w:t>52</w:t>
              </w:r>
            </w:hyperlink>
          </w:p>
        </w:tc>
        <w:tc>
          <w:tcPr>
            <w:tcW w:w="20" w:type="dxa"/>
            <w:vAlign w:val="bottom"/>
          </w:tcPr>
          <w:p>
            <w:pPr>
              <w:spacing w:after="0"/>
              <w:rPr>
                <w:sz w:val="16"/>
                <w:szCs w:val="16"/>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 xml:space="preserve">Note 3: </w:t>
              </w:r>
              <w:r>
                <w:rPr>
                  <w:rFonts w:ascii="Times New Roman" w:cs="Times New Roman" w:eastAsia="Times New Roman" w:hAnsi="Times New Roman"/>
                  <w:sz w:val="18"/>
                  <w:szCs w:val="18"/>
                  <w:u w:val="single" w:color="auto"/>
                  <w:color w:val="0000FF"/>
                </w:rPr>
                <w:t>Acquisitions</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4">
              <w:r>
                <w:rPr>
                  <w:rFonts w:ascii="Times New Roman" w:cs="Times New Roman" w:eastAsia="Times New Roman" w:hAnsi="Times New Roman"/>
                  <w:sz w:val="18"/>
                  <w:szCs w:val="18"/>
                  <w:u w:val="single" w:color="auto"/>
                  <w:color w:val="0000FF"/>
                  <w:w w:val="99"/>
                </w:rPr>
                <w:t>53</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4: </w:t>
            </w:r>
            <w:hyperlink w:anchor="page55">
              <w:r>
                <w:rPr>
                  <w:rFonts w:ascii="Times New Roman" w:cs="Times New Roman" w:eastAsia="Times New Roman" w:hAnsi="Times New Roman"/>
                  <w:sz w:val="18"/>
                  <w:szCs w:val="18"/>
                  <w:u w:val="single" w:color="auto"/>
                  <w:color w:val="0000FF"/>
                </w:rPr>
                <w:t>(Loss) Earnings Per Share</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55</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 xml:space="preserve">Note 5: </w:t>
              </w:r>
              <w:r>
                <w:rPr>
                  <w:rFonts w:ascii="Times New Roman" w:cs="Times New Roman" w:eastAsia="Times New Roman" w:hAnsi="Times New Roman"/>
                  <w:sz w:val="18"/>
                  <w:szCs w:val="18"/>
                  <w:u w:val="single" w:color="auto"/>
                  <w:color w:val="0000FF"/>
                </w:rPr>
                <w:t>Strategic Investments</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55</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6: </w:t>
            </w:r>
            <w:hyperlink w:anchor="page57">
              <w:r>
                <w:rPr>
                  <w:rFonts w:ascii="Times New Roman" w:cs="Times New Roman" w:eastAsia="Times New Roman" w:hAnsi="Times New Roman"/>
                  <w:sz w:val="18"/>
                  <w:szCs w:val="18"/>
                  <w:color w:val="0000FF"/>
                </w:rPr>
                <w:t>Fair Value Measurements</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7">
              <w:r>
                <w:rPr>
                  <w:rFonts w:ascii="Times New Roman" w:cs="Times New Roman" w:eastAsia="Times New Roman" w:hAnsi="Times New Roman"/>
                  <w:sz w:val="18"/>
                  <w:szCs w:val="18"/>
                  <w:u w:val="single" w:color="auto"/>
                  <w:color w:val="0000FF"/>
                  <w:w w:val="99"/>
                </w:rPr>
                <w:t>56</w:t>
              </w:r>
            </w:hyperlink>
          </w:p>
        </w:tc>
        <w:tc>
          <w:tcPr>
            <w:tcW w:w="2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238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 xml:space="preserve">Note 7: </w:t>
              </w:r>
              <w:r>
                <w:rPr>
                  <w:rFonts w:ascii="Times New Roman" w:cs="Times New Roman" w:eastAsia="Times New Roman" w:hAnsi="Times New Roman"/>
                  <w:sz w:val="18"/>
                  <w:szCs w:val="18"/>
                  <w:u w:val="single" w:color="auto"/>
                  <w:color w:val="0000FF"/>
                </w:rPr>
                <w:t>Property and Equipment</w:t>
              </w:r>
            </w:hyperlink>
          </w:p>
        </w:tc>
        <w:tc>
          <w:tcPr>
            <w:tcW w:w="7540" w:type="dxa"/>
            <w:vAlign w:val="bottom"/>
          </w:tcPr>
          <w:p>
            <w:pPr>
              <w:spacing w:after="0"/>
              <w:rPr>
                <w:sz w:val="18"/>
                <w:szCs w:val="18"/>
                <w:color w:val="auto"/>
              </w:rPr>
            </w:pPr>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56</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8: </w:t>
            </w:r>
            <w:hyperlink w:anchor="page58">
              <w:r>
                <w:rPr>
                  <w:rFonts w:ascii="Times New Roman" w:cs="Times New Roman" w:eastAsia="Times New Roman" w:hAnsi="Times New Roman"/>
                  <w:sz w:val="18"/>
                  <w:szCs w:val="18"/>
                  <w:color w:val="0000FF"/>
                </w:rPr>
                <w:t xml:space="preserve">Goodwill and </w:t>
              </w:r>
              <w:r>
                <w:rPr>
                  <w:rFonts w:ascii="Times New Roman" w:cs="Times New Roman" w:eastAsia="Times New Roman" w:hAnsi="Times New Roman"/>
                  <w:sz w:val="18"/>
                  <w:szCs w:val="18"/>
                  <w:u w:val="single" w:color="auto"/>
                  <w:color w:val="0000FF"/>
                </w:rPr>
                <w:t>Intangible Assets</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56</w:t>
              </w:r>
            </w:hyperlink>
          </w:p>
        </w:tc>
        <w:tc>
          <w:tcPr>
            <w:tcW w:w="2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1580" w:type="dxa"/>
            <w:vAlign w:val="bottom"/>
            <w:tcBorders>
              <w:top w:val="single" w:sz="8" w:color="0000FF"/>
            </w:tcBorders>
            <w:gridSpan w:val="6"/>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9: </w:t>
            </w:r>
            <w:hyperlink w:anchor="page59">
              <w:r>
                <w:rPr>
                  <w:rFonts w:ascii="Times New Roman" w:cs="Times New Roman" w:eastAsia="Times New Roman" w:hAnsi="Times New Roman"/>
                  <w:sz w:val="18"/>
                  <w:szCs w:val="18"/>
                  <w:color w:val="0000FF"/>
                </w:rPr>
                <w:t>Debt</w:t>
              </w:r>
            </w:hyperlink>
          </w:p>
        </w:tc>
        <w:tc>
          <w:tcPr>
            <w:tcW w:w="8340" w:type="dxa"/>
            <w:vAlign w:val="bottom"/>
            <w:gridSpan w:val="4"/>
          </w:tcPr>
          <w:p>
            <w:pPr>
              <w:spacing w:after="0"/>
              <w:rPr>
                <w:sz w:val="18"/>
                <w:szCs w:val="18"/>
                <w:color w:val="auto"/>
              </w:rPr>
            </w:pPr>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9">
              <w:r>
                <w:rPr>
                  <w:rFonts w:ascii="Times New Roman" w:cs="Times New Roman" w:eastAsia="Times New Roman" w:hAnsi="Times New Roman"/>
                  <w:sz w:val="18"/>
                  <w:szCs w:val="18"/>
                  <w:u w:val="single" w:color="auto"/>
                  <w:color w:val="0000FF"/>
                  <w:w w:val="99"/>
                </w:rPr>
                <w:t>58</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 xml:space="preserve">Note 10: Common Stock and </w:t>
              </w:r>
              <w:r>
                <w:rPr>
                  <w:rFonts w:ascii="Times New Roman" w:cs="Times New Roman" w:eastAsia="Times New Roman" w:hAnsi="Times New Roman"/>
                  <w:sz w:val="18"/>
                  <w:szCs w:val="18"/>
                  <w:u w:val="single" w:color="auto"/>
                  <w:color w:val="0000FF"/>
                </w:rPr>
                <w:t>Stock Compensation</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4">
              <w:r>
                <w:rPr>
                  <w:rFonts w:ascii="Times New Roman" w:cs="Times New Roman" w:eastAsia="Times New Roman" w:hAnsi="Times New Roman"/>
                  <w:sz w:val="18"/>
                  <w:szCs w:val="18"/>
                  <w:u w:val="single" w:color="auto"/>
                  <w:color w:val="0000FF"/>
                  <w:w w:val="99"/>
                </w:rPr>
                <w:t>62</w:t>
              </w:r>
            </w:hyperlink>
          </w:p>
        </w:tc>
        <w:tc>
          <w:tcPr>
            <w:tcW w:w="2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212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 xml:space="preserve">11: </w:t>
            </w:r>
            <w:hyperlink w:anchor="page65">
              <w:r>
                <w:rPr>
                  <w:rFonts w:ascii="Times New Roman" w:cs="Times New Roman" w:eastAsia="Times New Roman" w:hAnsi="Times New Roman"/>
                  <w:sz w:val="18"/>
                  <w:szCs w:val="18"/>
                  <w:color w:val="0000FF"/>
                </w:rPr>
                <w:t>Income Taxes</w:t>
              </w:r>
            </w:hyperlink>
          </w:p>
        </w:tc>
        <w:tc>
          <w:tcPr>
            <w:tcW w:w="7800" w:type="dxa"/>
            <w:vAlign w:val="bottom"/>
            <w:gridSpan w:val="2"/>
          </w:tcPr>
          <w:p>
            <w:pPr>
              <w:spacing w:after="0"/>
              <w:rPr>
                <w:sz w:val="18"/>
                <w:szCs w:val="18"/>
                <w:color w:val="auto"/>
              </w:rPr>
            </w:pPr>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5">
              <w:r>
                <w:rPr>
                  <w:rFonts w:ascii="Times New Roman" w:cs="Times New Roman" w:eastAsia="Times New Roman" w:hAnsi="Times New Roman"/>
                  <w:sz w:val="18"/>
                  <w:szCs w:val="18"/>
                  <w:u w:val="single" w:color="auto"/>
                  <w:color w:val="0000FF"/>
                  <w:w w:val="99"/>
                </w:rPr>
                <w:t>63</w:t>
              </w:r>
            </w:hyperlink>
          </w:p>
        </w:tc>
        <w:tc>
          <w:tcPr>
            <w:tcW w:w="2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11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6"/>
              </w:rPr>
            </w:pPr>
            <w:hyperlink w:anchor="page68">
              <w:r>
                <w:rPr>
                  <w:rFonts w:ascii="Times New Roman" w:cs="Times New Roman" w:eastAsia="Times New Roman" w:hAnsi="Times New Roman"/>
                  <w:sz w:val="18"/>
                  <w:szCs w:val="18"/>
                  <w:color w:val="0000FF"/>
                  <w:w w:val="96"/>
                </w:rPr>
                <w:t xml:space="preserve">Note </w:t>
              </w:r>
            </w:hyperlink>
            <w:r>
              <w:rPr>
                <w:rFonts w:ascii="Times New Roman" w:cs="Times New Roman" w:eastAsia="Times New Roman" w:hAnsi="Times New Roman"/>
                <w:sz w:val="18"/>
                <w:szCs w:val="18"/>
                <w:color w:val="0000FF"/>
                <w:w w:val="96"/>
              </w:rPr>
              <w:t xml:space="preserve">12: </w:t>
            </w:r>
            <w:hyperlink w:anchor="page68">
              <w:r>
                <w:rPr>
                  <w:rFonts w:ascii="Times New Roman" w:cs="Times New Roman" w:eastAsia="Times New Roman" w:hAnsi="Times New Roman"/>
                  <w:sz w:val="18"/>
                  <w:szCs w:val="18"/>
                  <w:color w:val="0000FF"/>
                  <w:w w:val="96"/>
                </w:rPr>
                <w:t>Leases</w:t>
              </w:r>
            </w:hyperlink>
          </w:p>
        </w:tc>
        <w:tc>
          <w:tcPr>
            <w:tcW w:w="500" w:type="dxa"/>
            <w:vAlign w:val="bottom"/>
            <w:tcBorders>
              <w:top w:val="single" w:sz="8" w:color="0000FF"/>
            </w:tcBorders>
            <w:gridSpan w:val="2"/>
          </w:tcPr>
          <w:p>
            <w:pPr>
              <w:spacing w:after="0"/>
              <w:rPr>
                <w:sz w:val="18"/>
                <w:szCs w:val="18"/>
                <w:color w:val="auto"/>
              </w:rPr>
            </w:pPr>
          </w:p>
        </w:tc>
        <w:tc>
          <w:tcPr>
            <w:tcW w:w="8280" w:type="dxa"/>
            <w:vAlign w:val="bottom"/>
            <w:gridSpan w:val="3"/>
          </w:tcPr>
          <w:p>
            <w:pPr>
              <w:spacing w:after="0"/>
              <w:rPr>
                <w:sz w:val="18"/>
                <w:szCs w:val="18"/>
                <w:color w:val="auto"/>
              </w:rPr>
            </w:pPr>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8">
              <w:r>
                <w:rPr>
                  <w:rFonts w:ascii="Times New Roman" w:cs="Times New Roman" w:eastAsia="Times New Roman" w:hAnsi="Times New Roman"/>
                  <w:sz w:val="18"/>
                  <w:szCs w:val="18"/>
                  <w:u w:val="single" w:color="auto"/>
                  <w:color w:val="0000FF"/>
                  <w:w w:val="99"/>
                </w:rPr>
                <w:t>66</w:t>
              </w:r>
            </w:hyperlink>
          </w:p>
        </w:tc>
        <w:tc>
          <w:tcPr>
            <w:tcW w:w="2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69">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13</w:t>
            </w:r>
            <w:hyperlink w:anchor="page69">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Contingencies</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9">
              <w:r>
                <w:rPr>
                  <w:rFonts w:ascii="Times New Roman" w:cs="Times New Roman" w:eastAsia="Times New Roman" w:hAnsi="Times New Roman"/>
                  <w:sz w:val="18"/>
                  <w:szCs w:val="18"/>
                  <w:u w:val="single" w:color="auto"/>
                  <w:color w:val="0000FF"/>
                  <w:w w:val="99"/>
                </w:rPr>
                <w:t>68</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93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14</w:t>
            </w:r>
            <w:hyperlink w:anchor="page70">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Segment Information</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0">
              <w:r>
                <w:rPr>
                  <w:rFonts w:ascii="Times New Roman" w:cs="Times New Roman" w:eastAsia="Times New Roman" w:hAnsi="Times New Roman"/>
                  <w:sz w:val="18"/>
                  <w:szCs w:val="18"/>
                  <w:u w:val="single" w:color="auto"/>
                  <w:color w:val="0000FF"/>
                  <w:w w:val="99"/>
                </w:rPr>
                <w:t>68</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93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15</w:t>
            </w:r>
            <w:hyperlink w:anchor="page73">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Supplemental Consolidated Financial Information</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3">
              <w:r>
                <w:rPr>
                  <w:rFonts w:ascii="Times New Roman" w:cs="Times New Roman" w:eastAsia="Times New Roman" w:hAnsi="Times New Roman"/>
                  <w:sz w:val="18"/>
                  <w:szCs w:val="18"/>
                  <w:u w:val="single" w:color="auto"/>
                  <w:color w:val="0000FF"/>
                  <w:w w:val="99"/>
                </w:rPr>
                <w:t>72</w:t>
              </w:r>
            </w:hyperlink>
          </w:p>
        </w:tc>
        <w:tc>
          <w:tcPr>
            <w:tcW w:w="20" w:type="dxa"/>
            <w:vAlign w:val="bottom"/>
          </w:tcPr>
          <w:p>
            <w:pPr>
              <w:spacing w:after="0"/>
              <w:rPr>
                <w:sz w:val="18"/>
                <w:szCs w:val="18"/>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93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9920" w:type="dxa"/>
            <w:vAlign w:val="bottom"/>
            <w:gridSpan w:val="10"/>
          </w:tcPr>
          <w:p>
            <w:pPr>
              <w:spacing w:after="0"/>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 xml:space="preserve">Note </w:t>
              </w:r>
            </w:hyperlink>
            <w:r>
              <w:rPr>
                <w:rFonts w:ascii="Times New Roman" w:cs="Times New Roman" w:eastAsia="Times New Roman" w:hAnsi="Times New Roman"/>
                <w:sz w:val="18"/>
                <w:szCs w:val="18"/>
                <w:color w:val="0000FF"/>
              </w:rPr>
              <w:t>16</w:t>
            </w:r>
            <w:hyperlink w:anchor="page75">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Quarterly Information (Unaudited)</w:t>
              </w:r>
            </w:hyperlink>
          </w:p>
        </w:tc>
        <w:tc>
          <w:tcPr>
            <w:tcW w:w="80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74</w:t>
              </w:r>
            </w:hyperlink>
          </w:p>
        </w:tc>
        <w:tc>
          <w:tcPr>
            <w:tcW w:w="20" w:type="dxa"/>
            <w:vAlign w:val="bottom"/>
          </w:tcPr>
          <w:p>
            <w:pPr>
              <w:spacing w:after="0"/>
              <w:rPr>
                <w:sz w:val="18"/>
                <w:szCs w:val="18"/>
                <w:color w:val="auto"/>
              </w:rPr>
            </w:pPr>
          </w:p>
        </w:tc>
      </w:tr>
      <w:tr>
        <w:trPr>
          <w:trHeight w:val="871"/>
        </w:trPr>
        <w:tc>
          <w:tcPr>
            <w:tcW w:w="500" w:type="dxa"/>
            <w:vAlign w:val="bottom"/>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9360" w:type="dxa"/>
            <w:vAlign w:val="bottom"/>
            <w:gridSpan w:val="8"/>
          </w:tcPr>
          <w:p>
            <w:pPr>
              <w:jc w:val="right"/>
              <w:ind w:right="4700"/>
              <w:spacing w:after="0"/>
              <w:rPr>
                <w:sz w:val="20"/>
                <w:szCs w:val="20"/>
                <w:color w:val="auto"/>
              </w:rPr>
            </w:pPr>
            <w:r>
              <w:rPr>
                <w:rFonts w:ascii="Times New Roman" w:cs="Times New Roman" w:eastAsia="Times New Roman" w:hAnsi="Times New Roman"/>
                <w:sz w:val="18"/>
                <w:szCs w:val="18"/>
                <w:color w:val="auto"/>
              </w:rPr>
              <w:t>39</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EZCORP,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Rollingwood,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EZCORP, Inc. (the “Company”) as of September 30, 2020 and 2019, the related consolidated statements of operations and comprehensive (loss) income, stockholders’ equity, and cash flows for each of the three years in the period ended September 30, 2020, and the related notes (collectively referred to as the “consolidated financial statements”). In our opinion, the consolidated financial statements present fairly, in all material respects, the financial position of the Company at September 30, 2020 and 2019, and the results of its operations and its cash flows for each of the three years in the period ended September 30, 2020,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September 30,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December 14, 2020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is discussed in Notes 1 and 12 to the consolidated financial statements, the Company changed its method of accounting for leases in the year ended September 30, 2020, due to adoption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BDO USA,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6"/>
        </w:trPr>
        <w:tc>
          <w:tcPr>
            <w:tcW w:w="8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157,567</w:t>
            </w:r>
          </w:p>
        </w:tc>
        <w:tc>
          <w:tcPr>
            <w:tcW w:w="0" w:type="dxa"/>
            <w:vAlign w:val="bottom"/>
          </w:tcPr>
          <w:p>
            <w:pPr>
              <w:spacing w:after="0"/>
              <w:rPr>
                <w:sz w:val="1"/>
                <w:szCs w:val="1"/>
                <w:color w:val="auto"/>
              </w:rPr>
            </w:pP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Pawn loans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199,058</w:t>
            </w:r>
          </w:p>
        </w:tc>
        <w:tc>
          <w:tcPr>
            <w:tcW w:w="0" w:type="dxa"/>
            <w:vAlign w:val="bottom"/>
          </w:tcPr>
          <w:p>
            <w:pPr>
              <w:spacing w:after="0"/>
              <w:rPr>
                <w:sz w:val="1"/>
                <w:szCs w:val="1"/>
                <w:color w:val="auto"/>
              </w:rPr>
            </w:pP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Pawn service charges receivable,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179,355</w:t>
            </w:r>
          </w:p>
        </w:tc>
        <w:tc>
          <w:tcPr>
            <w:tcW w:w="0" w:type="dxa"/>
            <w:vAlign w:val="bottom"/>
          </w:tcPr>
          <w:p>
            <w:pPr>
              <w:spacing w:after="0"/>
              <w:rPr>
                <w:sz w:val="1"/>
                <w:szCs w:val="1"/>
                <w:color w:val="auto"/>
              </w:rPr>
            </w:pP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Notes receivable, net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25,921</w:t>
            </w:r>
          </w:p>
        </w:tc>
        <w:tc>
          <w:tcPr>
            <w:tcW w:w="0" w:type="dxa"/>
            <w:vAlign w:val="bottom"/>
          </w:tcPr>
          <w:p>
            <w:pPr>
              <w:spacing w:after="0"/>
              <w:rPr>
                <w:sz w:val="1"/>
                <w:szCs w:val="1"/>
                <w:color w:val="auto"/>
              </w:rPr>
            </w:pPr>
          </w:p>
        </w:tc>
      </w:tr>
      <w:tr>
        <w:trPr>
          <w:trHeight w:val="207"/>
        </w:trPr>
        <w:tc>
          <w:tcPr>
            <w:tcW w:w="84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593,250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605,760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34,516</w:t>
            </w: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right-of-use asset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257,582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300,527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68,044</w:t>
            </w: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Notes receivable,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1,197,023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Current maturities of long-term debt, net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Customer layaway deposits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Lease liability</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49,742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91,086</w:t>
            </w: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238,380</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liability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0" w:type="dxa"/>
            <w:vAlign w:val="bottom"/>
          </w:tcPr>
          <w:p>
            <w:pPr>
              <w:spacing w:after="0"/>
              <w:rPr>
                <w:sz w:val="1"/>
                <w:szCs w:val="1"/>
                <w:color w:val="auto"/>
              </w:rPr>
            </w:pPr>
          </w:p>
        </w:tc>
      </w:tr>
      <w:tr>
        <w:trPr>
          <w:trHeight w:val="207"/>
        </w:trPr>
        <w:tc>
          <w:tcPr>
            <w:tcW w:w="84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547,896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338,753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Class A Non-Voting Common Stock, par value $0.01 per share; shares authorized: 100 million; 52,332,848 issued and</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outstanding as of September 30, 2020; and issued and outstanding of 52,565,064 as of September 30, 2019</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Class B Voting Common Stock, convertible, par value $0.01 per share; shares authorized: 3 million; issued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2,970,171 as of September 30, 2020 and 2019</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407,628</w:t>
            </w:r>
          </w:p>
        </w:tc>
        <w:tc>
          <w:tcPr>
            <w:tcW w:w="0" w:type="dxa"/>
            <w:vAlign w:val="bottom"/>
          </w:tcPr>
          <w:p>
            <w:pPr>
              <w:spacing w:after="0"/>
              <w:rPr>
                <w:sz w:val="1"/>
                <w:szCs w:val="1"/>
                <w:color w:val="auto"/>
              </w:rPr>
            </w:pPr>
          </w:p>
        </w:tc>
      </w:tr>
      <w:tr>
        <w:trPr>
          <w:trHeight w:val="213"/>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389,163</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(68,068)</w:t>
            </w: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(52,398)</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649,127</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744,949</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1,197,023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6"/>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80" w:type="dxa"/>
            <w:vAlign w:val="bottom"/>
            <w:gridSpan w:val="7"/>
            <w:shd w:val="clear" w:color="auto" w:fill="CCEEFF"/>
          </w:tcPr>
          <w:p>
            <w:pPr>
              <w:jc w:val="center"/>
              <w:ind w:right="219"/>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Merchandise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438,372</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Jewelry scrapping sales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60,752</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service charges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304,577</w:t>
            </w:r>
          </w:p>
        </w:tc>
      </w:tr>
      <w:tr>
        <w:trPr>
          <w:trHeight w:val="21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revenues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8,455</w:t>
            </w:r>
          </w:p>
        </w:tc>
      </w:tr>
      <w:tr>
        <w:trPr>
          <w:trHeight w:val="212"/>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812,156</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334,481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276,618</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52,290</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 of revenues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r>
      <w:tr>
        <w:trPr>
          <w:trHeight w:val="212"/>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revenues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494,448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481,551</w:t>
            </w:r>
          </w:p>
        </w:tc>
      </w:tr>
      <w:tr>
        <w:trPr>
          <w:trHeight w:val="19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334,841</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53,639</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goodwill, intangible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25,484</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sale or disposal of assets and 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charges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497,619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447,439</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414,427</w:t>
            </w:r>
          </w:p>
        </w:tc>
      </w:tr>
      <w:tr>
        <w:trPr>
          <w:trHeight w:val="207"/>
        </w:trPr>
        <w:tc>
          <w:tcPr>
            <w:tcW w:w="7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Operating (loss) income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47,009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67,124</w:t>
            </w: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27,834</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(17,041)</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loss (income) of unconsolidated affiliates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investment in unconsolidated affiliates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11,712</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55,539</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37,150</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36,294</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EZCORP, Inc.</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7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 attributable to EZCORP, Inc. — 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 attributable to EZCORP, Inc. — continuing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216"/>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basic shares outstanding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54,456</w:t>
            </w: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diluted shares outstanding</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57,896</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49"/>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36,294</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Foreign currency translation loss, net of income tax expense (benefit) for our investment in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unconsolidated affiliate of $354, $(708) and $(353) for the years ended September 30, 2020, 2019 and</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2018, respectively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EZCORP, Inc.</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34,538</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46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20" w:type="dxa"/>
            <w:vAlign w:val="bottom"/>
          </w:tcPr>
          <w:p>
            <w:pPr>
              <w:spacing w:after="0"/>
              <w:rPr>
                <w:sz w:val="11"/>
                <w:szCs w:val="11"/>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October 1, 2017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348,532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347,885</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656,355</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10,711</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Reclassification of stranded tax effects resulting from the Tax</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38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Cuts and Jobs Act</w:t>
            </w:r>
          </w:p>
        </w:tc>
        <w:tc>
          <w:tcPr>
            <w:tcW w:w="8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820" w:type="dxa"/>
            <w:vAlign w:val="bottom"/>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0" w:type="dxa"/>
            <w:vAlign w:val="bottom"/>
          </w:tcPr>
          <w:p>
            <w:pPr>
              <w:spacing w:after="0"/>
              <w:rPr>
                <w:sz w:val="1"/>
                <w:szCs w:val="1"/>
                <w:color w:val="auto"/>
              </w:rPr>
            </w:pPr>
          </w:p>
        </w:tc>
      </w:tr>
      <w:tr>
        <w:trPr>
          <w:trHeight w:val="135"/>
        </w:trPr>
        <w:tc>
          <w:tcPr>
            <w:tcW w:w="38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Equity classified conversion feature of 2024 Convertible</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38,995</w:t>
            </w:r>
          </w:p>
        </w:tc>
        <w:tc>
          <w:tcPr>
            <w:tcW w:w="0" w:type="dxa"/>
            <w:vAlign w:val="bottom"/>
          </w:tcPr>
          <w:p>
            <w:pPr>
              <w:spacing w:after="0"/>
              <w:rPr>
                <w:sz w:val="1"/>
                <w:szCs w:val="1"/>
                <w:color w:val="auto"/>
              </w:rPr>
            </w:pPr>
          </w:p>
        </w:tc>
      </w:tr>
      <w:tr>
        <w:trPr>
          <w:trHeight w:val="112"/>
        </w:trPr>
        <w:tc>
          <w:tcPr>
            <w:tcW w:w="38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Notes, net of tax</w:t>
            </w:r>
          </w:p>
        </w:tc>
        <w:tc>
          <w:tcPr>
            <w:tcW w:w="8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3820" w:type="dxa"/>
            <w:vAlign w:val="bottom"/>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37,282</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36,294</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2018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397,927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386,622</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739,408</w:t>
            </w:r>
          </w:p>
        </w:tc>
        <w:tc>
          <w:tcPr>
            <w:tcW w:w="0" w:type="dxa"/>
            <w:vAlign w:val="bottom"/>
          </w:tcPr>
          <w:p>
            <w:pPr>
              <w:spacing w:after="0"/>
              <w:rPr>
                <w:sz w:val="1"/>
                <w:szCs w:val="1"/>
                <w:color w:val="auto"/>
              </w:rPr>
            </w:pPr>
          </w:p>
        </w:tc>
      </w:tr>
      <w:tr>
        <w:trPr>
          <w:trHeight w:val="182"/>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Transfer of subsidiary shares to noncontrolling interest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(10,042)</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Deconsolidation of subsidiary</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407,628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389,163</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744,949</w:t>
            </w:r>
          </w:p>
        </w:tc>
        <w:tc>
          <w:tcPr>
            <w:tcW w:w="0" w:type="dxa"/>
            <w:vAlign w:val="bottom"/>
          </w:tcPr>
          <w:p>
            <w:pPr>
              <w:spacing w:after="0"/>
              <w:rPr>
                <w:sz w:val="1"/>
                <w:szCs w:val="1"/>
                <w:color w:val="auto"/>
              </w:rPr>
            </w:pPr>
          </w:p>
        </w:tc>
      </w:tr>
      <w:tr>
        <w:trPr>
          <w:trHeight w:val="182"/>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Release of restricted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(15,678)</w:t>
            </w: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and retirement of treasury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(68,463)</w:t>
            </w:r>
          </w:p>
        </w:tc>
        <w:tc>
          <w:tcPr>
            <w:tcW w:w="0" w:type="dxa"/>
            <w:vAlign w:val="bottom"/>
          </w:tcPr>
          <w:p>
            <w:pPr>
              <w:spacing w:after="0"/>
              <w:rPr>
                <w:sz w:val="1"/>
                <w:szCs w:val="1"/>
                <w:color w:val="auto"/>
              </w:rPr>
            </w:pPr>
          </w:p>
        </w:tc>
      </w:tr>
      <w:tr>
        <w:trPr>
          <w:trHeight w:val="182"/>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2020</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55,303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398,475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318,169</w:t>
            </w:r>
          </w:p>
        </w:tc>
        <w:tc>
          <w:tcPr>
            <w:tcW w:w="10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(68,068)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649,127</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36,294</w:t>
            </w:r>
          </w:p>
        </w:tc>
      </w:tr>
      <w:tr>
        <w:trPr>
          <w:trHeight w:val="21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25,484</w:t>
            </w:r>
          </w:p>
        </w:tc>
      </w:tr>
      <w:tr>
        <w:trPr>
          <w:trHeight w:val="219"/>
        </w:trPr>
        <w:tc>
          <w:tcPr>
            <w:tcW w:w="7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17,595</w:t>
            </w:r>
          </w:p>
        </w:tc>
      </w:tr>
      <w:tr>
        <w:trPr>
          <w:trHeight w:val="213"/>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Amortization of lease right-of-use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Accretion of notes receivable discount and deferred compensation fee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w:t>
            </w:r>
          </w:p>
        </w:tc>
      </w:tr>
      <w:tr>
        <w:trPr>
          <w:trHeight w:val="213"/>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w:t>
            </w:r>
          </w:p>
        </w:tc>
      </w:tr>
      <w:tr>
        <w:trPr>
          <w:trHeight w:val="219"/>
        </w:trPr>
        <w:tc>
          <w:tcPr>
            <w:tcW w:w="7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Impairment of goodwill, intangibles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r>
      <w:tr>
        <w:trPr>
          <w:trHeight w:val="219"/>
        </w:trPr>
        <w:tc>
          <w:tcPr>
            <w:tcW w:w="7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Reserve on jewelry scrap receivable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10,784</w:t>
            </w:r>
          </w:p>
        </w:tc>
      </w:tr>
      <w:tr>
        <w:trPr>
          <w:trHeight w:val="219"/>
        </w:trPr>
        <w:tc>
          <w:tcPr>
            <w:tcW w:w="7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Equity in net loss (gain) from investment in unconsolidated affiliates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r>
      <w:tr>
        <w:trPr>
          <w:trHeight w:val="213"/>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Impairment of investment in unconsolidated affiliates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11,712</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Pawn service charges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r>
      <w:tr>
        <w:trPr>
          <w:trHeight w:val="21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r>
      <w:tr>
        <w:trPr>
          <w:trHeight w:val="213"/>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w:t>
            </w:r>
          </w:p>
        </w:tc>
      </w:tr>
      <w:tr>
        <w:trPr>
          <w:trHeight w:val="213"/>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layaway deposits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net of excess tax benefit from stock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(3,785)</w:t>
            </w:r>
          </w:p>
        </w:tc>
      </w:tr>
      <w:tr>
        <w:trPr>
          <w:trHeight w:val="207"/>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103,517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88,981</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made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(707,220)</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repaid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421,331</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Recovery of pawn loan principal through sale of forfeited collateral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266,962</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(40,474)</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(93,165)</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unconsolidated affiliate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(14,036)</w:t>
            </w:r>
          </w:p>
        </w:tc>
      </w:tr>
      <w:tr>
        <w:trPr>
          <w:trHeight w:val="213"/>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Principal collections on notes receivable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32,396</w:t>
            </w:r>
          </w:p>
        </w:tc>
      </w:tr>
      <w:tr>
        <w:trPr>
          <w:trHeight w:val="212"/>
        </w:trPr>
        <w:tc>
          <w:tcPr>
            <w:tcW w:w="7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(134,206)</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Payout of deferred consideration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borrowings, net of issuance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171,409</w:t>
            </w: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borrowings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0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(198,317)</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167,588</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(123,136)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121,709</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163,869</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312,553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162,442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285,578</w:t>
            </w:r>
          </w:p>
        </w:tc>
      </w:tr>
      <w:tr>
        <w:trPr>
          <w:trHeight w:val="49"/>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3"/>
        </w:trPr>
        <w:tc>
          <w:tcPr>
            <w:tcW w:w="7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285,311</w:t>
            </w:r>
          </w:p>
        </w:tc>
      </w:tr>
      <w:tr>
        <w:trPr>
          <w:trHeight w:val="213"/>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34"/>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and cash equivalents and restricted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162,442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285,578</w:t>
            </w:r>
          </w:p>
        </w:tc>
      </w:tr>
      <w:tr>
        <w:trPr>
          <w:trHeight w:val="22"/>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w:t>
            </w:r>
          </w:p>
        </w:tc>
      </w:tr>
      <w:tr>
        <w:trPr>
          <w:trHeight w:val="250"/>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paid during the period for income taxes, net</w:t>
            </w:r>
          </w:p>
        </w:tc>
        <w:tc>
          <w:tcPr>
            <w:tcW w:w="3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11,132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13,676</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Pawn loans forfeited and transferred to inventory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274,590</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7" w:lineRule="exact"/>
        <w:rPr>
          <w:sz w:val="20"/>
          <w:szCs w:val="20"/>
          <w:color w:val="auto"/>
        </w:rPr>
      </w:pPr>
    </w:p>
    <w:p>
      <w:pPr>
        <w:ind w:right="38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NOTE 1: ORGANIZATION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EZCORP, Inc. was founded in 1989 and is a leading provider of pawn loans in the United States and Latin America. Pawn loans are non-recourse loans collateralized by tangible property. We also sell merchandise, primarily collateral forfeited from pawn lending operations and used merchandise purchased from customers. We are dedicated to satisfying the short-term cash needs of consumers, with a focus on delivering an industry-leading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operated a total of 1,005 locations, consisting of:</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 United States pawn stores (operating primarily as EZPAWN or Value Pawn &amp; Jewelry);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 Mexico pawn stores (operating primarily as Empeño Fácil);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pawn stores in Guatemala, El Salvador, Honduras and Peru (operating as GuatePrenda and MaxiEfectivo).</w:t>
      </w:r>
    </w:p>
    <w:p>
      <w:pPr>
        <w:spacing w:after="0" w:line="17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have a 34.75% equity interest in Cash Converters International Limited (“Cash Converters International”), a publicly traded company (ASX:CCV) headquartered in Perth, Western Australia with operations in Australia and the United Kingdom. Cash Converters International and its controlled companies comprise a diverse group generating revenues from franchising store operations, personal finance and vehicle finance, controlling over 700 stores across 16 countries.</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own 13.14% of Rich Data Corporation (RDC), a Singapore-based software-as-a-service company that utilizes global financial services expertise, advanced artificial intelligence and non-traditional data to deliver a next-generation credit scoring and decisioning platform.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and are expressed in U.S. dollars. They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reclassified certain amounts in prior-period financial statements to conform to the current period’s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preparation of these financial statements requires management to make estimates and assumptions that affect the reported amounts of assets, liabilities, revenues and expenses and related disclosure of contingent assets and liabilities. We regularly evaluate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that we believe are reasonable, the results of which form the basis for making judgements about the carrying values of assets and liabilities and the accrual of costs and expenses that are not readily apparent from other sources. Actual results may differ materially from the estimates under different assumptions or conditions.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Pawn Loans and Revenue Recognition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carrying value of our pawn loans is based on the initial amounts loaned to customers, which are fully collateralized. We record pawn service charges using the effective interest method over the life of the loan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results of operations and financial condition. If a pawn loan is not repaid, we value the forfeited collateral (inventory) at the lower of cost (pawn loan principal) or net realizable value of the item. Of our consolidated pawn loans outstanding balance of $131.3 million as of September 30, 2020, $51.9 million (40%) is attributable to stores in Texas and $14.8 million (11%) is attributable to stores in Florida.</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Sales Revenue Recognition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performance obligations for merchandise sales primarily relate to point in time retail sales in our stores. We recognize the satisfaction of the performance obligation and record merchandise sales revenue and the related cost when merchandise inventory is sold and delivered to the customer or, in the case of a layaway sale, when we receive the final payment. Customers have a limited period of time to return merchandise for a refund or exchange, and actual returns for refunds are not material. Sales tax collected on the sale of inventory is excluded from the amount recognized as sales and is recorded as a liability in “Accounts payable, accrued expenses and other current liabilities” in our consolidated balance sheets until remitted to the appropriate governmental authorities.</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recognize the satisfaction of the performance obligation and record scrapping (precious metals and stones) sales revenue and the related cost when scrap inventory is legally transferred to the refiner and the refiner obtains control of the inventory. The receivables outstanding at the end of a given reporting period are not material. Payment of the receivable from the customer is generally received within a short period of time after the legal transfer of the scrap materials to the refiner.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transaction prices are explicitly stated within the contracts with our customers.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Goods Sold</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 We record our inventory using the specific identification method of accounting.</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order to state inventory at the lower of cost or net realizable value, we record an allowance for excess, obsolete or slow-moving inventory based on the type and age of merchandise. Our inventory consists primarily of general merchandise and jewelry. Our "Merchandise cost of goods sold" includes the historical cost of inventory sold, inventory shrinkage and any change in the allowance for inventory shrinkage and valuation. We include the cost of operating our central jewelry processing unit under “Jewelry scrapping cost of goods sold,” as it relates directly to sales of precious metals to refiners.</w:t>
      </w:r>
    </w:p>
    <w:p>
      <w:pPr>
        <w:spacing w:after="0" w:line="12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consider our estimates of obsolete or slow-moving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monitor our reserve estimates pertaining to jewelry inventory depending on the current and projected prices of gold. Future declines in the value of gold prices may cause an increase in reserve rates pertaining to jewelry inventory.</w:t>
      </w:r>
    </w:p>
    <w:p>
      <w:pPr>
        <w:spacing w:after="0" w:line="1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Situations that may result in excess or obsolete inventory include changes in business and economic conditions, changes in consumer confidence caused by changes in market conditions ,decreases in demand for our products or inventory obsolescence resulting from changes in technology. During fiscal 2020, we took a charge of $2.6 million to merchandise cost of sales for inventory provisions primarily related to the write-off of excess and obsolete inventory due to the impact of COVID-19.</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With respect to our Mexico pawn operations, we do not own the forfeited collateral; however, we assume the risk of loss on such collateral and are solely responsible for its care and disposition and, therefore, record such collateral under “Inventory, net” in our consolidated balance sheets. The amount of inventory from our Mexico pawn operations classified as “Inventory, net” in our consolidated balance sheets was $12.9 million and $26.9 million as of September 30, 2020 and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Cash Concentrations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primarily of cash on deposit or highly liquid investments with original contractual maturities of three months or less, or money market mutual funds. We hold cash at major financial institutions that often exceed FDIC insured limits. We manage our credit risk associated with cash and cash equivalents and cash concentrations by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$8.0 million held in escrow pending resolution of a pre-closing tax indemnity claim related to the sale of Grupo Finmart.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account for our investment in Cash Converters International and RDC under the equity method. Since Cash Converters International’s fiscal year ends three months prior to ours, we report the income from this investment on a three-month lag. Thus, income reported for fiscal years ended September 30, 2020, 2019 and 2018 represents our percentage interest in the results of Cash Converters International’s operations for the twelve-month periods ended June 30, 2020, 2019 and 2018, respectively. Because Cash Converters International publicly files semi-annual financial reports with the Australian Securities &amp; Investments Commission as of and for the periods ended June 30 and December 31, we make estimates for our equity in Cash Converters International’s net income (loss) for the three-month periods ended March 31 (our reporting period ended June 30) and September 30 (our reporting period ended December 31). Those estimates may vary from actual results. We adjust our estimates as necessary in our reporting periods ended March 31 and September 30 to conform to Cash Converters International actual results as shown in their published semi-annual reports. We measure and record all other-than-temporary impairments as of the date of our reporting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enter into operating lease agreements for real estate related to pawn locations and corporate offices. We determine if an arrangement contains a lease at inception by determining whether there is an identified asset and whether the arrangement conveys the right to control the use of the identified asset. Operating lease liabilities are recognized at the lease commencement date based on the present value of fixed lease payments using the Company’s incremental borrowing rate. As our leases generally do not include an implicit rate, we compute our incremental borrowing rate based on information available at the lease commencement date applying the portfolio approach to groups of leases with similar characteristics. Right-of-use operating assets are recognized based on the initial present value of fixed lease payments over the lease term. Our lease terms include options to extend the lease when it is reasonably certain we will exercise its option. We used incremental borrowing rates that match the duration of the remaining lease terms of our operating leases on a fully collateralized basis upon adoption as of October 1, 2019 to initially measure our lease liability. We evaluate renewal options periodically for any changes in assumptions.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Effective October 1, 2019, we adopted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Upon adoption, we elected to utilize the modified retrospective method, including not to account for lease and non-lease components separately. Lease components generally include rent, taxes and insurance, and non-lease components generally include common area maintenance. Right-of-use assets are tested for impairment in the same manner as long-lived assets. Under ASC 842, lease expense is recognized on a straight-line basis over the lease term with variable lease expense recognized in the period in which the costs are incurred. Our lease portfolio consists of pawn locations and corporate offices with leases terms ranging from three to ten years, including options to renew. We generally account for the initial lease term of our pawn locations as up to ten years. Our primary corporate office is leased through March 2029 with escalating rent payments annually and includes two five-year extension options at the end of the initial lease term.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7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Goodwill and indefinite-lived intangible assets are not subject to amortization. We test goodwill and indefinite-lived intangible assets for impairment annually as of September 30, or more frequently if an event occurs or circumstances change that could indicate a potential impairment. We compare the fair value of our reporting units with their carrying amount and recognize an impairment charge for the amount by which the carrying amount exceeds the reporting unit’s fair value, without exceeding the total amount of goodwill allocated to that reporting unit.</w:t>
      </w:r>
    </w:p>
    <w:p>
      <w:pPr>
        <w:spacing w:after="0" w:line="12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We perform our impairment analyses utilizing the income approach. This approach uses estimated future cash flows and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equivalent to our operating segments for fiscal 2020.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We use discount rates that are commensurate with the risks and uncertainties inherent in the respective businesses and in our internally developed forecasts. Discount rates used in fiscal 2020 for the goodwill impairment analysis ranged from 11% to 19%. In testing other indefinite-lived intangible assets for potential impairment, we apply key assumptions that are consistent with those utilized in our goodwill impairment test.</w:t>
      </w:r>
    </w:p>
    <w:p>
      <w:pPr>
        <w:spacing w:after="0" w:line="13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We may perform a qualitative assessment in making our determination of whether it is more likely than not goodwill and other indefinite-lived intangible assets are impaired in future reporting periods. In addition to the assumptions discussed above pertaining to the income approach, we consider the assessment of potential triggering events to be a critical estimate.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 leasehold improvements over the shorter of their estimated useful life (typically 10 years) or the reasonably assured lease term at the inception of the lease.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carrying values of long-lived assets, inclusive of right of use (ROU) assets, are periodically reviewed whenever events or changes in circumstances indicate that the carrying value may not be recoverable, such as historical operating losses or plans to close stores before the end of their previously estimated useful lives. A potential impairment has occurred if projected future undiscounted cash flows are less than the carrying value of the assets. The estimate of cash flows includes management's assumptions of cash inflows and outflows directly resulting from the use of those assets in operations. In addition to the assumptions associated with the determination of projected future cash flows, we consider the assessment of potential triggering events to be a critical estimate. When a potential impairment has occurred, an impairment write-down is recorded if the carrying value of the long-lived asset exceeds its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 and Cloud Computing Arrangements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software for internal use and amortize the costs on a straight-line basis over the estimated useful lives of the software, typically five years. Net capitalized development costs are included in “Capital expenditures, net” in our consolidated statements of cash flows.</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evaluating whether our cloud computing arrangements include a software license, we consider whether we have the contractual right to take possession of the software at any time during the hosting period without significant penalty and whether it is feasible for us to either run the software on our own hardware or contract with another party unrelated to the vendor to host the software. If a cloud computing arrangement includes a software license, we account for the software license element of the arrangement consistent with the acquisition of other software licenses. If a cloud computing arrangement does not include a software license, we account for the arrangement as a service contract.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allocate the total acquisition price to the fair value of assets and liabilities acquired under the acquisition method with goodwill representing the excess of purchase price over the fair value of net assets acquired. We expense transaction costs as incurred. We recognize any adjustments to provisional amounts and goodwill that are identified during the measurement period in the reporting period in which the adjustment amounts are determined, with the effect on current period earnings of changes in depreciation, amortization or other income effects, if any, as a result of the change to the provisional amounts, calculated as if the accounting had been completed at the acquisition 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 Securities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accounting for our convertible debt securities at issuance, we separated the securities into debt and equity components pursuant to the accounting standards for convertible debt instruments that may be fully or partially settled in cash upon conversion. The carrying value of the liability components was calculated by measuring the fair value of similar liabilities that do not have an associated conversion feature, including discount rates of approximately 8%. The excess of the principal amount over the fair value of the liability component was recorded as a discount with a corresponding increase in additional paid-in capital. The debt discounts will be accreted to “Interest expense” over the respective terms of the convertible debt securities using the effective interest method. The amount recorded to “Additional paid-in capital” will not be remeasured as long as they continue to meet the conditions for equity classification.</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account for the conversion premium of the convertible debt securities under the treasury method in accordance with our accounting policy, which assumes settlement of the conversion premium (equal to the as-converted value over the face principal amount) in shares of our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foreign subsidiaries use the local currency of their respective countries as their functional currency. Assets and liabilities of our foreign subsidiaries' balance sheet accounts and our equity method investments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and losses not accounted for as translations are included in “Other expense (income)” in our consolidated statements of operations. These gains were $0.5 million, $0.3 million and $0.4 million for fiscal 2020, 2019 and 2018,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Expense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Included in “Operations” expense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Included in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included primarily under “Operations” expense in our consolidated statements of operations. These costs were $2.0 million, $2.0 million and $2.5 million for fiscal 2020, 2019 and 2018,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measure share-based compensation expense at the grant date based on the price of underlying shares at that date and recognize it as expense, net of estimated forfeitures, ratably over the vesting or service period, as applicable, of the stock award. Our policy is to recognize expense on performance-based awards, where satisfaction of the performance condition is probable, ratably over the awards’ vesting period and recognize expense on awards that only have service requirements on a straight-line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 We recognize interest and penalties related to unrecognized tax benefits as “Income tax expense” in our consolidated statements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our assessment of the recognition of deferred tax assets as well as estimates of uncertain tax positions to be critical estimates.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and Common Stock</w:t>
      </w:r>
    </w:p>
    <w:p>
      <w:pPr>
        <w:spacing w:after="0" w:line="17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compute basic earnings per share based on the weighted average number of shares of common stock outstanding during the period. We compute diluted earnings per share based on the weighted average number of shares of common stock plus the effect of dilutive potential common shares outstanding, including conversion features embedded in our outstanding convertible debt, during the period using the treasury stock method. Dilutive potential common shares include outstanding restricted stock awards as well as shares issuable on conversion of our outstanding convertible debt securities and exercise of outstanding warrants.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fiscal 2020, 2019 and 2018 requiring the application of the two-class method. When we are in a loss position for the period, dilutive securities are excluded from the calculation of earnings per share, as they would have an anti-dilutive effect.</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2019, a novel strain of coronavirus “COVID-19” was identified in Wuhan, China. COVID-19 has caused a global health emergency and was declared a worldwide pandemic by the World Health Organization on March 11, 2020. In an effort to slow and contain the spread of COVID-19, local, state and national governments implemented various measures, which have impacted businesses worldwide. Many of these measures have expired or been rescinded, but some are continuing and others are being reimplemented or considered for reimplementation as COVID-19 continues to spread at rapid rates in many parts of the U.S.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began to see the impact of COVID-19 to our operations in mid-March when the closure of non-essential businesses and the implementation of stay-at-home requirements began in our geographic locations. During the third quarter, we were able to keep virtually all of our stores in the U.S. and Mexico open for business and operating under enhanced safety measures and restrictions on occupancy, but store closure orders in our GPMX countries (Guatemala, El Salvador, Honduras and Peru) had a more severe impact on our business. Since that time and continuing through the fourth quarter, we have been able to keep virtually all of our stores open for business.</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Starting in mid-March and continuing through most of the fourth quarter, we experienced a significant decline in pawn loan originations and associated loan balances as a result of a change in customer borrowing behaviors due to COVID-19. This reduced activity resulted in net revenue losses for the year, which were partially offset by a strong increase in merchandise sales.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factors described above impacted the forecast of future net revenues and earnings and resulted in lower present value of future cash flows. We recorded a goodwill impairment charge of $41.3 million in the second quarter of fiscal 2020. In addition, we (a) determined an impairment had occurred in the fair values of trade names of previously acquired entities in our Mexico and GPMX reporting units and recorded a related impairment of $2.9 million and $1.7 million respectively, and (b) determined the carrying amount of certain long-lived asset groups were not recoverable and recorded a related impairment of $1.1 million, all in the second quarter of 2020.</w:t>
      </w:r>
    </w:p>
    <w:p>
      <w:pPr>
        <w:spacing w:after="0" w:line="1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full extent and duration of the COVID-19 impact on the global economy generally, and on our business specifically, is currently unknown and cannot be reasonably estimated. The pandemic has had an adverse effect on our net revenues and earnings in fiscal 2020. We expect the impact of the pandemic, and the recovery therefrom, will continue to adversely affect net revenues and earnings into fiscal 2021. A prolonged pandemic and recovery may have an adverse effect on our results of operations, financial position and liquidity in future periods.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Policies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Reference Rate Reform (Topic 848) — Facilitation of the Effects of Reference Rate Reform on Financial Reporting. ASU 2020-04 provides optional expedients and exceptions for applying GAAP to contracts, hedging relationships and other transactions that reference LIBOR or another reference rate. ASU 2020-04 is effective upon issuance through December 31, 2022. This ASU has not had a significant impact on our consolidated financial statements and related disclosures to date. We will continue to assess the applicability to any future arrangements.</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Effective October 1, 2019, we adopted ASC - Leases (Topic 842) which requires companies to recognize operating and financing lease liabilities and corresponding right-of-use assets on the balance sheet using the modified retrospective method provided under ASU 2018-11, Leases- (Topic 842): Targeted Improvements. Additionally, we elected the package of practical expedients under Accounting Standards Codification ("ASC") 842 as well as the transition guidance elections to not separate lease and non-lease components for leases under ASC 842. Further, we have elected an accounting policy to not record right-of-use assets and lease liabilities for leases that have a duration of 12 months or less. See Note 12 for additional discussion.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August 2020, the FASB issued its Accounting Standards Update (“ASU”) 2020-06, Debt – Debt with Conversion and Other Options (Subtopic 470-20) and Derivatives and Hedging – Contracts in Entity’s Own Equity (Subtopic 815 – 40), (“ASU 2020-06”). ASU 2020-06 simplifies the accounting for certain financial instruments with characteristics of liabilities and equity, including convertible instruments and contracts on an entity’s own equity. The ASU 2020-06 amendments are effective for fiscal years beginning after December 15, 2021, and interim periods within those fiscal years. Early adoption is permitted, but no earlier than fiscal years beginning after December 15, 2020, including interim periods within those fiscal years. We are assessing the amendments in ASU 2020-06 to determine the impact on our consolidated financial statements and related disclosures.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(ASU 2016-13). ASU 2016-13 modifies the measurement of expected credit losses of certain financial instruments, requiring entities to estimate an expected lifetime credit loss on financial assets. The ASU amends the impairment model to utilize an expected loss methodology and replaces the incurred loss methodology for financial instruments including trade receivables. The amendment requires entities to consider other factors, such as economic conditions and future economic conditions. A reporting entity should generally apply the amendment on a modified retrospective basis through a cumulative-effect adjustment to retained earnings as of the beginning of the first reporting period in which the amendment is effective. We are still assessing the amendments in ASU 2016-13 and do not expect the amendments will have a significant impact on our consolidated financial statements and related disclosures. ASU 2016-13 is effective for the first quarter of fiscal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OTHER CHARGES</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i w:val="1"/>
          <w:iCs w:val="1"/>
          <w:color w:val="auto"/>
        </w:rPr>
        <w:t>Strategic Initiatives</w:t>
      </w:r>
      <w:r>
        <w:rPr>
          <w:rFonts w:ascii="Times New Roman" w:cs="Times New Roman" w:eastAsia="Times New Roman" w:hAnsi="Times New Roman"/>
          <w:sz w:val="18"/>
          <w:szCs w:val="18"/>
          <w:color w:val="auto"/>
        </w:rPr>
        <w:t>. During the fourth quarter of fiscal 2020, we began to implement strategic initiatives to refocus on our core pawn business and optimize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cost structure in order to improve our bottom line performance and position the Company for sustainable growth. The initiatives focused on workforce reductions, closure of our CASHMAX operations, store closures and write-offs of other miscellaneous charges.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and adjustments related to our initiatives are summarized below:</w:t>
      </w:r>
    </w:p>
    <w:p>
      <w:pPr>
        <w:spacing w:after="0" w:line="171"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$6.4 million in severance and other payroll-related costs related to a headcount reduction in the corporate office;</w:t>
      </w:r>
    </w:p>
    <w:p>
      <w:pPr>
        <w:spacing w:after="0" w:line="94" w:lineRule="exact"/>
        <w:rPr>
          <w:rFonts w:ascii="Times New Roman" w:cs="Times New Roman" w:eastAsia="Times New Roman" w:hAnsi="Times New Roman"/>
          <w:sz w:val="20"/>
          <w:szCs w:val="20"/>
          <w:color w:val="auto"/>
        </w:rPr>
      </w:pPr>
    </w:p>
    <w:p>
      <w:pPr>
        <w:ind w:left="660" w:right="60" w:hanging="328"/>
        <w:spacing w:after="0" w:line="23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$4.9 million in costs related to the closure of the CASHMAX business and related operations, primarily consisting of severance and other payroll-related costs, net asset write-offs, impairment of internally developed software and contract termination costs;</w:t>
      </w:r>
    </w:p>
    <w:p>
      <w:pPr>
        <w:spacing w:after="0" w:line="91" w:lineRule="exact"/>
        <w:rPr>
          <w:rFonts w:ascii="Times New Roman" w:cs="Times New Roman" w:eastAsia="Times New Roman" w:hAnsi="Times New Roman"/>
          <w:sz w:val="20"/>
          <w:szCs w:val="20"/>
          <w:color w:val="auto"/>
        </w:rPr>
      </w:pPr>
    </w:p>
    <w:p>
      <w:pPr>
        <w:ind w:left="660" w:right="240" w:hanging="328"/>
        <w:spacing w:after="0" w:line="23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$4.1 million in costs primarily related to the closure of four stores in U.S. Pawn and three stores in Latin America Pawn, consisting primarily of severance and other payroll-related costs and reserves on net assets; and</w:t>
      </w:r>
    </w:p>
    <w:p>
      <w:pPr>
        <w:spacing w:after="0" w:line="91" w:lineRule="exact"/>
        <w:rPr>
          <w:rFonts w:ascii="Times New Roman" w:cs="Times New Roman" w:eastAsia="Times New Roman" w:hAnsi="Times New Roman"/>
          <w:sz w:val="20"/>
          <w:szCs w:val="20"/>
          <w:color w:val="auto"/>
        </w:rPr>
      </w:pPr>
    </w:p>
    <w:p>
      <w:pPr>
        <w:ind w:left="680" w:hanging="348"/>
        <w:spacing w:after="0"/>
        <w:tabs>
          <w:tab w:leader="none" w:pos="6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$5.0 million in other miscellaneous charges, primarily consisting of impairment of internally developed software and contract termination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Accrued Charges at</w:t>
            </w:r>
          </w:p>
        </w:tc>
        <w:tc>
          <w:tcPr>
            <w:tcW w:w="280" w:type="dxa"/>
            <w:vAlign w:val="bottom"/>
          </w:tcPr>
          <w:p>
            <w:pPr>
              <w:spacing w:after="0"/>
              <w:rPr>
                <w:sz w:val="16"/>
                <w:szCs w:val="16"/>
                <w:color w:val="auto"/>
              </w:rPr>
            </w:pPr>
          </w:p>
        </w:tc>
        <w:tc>
          <w:tcPr>
            <w:tcW w:w="14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Charges and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Payments and</w:t>
            </w:r>
          </w:p>
        </w:tc>
        <w:tc>
          <w:tcPr>
            <w:tcW w:w="160" w:type="dxa"/>
            <w:vAlign w:val="bottom"/>
          </w:tcPr>
          <w:p>
            <w:pPr>
              <w:spacing w:after="0"/>
              <w:rPr>
                <w:sz w:val="16"/>
                <w:szCs w:val="16"/>
                <w:color w:val="auto"/>
              </w:rPr>
            </w:pP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Accrued Charges at</w:t>
            </w:r>
          </w:p>
        </w:tc>
        <w:tc>
          <w:tcPr>
            <w:tcW w:w="0" w:type="dxa"/>
            <w:vAlign w:val="bottom"/>
          </w:tcPr>
          <w:p>
            <w:pPr>
              <w:spacing w:after="0"/>
              <w:rPr>
                <w:sz w:val="1"/>
                <w:szCs w:val="1"/>
                <w:color w:val="auto"/>
              </w:rPr>
            </w:pPr>
          </w:p>
        </w:tc>
      </w:tr>
      <w:tr>
        <w:trPr>
          <w:trHeight w:val="214"/>
        </w:trPr>
        <w:tc>
          <w:tcPr>
            <w:tcW w:w="3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6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1"/>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charges:</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 reduction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CASHMAX shutdown costs</w:t>
            </w: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Store closure costs</w:t>
            </w:r>
          </w:p>
        </w:tc>
        <w:tc>
          <w:tcPr>
            <w:tcW w:w="140" w:type="dxa"/>
            <w:vAlign w:val="bottom"/>
          </w:tcPr>
          <w:p>
            <w:pPr>
              <w:spacing w:after="0"/>
              <w:rPr>
                <w:sz w:val="19"/>
                <w:szCs w:val="19"/>
                <w:color w:val="auto"/>
              </w:rPr>
            </w:pPr>
          </w:p>
        </w:tc>
        <w:tc>
          <w:tcPr>
            <w:tcW w:w="17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Labor reduction costs</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CASHMAX shutdown costs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Store closure costs</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2019 Acquisitions</w:t>
      </w:r>
    </w:p>
    <w:p>
      <w:pPr>
        <w:spacing w:after="0" w:line="17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In June 2019, we acquired assets related to seven pawn stores operating under the name "Metro Pawn" in Nevada, entering the Reno market and expanding our presence in the Las Vegas metropolitan area, for an aggregate purchase price of $7.0 million in cash, of which $3.9 million was recorded as goodwill. In December 2018, we acquired assets related to five pawn stores in Mexico for an aggregate purchase price of $0.3 million in cash, of</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which $0.1 million was recorded as goodwill. Substantially all goodwill attributable to the fiscal 2019 acquisitions is deductible for tax purposes. We have concluded these acquisitions were immaterial to our overall consolidated financial results and, therefore, have omitted information that would otherwise be required.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2018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Camira Administration Corp. and subsidiaries (“GPMX”)</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2017, we completed the acquisition of 100% of the outstanding stock of Camira Administration Corp. and subsidiaries (“GPMX”), a business that, at the time, owned and operated 112 stores located in Guatemala, El Salvador, Honduras and Peru. The GPMX acquisition significantly expanded our store base into Latin American countries outside of Mexico and provided us with a platform for further growth in the region. Under the terms of the stock purchase agreement (“SPA”), we paid $53.4 million in cash upon closing and, subsequent to the closing, paid $6.7 million to satisfy the acquired company's indebtedness to members of the seller’s affiliated group. The SPA specified a further $2.25 million to be paid contingent upon performance of GPMX’s business during a period up to 24 months following the closing date, and the business achieved the specified performance goal during the first quarter of fiscal 2018. Consequently, we made a final payment of $1.6 million in January 2018 in satisfaction of the contingent purchase price obligation, after reduction for certain adjustments under the SPA, yielding a total purchase price of $61.7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June 2018, we acquired 40 pawn stores operating under the name “Montepio San Patricio” in and around Mexico City, the largest market in Mexico. The acquisition of these stores was our largest acquisition in Mexico to date and significantly strengthened our competitive position in the strategically important Mexico City metropolitan area. The physical space in these stores is substantially larger than our average store in Mexico, giving us the capacity to increase their focus on general merchandise pawn loan and retail activities.</w:t>
      </w:r>
    </w:p>
    <w:p>
      <w:pPr>
        <w:spacing w:after="0" w:line="12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June 2018, we acquired 23 pawn stores operating under the name “Presta Dinero,” giving us a presence in a number of cities within seven central-Mexico states in which we already had stores. These stores complemented our existing stores, allowing us to achieve synergies in management and administration while giving us a presence in new cities and neighborhoods.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December 2017, we acquired 21 pawn stores located in the Mexican state of Sinaloa operating under the name “Bazareño.” The Bazareño stores made up the largest chain of pawn stores in Culiacan, the capital city of Sinaloa, giving us the number one position in that market and an important strategic presence in the northwest region of Mexico.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prices of the above acquisitions were paid in cash.</w:t>
      </w:r>
    </w:p>
    <w:p>
      <w:pPr>
        <w:spacing w:after="0" w:line="1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These acquisitions, collectively referred to as "All Other" below, were individually immaterial and we have therefore omitted or aggregated certain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 for Fiscal 2018 Acquisitions</w:t>
      </w:r>
    </w:p>
    <w:p>
      <w:pPr>
        <w:spacing w:after="0" w:line="17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acquisitions described above were all attributable to our Latin America Pawn segment. The allocation of the consideration for the acquired net assets from our fiscal 2018 acquisitions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GPMX</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All Other</w:t>
            </w:r>
          </w:p>
        </w:tc>
      </w:tr>
      <w:tr>
        <w:trPr>
          <w:trHeight w:val="250"/>
        </w:trPr>
        <w:tc>
          <w:tcPr>
            <w:tcW w:w="8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8,347</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intangible assets, deferred taxes and other assets, net*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13,678</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deferred taxes and other liabilities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w:t>
            </w: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consideration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As September 30, 2018 intangible assets consist primarily of $9.8 million and $6.6 million in trade names acquired with indefinite useful lives, for GPMX and All Other, respectively.</w:t>
      </w:r>
    </w:p>
    <w:p>
      <w:pPr>
        <w:spacing w:after="0" w:line="1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factors contributing to the recognition of goodwill, which is recorded in our Latin America Pawn segment, were based on several strategic and synergistic benefits we expect to realize from the acquisitions, including expansion of our store base as well as the ability to further leverage our pawn expertise, investments in information technology and other back office and support functions of our existing Mexico pawn business. None of the goodwill resulting from these business combinations is deductible for tax purposes.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results of the acquired businesses have been included in our consolidated financial statements beginning after the acquisition dates as indicated above in our Latin America Pawn segment with revenue and net income amounts as presented below. Such net income does not include acquisition-related costs of approximately $0.6 million for fiscal 2018, which were expensed as incurred and primarily included under “Administrative” expense in our consolidated statements of operations. It is impracticable to provide historical supplemental pro forma financial information for GPMX and All Other acquisitions due to a variety of factors, including complexity of restructured entities acquired and access to historical information, such as information necessary to eliminate intercompany transactions.</w:t>
      </w:r>
    </w:p>
    <w:tbl>
      <w:tblPr>
        <w:tblLayout w:type="fixed"/>
        <w:tblInd w:w="0" w:type="dxa"/>
        <w:tblCellMar>
          <w:top w:w="0" w:type="dxa"/>
          <w:left w:w="0" w:type="dxa"/>
          <w:bottom w:w="0" w:type="dxa"/>
          <w:right w:w="0" w:type="dxa"/>
        </w:tblCellMar>
      </w:tblPr>
      <w:tr>
        <w:trPr>
          <w:trHeight w:val="179"/>
        </w:trPr>
        <w:tc>
          <w:tcPr>
            <w:tcW w:w="8480" w:type="dxa"/>
            <w:vAlign w:val="bottom"/>
          </w:tcPr>
          <w:p>
            <w:pPr>
              <w:spacing w:after="0"/>
              <w:rPr>
                <w:sz w:val="15"/>
                <w:szCs w:val="15"/>
                <w:color w:val="auto"/>
              </w:rPr>
            </w:pPr>
          </w:p>
        </w:tc>
        <w:tc>
          <w:tcPr>
            <w:tcW w:w="2280" w:type="dxa"/>
            <w:vAlign w:val="bottom"/>
            <w:gridSpan w:val="4"/>
          </w:tcPr>
          <w:p>
            <w:pPr>
              <w:jc w:val="center"/>
              <w:ind w:left="419"/>
              <w:spacing w:after="0" w:line="179" w:lineRule="exact"/>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480" w:type="dxa"/>
            <w:vAlign w:val="bottom"/>
          </w:tcPr>
          <w:p>
            <w:pPr>
              <w:spacing w:after="0"/>
              <w:rPr>
                <w:sz w:val="15"/>
                <w:szCs w:val="15"/>
                <w:color w:val="auto"/>
              </w:rPr>
            </w:pPr>
          </w:p>
        </w:tc>
      </w:tr>
      <w:tr>
        <w:trPr>
          <w:trHeight w:val="214"/>
        </w:trPr>
        <w:tc>
          <w:tcPr>
            <w:tcW w:w="8480" w:type="dxa"/>
            <w:vAlign w:val="bottom"/>
          </w:tcPr>
          <w:p>
            <w:pPr>
              <w:spacing w:after="0"/>
              <w:rPr>
                <w:sz w:val="18"/>
                <w:szCs w:val="18"/>
                <w:color w:val="auto"/>
              </w:rPr>
            </w:pPr>
          </w:p>
        </w:tc>
        <w:tc>
          <w:tcPr>
            <w:tcW w:w="228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480" w:type="dxa"/>
            <w:vAlign w:val="bottom"/>
            <w:tcBorders>
              <w:bottom w:val="single" w:sz="8" w:color="auto"/>
            </w:tcBorders>
          </w:tcPr>
          <w:p>
            <w:pPr>
              <w:spacing w:after="0"/>
              <w:rPr>
                <w:sz w:val="18"/>
                <w:szCs w:val="18"/>
                <w:color w:val="auto"/>
              </w:rPr>
            </w:pPr>
          </w:p>
        </w:tc>
      </w:tr>
      <w:tr>
        <w:trPr>
          <w:trHeight w:val="210"/>
        </w:trPr>
        <w:tc>
          <w:tcPr>
            <w:tcW w:w="84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252"/>
        </w:trPr>
        <w:tc>
          <w:tcPr>
            <w:tcW w:w="8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GPMX</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46.5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(LOSS)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basic and diluted (loss) earnings per share and excluded antidilutive potential common shares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80" w:type="dxa"/>
            <w:vAlign w:val="bottom"/>
            <w:gridSpan w:val="7"/>
          </w:tcPr>
          <w:p>
            <w:pPr>
              <w:jc w:val="center"/>
              <w:ind w:right="219"/>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from continuing operations attributable to EZCORP (A)</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38,138</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 (B)</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37"/>
        </w:trPr>
        <w:tc>
          <w:tcPr>
            <w:tcW w:w="7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 income attributable to EZCORP (C)</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outstanding shares of common stock (D)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54,456</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effect of restricted stock and 2024 Convertible Notes*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w:t>
            </w:r>
          </w:p>
        </w:tc>
      </w:tr>
      <w:tr>
        <w:trPr>
          <w:trHeight w:val="237"/>
        </w:trPr>
        <w:tc>
          <w:tcPr>
            <w:tcW w:w="7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stock and common stock equivalents (E)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 attributable to EZCORP:</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 (A/E)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 (B / D)</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09"/>
        </w:trPr>
        <w:tc>
          <w:tcPr>
            <w:tcW w:w="70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
        </w:trPr>
        <w:tc>
          <w:tcPr>
            <w:tcW w:w="70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 attributable to EZCORP:</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 (A / 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 (B / E)</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37"/>
        </w:trPr>
        <w:tc>
          <w:tcPr>
            <w:tcW w:w="7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Diluted (loss) earnings per share (C / 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Potential common shares excluded from the calculation of diluted earnings per share above*: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r>
    </w:tbl>
    <w:p>
      <w:pPr>
        <w:spacing w:after="0" w:line="131" w:lineRule="exact"/>
        <w:rPr>
          <w:sz w:val="20"/>
          <w:szCs w:val="20"/>
          <w:color w:val="auto"/>
        </w:rPr>
      </w:pPr>
    </w:p>
    <w:p>
      <w:pPr>
        <w:ind w:left="340" w:right="180" w:hanging="332"/>
        <w:spacing w:after="0" w:line="281" w:lineRule="auto"/>
        <w:tabs>
          <w:tab w:leader="none" w:pos="2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for discussion of the terms and conditions of the potential impact of the 2024 Convertible Notes and 2025 Convertible Notes. This amount excludes all potential common shares for periods when there is a loss from continuing operations.</w:t>
      </w:r>
    </w:p>
    <w:p>
      <w:pPr>
        <w:spacing w:after="0" w:line="1" w:lineRule="exact"/>
        <w:rPr>
          <w:sz w:val="20"/>
          <w:szCs w:val="20"/>
          <w:color w:val="auto"/>
        </w:rPr>
      </w:pPr>
    </w:p>
    <w:p>
      <w:pPr>
        <w:ind w:left="340" w:right="100" w:hanging="332"/>
        <w:spacing w:after="0" w:line="282" w:lineRule="auto"/>
        <w:tabs>
          <w:tab w:leader="none" w:pos="30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INVESTMENTS</w:t>
      </w:r>
    </w:p>
    <w:p>
      <w:pPr>
        <w:spacing w:after="0" w:line="17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As of September 30, 2020, we owned 214,183,714 shares, or approximately 34.75%, of Cash Converters International. Our total investment in Cash Converters International was acquired between November 2009 and June 2018 for approximately $96.1 million, including the acquisition of 57,631,230 shares in June 2018 for $14.0 million (increasing our ownership by three percentage points) in connection with an underwritten placement of 123.3 million shares by Cash Converters International for AUD $39.5 million, excluding related costs.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equity in Cash Converters International’s net loss was $2.1 million and $0.1 million in fiscal 2020 and 2019, and our equity in net income was $5.5 million in 2018. Cash Converters International did not declare or pay a dividend in fiscal 2020, 2019 or 2018. Cash Converters International’s accumulated undistributed after-tax earnings included in our consolidated retained earnings were $13.7 million as of September 30, 2020.</w:t>
      </w:r>
    </w:p>
    <w:p>
      <w:pPr>
        <w:spacing w:after="0" w:line="12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following tables present summary financial information for Cash Converters International’s most recently reported results as of September 30, 2020, 2019 and 2018 as applicable after translation to U.S.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1"/>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49"/>
        </w:trPr>
        <w:tc>
          <w:tcPr>
            <w:tcW w:w="8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tcPr>
          <w:p>
            <w:pPr>
              <w:spacing w:after="0"/>
              <w:rPr>
                <w:sz w:val="21"/>
                <w:szCs w:val="2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173,826</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172,833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152,483</w:t>
            </w:r>
          </w:p>
        </w:tc>
      </w:tr>
      <w:tr>
        <w:trPr>
          <w:trHeight w:val="237"/>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330,016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326,309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77,434</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26,163</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210,713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222,712</w:t>
            </w:r>
          </w:p>
        </w:tc>
      </w:tr>
      <w:tr>
        <w:trPr>
          <w:trHeight w:val="212"/>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330,016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326,309</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Fiscal Year Ended June 30,</w:t>
            </w:r>
          </w:p>
        </w:tc>
        <w:tc>
          <w:tcPr>
            <w:tcW w:w="980" w:type="dxa"/>
            <w:vAlign w:val="bottom"/>
            <w:tcBorders>
              <w:bottom w:val="single" w:sz="8" w:color="auto"/>
            </w:tcBorders>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9"/>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201,365</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201,800</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112,511</w:t>
            </w:r>
          </w:p>
        </w:tc>
        <w:tc>
          <w:tcPr>
            <w:tcW w:w="22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111,932</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128,366</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17,443</w:t>
            </w:r>
          </w:p>
        </w:tc>
      </w:tr>
    </w:tbl>
    <w:p>
      <w:pPr>
        <w:spacing w:after="0" w:line="2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September 30, 2020, the fair value of our investment in Cash Converters International, as estimated by reference to its quoted market price per share, was greater than its carrying value.</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For the first and second quarters of fiscal 2019, we determined that our investment was impaired and that such impairment was "other-than-temporary." In reaching this conclusion, we considered all available evidence, including evidence in existence as of September 30, 2018. Additionally, we noted the following developments subsequent to September 30, 2018: (i) continued decline in Cash Converters International's share price; and (ii) ongoing uncertainty around the Queensland, Australia class action lawsuit regarding historical lending practices by Cash Converters International, for which a settlement agreement was reached subsequent to September 30, 2019. As a result, we recognized "other-than-temporary" impairments in Cash Converters International of $13.3 million ($10.3 million, net of taxes) and $6.5 million ($5.0 million, net of taxes) during the first and second quarters of fiscal 2019, respectively. The fair value of our investment in Cash Converters International was $6.2 million below its carrying value as of September 30, 2019, which we determined was not other-than temporary primarily as a result of the subsequent settlement of the remaining Queensland, Australia class action lawsuit and recovery of share price.</w:t>
      </w:r>
    </w:p>
    <w:p>
      <w:pPr>
        <w:spacing w:after="0" w:line="13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will continue to monitor the fair value of our investment in Cash Converters International for other-than-temporary impairments in future reporting periods and may record additional impairment charges should the fair value of our investment in Cash Converters International decline below its carrying value for an extended period of time. See Note 6 for the fair value and carrying value of our investment in Cash Converters International.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hold a 13.14% ownership in "RDC" and recognized a $0.3 million net loss for fiscal year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2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Other observable market-based inputs or unobservable inputs that are corroborated by market data.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our financial assets and liabilities that were not measured at fair value: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5"/>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tc>
      </w:tr>
      <w:tr>
        <w:trPr>
          <w:trHeight w:val="211"/>
        </w:trPr>
        <w:tc>
          <w:tcPr>
            <w:tcW w:w="5020" w:type="dxa"/>
            <w:vAlign w:val="bottom"/>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0"/>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2.89% promissory note receivable due April 2024</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1,148</w:t>
            </w: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1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32,597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24,833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 Convertible Notes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129,979</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129,979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Convertible Notes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137,569</w:t>
            </w: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137,569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8.5% unsecured debt due 2024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r>
    </w:tbl>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9"/>
        </w:trPr>
        <w:tc>
          <w:tcPr>
            <w:tcW w:w="5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7"/>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tc>
      </w:tr>
      <w:tr>
        <w:trPr>
          <w:trHeight w:val="211"/>
        </w:trPr>
        <w:tc>
          <w:tcPr>
            <w:tcW w:w="5020" w:type="dxa"/>
            <w:vAlign w:val="bottom"/>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49"/>
        </w:trPr>
        <w:tc>
          <w:tcPr>
            <w:tcW w:w="5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60" w:type="dxa"/>
            <w:vAlign w:val="bottom"/>
            <w:gridSpan w:val="5"/>
          </w:tcPr>
          <w:p>
            <w:pPr>
              <w:jc w:val="center"/>
              <w:ind w:lef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Notes receivable from Grupo Finmart, net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r>
      <w:tr>
        <w:trPr>
          <w:trHeight w:val="21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2.89% promissory note receivable due April 2024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r>
      <w:tr>
        <w:trPr>
          <w:trHeight w:val="213"/>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8,056</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2024 Convertible Notes</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111,311</w:t>
            </w: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139,969</w:t>
            </w: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 Convertible Notes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8.5% unsecured debt due 2024</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19"/>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CASHMAX secured borrowing facility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Based primarily on the short-term nature of cash and cash equivalents, pawn loans, pawn service charges receivable and other debt, we estimate that their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September 2020, we received the final payment from AlphaCredit on the notes receivable related to the sale of Grupo Finmart and recorded the amount under “Restricted cash” in our consolidated balance sheet as of September 30, 2020. In August 2019, AlphaCredit notified us of an indemnity claim for</w:t>
      </w:r>
    </w:p>
    <w:p>
      <w:pPr>
        <w:sectPr>
          <w:pgSz w:w="11900" w:h="16838" w:orient="portrait"/>
          <w:cols w:equalWidth="0" w:num="1">
            <w:col w:w="11240"/>
          </w:cols>
          <w:pgMar w:left="320" w:top="121" w:right="339" w:bottom="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certain pre-closing taxes, but the nature, extent and validity of such claim has yet to be determined.</w:t>
      </w:r>
    </w:p>
    <w:p>
      <w:pPr>
        <w:spacing w:after="0" w:line="17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inputs used to generate the fair value of the investment in unconsolidated affiliate (Cash Converters International) were considered Level 1 inputs. These inputs are comprised of (a) the quoted stock price on the Australian Stock Exchange multiplied by (b) the number of shares we owned multiplied by</w:t>
      </w:r>
    </w:p>
    <w:p>
      <w:pPr>
        <w:spacing w:after="0" w:line="1" w:lineRule="exact"/>
        <w:rPr>
          <w:sz w:val="20"/>
          <w:szCs w:val="20"/>
          <w:color w:val="auto"/>
        </w:rPr>
      </w:pPr>
    </w:p>
    <w:p>
      <w:pPr>
        <w:ind w:right="200" w:firstLine="8"/>
        <w:spacing w:after="0" w:line="243"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foreign currency exchange rate as of the end of our reporting period. We included no control premium for owning a large percentage of outstanding shares.</w:t>
      </w:r>
    </w:p>
    <w:p>
      <w:pPr>
        <w:spacing w:after="0" w:line="128"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We use the equity method of accounting for our 13.14% ownership in a previously consolidated variable interest entity, RDC, over which we no longer have the power to direct the activities that most significantly affect its economic performance. We believe its fair value approximates carrying value although such fair value is highly variable and includes significant unobservable inputs.</w:t>
      </w:r>
    </w:p>
    <w:p>
      <w:pPr>
        <w:spacing w:after="0" w:line="12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2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March 2019, we received $1.1 million in previously escrowed seller funds as a result of settling certain indemnification claims with the seller of GPMX. In April 2019, we loaned the $1.1 million back to the seller of GPMX in exchange for a promissory note. The note bears interest at the rate of 2.89% per annum and is secured by certain marketable securities owned</w:t>
      </w:r>
    </w:p>
    <w:p>
      <w:pPr>
        <w:spacing w:after="0" w:line="12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by the seller and held in a U.S. brokerage account. All principal and accrued interest is due and payable in April 2024. The note approximated its carrying value as of September 30,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classifications of property and equipment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108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Net Book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110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Net Book</w:t>
            </w:r>
          </w:p>
        </w:tc>
        <w:tc>
          <w:tcPr>
            <w:tcW w:w="0" w:type="dxa"/>
            <w:vAlign w:val="bottom"/>
          </w:tcPr>
          <w:p>
            <w:pPr>
              <w:spacing w:after="0"/>
              <w:rPr>
                <w:sz w:val="1"/>
                <w:szCs w:val="1"/>
                <w:color w:val="auto"/>
              </w:rPr>
            </w:pPr>
          </w:p>
        </w:tc>
      </w:tr>
      <w:tr>
        <w:trPr>
          <w:trHeight w:val="214"/>
        </w:trPr>
        <w:tc>
          <w:tcPr>
            <w:tcW w:w="2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Depreciation</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Depreciation</w:t>
            </w:r>
          </w:p>
        </w:tc>
        <w:tc>
          <w:tcPr>
            <w:tcW w:w="20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34,591</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31,389</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267,509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(210,523)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56,986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(198,565)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67,357</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3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We test goodwill and intangible assets with indefinite useful lives for impairment annually, or more frequently when there are events or circumstances that indicate a potential impairment exists. During the second quarter of fiscal 2020, there was an indicator of impairment due to a decline in our market capitalization. We performed a quantitative analysis as of March 31, 2020 utilizing the income approach. This approach uses future cash flows and estimated terminal values for each reporting unit (discounted using a market participant perspective) to determine the fair value of each reporting unit, which is then compared to the carrying value of the reporting unit to determine if an impairment exists. The income approach includes assumptions about revenue growth rates, operating margins and terminal growth rates discounted by an estimated weighted-average cost of capital derived from other publicly traded companies that are similar but not identical from an operational and economic standpoint. There is inherent uncertainty associated with these key assumptions, including the duration of the economic downturn associated with COVID-19 and the recovery period. As a result of our quantitative analysis, we determined the fair value of each of our reporting units was below its carrying value because of the impact of COVID-19, including a significant decline in pawn loan balances due to changes in typical customer behavior and mandated store closures in our GPMX countries. These factors impacted the forecast of future net revenues and earnings and resulted in lower present value of future cash flows. We recorded a goodwill impairment charge of</w:t>
      </w:r>
    </w:p>
    <w:p>
      <w:pPr>
        <w:spacing w:after="0" w:line="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$41.3 million in the second quarter of fiscal 2020. In addition, we (a) determined an impairment had occurred in the fair values of trade names of previously acquired entities in our Mexico and GPMX reporting units and recorded a related impairment of $2.9 million and $1.7 million respectively, and</w:t>
      </w:r>
    </w:p>
    <w:p>
      <w:pPr>
        <w:spacing w:after="0" w:line="1" w:lineRule="exact"/>
        <w:rPr>
          <w:sz w:val="20"/>
          <w:szCs w:val="20"/>
          <w:color w:val="auto"/>
        </w:rPr>
      </w:pPr>
    </w:p>
    <w:p>
      <w:pPr>
        <w:ind w:right="60" w:firstLine="8"/>
        <w:spacing w:after="0" w:line="239"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the carrying amount of certain long-lived asset groups were not recoverable and recorded a related impairment of $1.1 million in the second quarter of 2020. These impairments were recorded under "Impairment of goodwill, intangible and other assets" in the Consolidated Statements of Operations. We further evaluated events and circumstances as of September 30, 2020 and determined there were no indicators of impairment.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value of goodwill by segment: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Latin America</w:t>
            </w:r>
          </w:p>
        </w:tc>
        <w:tc>
          <w:tcPr>
            <w:tcW w:w="160" w:type="dxa"/>
            <w:vAlign w:val="bottom"/>
          </w:tcPr>
          <w:p>
            <w:pPr>
              <w:spacing w:after="0"/>
              <w:rPr>
                <w:sz w:val="16"/>
                <w:szCs w:val="16"/>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2018</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299,248</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foreign currency translation changes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0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2019</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251,752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300,527</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Measurement period adjustments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 *</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(41,340)</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foreign currency translation changes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2020</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257,582</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Represents cumulative goodwill impairment.</w:t>
      </w:r>
    </w:p>
    <w:p>
      <w:pPr>
        <w:sectPr>
          <w:pgSz w:w="11900" w:h="16838" w:orient="portrait"/>
          <w:cols w:equalWidth="0" w:num="1">
            <w:col w:w="11240"/>
          </w:cols>
          <w:pgMar w:left="320" w:top="121" w:right="339" w:bottom="10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55"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688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balance of each major class of intangible assets:</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8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1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2"/>
              </w:rPr>
              <w:t>on</w:t>
            </w:r>
          </w:p>
        </w:tc>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3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Pawn licenses</w:t>
            </w:r>
          </w:p>
        </w:tc>
        <w:tc>
          <w:tcPr>
            <w:tcW w:w="13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29,455</w:t>
            </w:r>
          </w:p>
        </w:tc>
        <w:tc>
          <w:tcPr>
            <w:tcW w:w="0" w:type="dxa"/>
            <w:vAlign w:val="bottom"/>
          </w:tcPr>
          <w:p>
            <w:pPr>
              <w:spacing w:after="0"/>
              <w:rPr>
                <w:sz w:val="1"/>
                <w:szCs w:val="1"/>
                <w:color w:val="auto"/>
              </w:rPr>
            </w:pPr>
          </w:p>
        </w:tc>
      </w:tr>
      <w:tr>
        <w:trPr>
          <w:trHeight w:val="216"/>
        </w:trPr>
        <w:tc>
          <w:tcPr>
            <w:tcW w:w="100" w:type="dxa"/>
            <w:vAlign w:val="bottom"/>
            <w:vMerge w:val="restart"/>
          </w:tcPr>
          <w:p>
            <w:pPr>
              <w:spacing w:after="0"/>
              <w:rPr>
                <w:sz w:val="18"/>
                <w:szCs w:val="18"/>
                <w:color w:val="auto"/>
              </w:rPr>
            </w:pPr>
          </w:p>
        </w:tc>
        <w:tc>
          <w:tcPr>
            <w:tcW w:w="68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mortizing intangible assets:</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59,436</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6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6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8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angible assets, net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00" w:right="40"/>
        <w:spacing w:after="0" w:line="312" w:lineRule="auto"/>
        <w:rPr>
          <w:sz w:val="20"/>
          <w:szCs w:val="20"/>
          <w:color w:val="auto"/>
        </w:rPr>
      </w:pPr>
      <w:r>
        <w:rPr>
          <w:rFonts w:ascii="Times New Roman" w:cs="Times New Roman" w:eastAsia="Times New Roman" w:hAnsi="Times New Roman"/>
          <w:sz w:val="17"/>
          <w:szCs w:val="17"/>
          <w:color w:val="auto"/>
        </w:rPr>
        <w:t>The amortization of most definite-lived intangible assets is recorded as amortization expense and included under “Depreciation and amortization” expense in our consolidated statements of operations. These amounts were $11.2 million, $7.8 million and $5.8 million for fiscal 2020, 2019 and 2018, respectively.</w:t>
      </w:r>
    </w:p>
    <w:p>
      <w:pPr>
        <w:spacing w:after="0" w:line="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table presents our estimate of future amortization expense for definite-lived intangible assets:</w:t>
      </w:r>
    </w:p>
    <w:p>
      <w:pPr>
        <w:spacing w:after="0" w:line="5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 expense</w:t>
            </w:r>
          </w:p>
        </w:tc>
      </w:tr>
      <w:tr>
        <w:trPr>
          <w:trHeight w:val="250"/>
        </w:trPr>
        <w:tc>
          <w:tcPr>
            <w:tcW w:w="9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1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w:t>
            </w:r>
          </w:p>
        </w:tc>
      </w:tr>
      <w:tr>
        <w:trPr>
          <w:trHeight w:val="210"/>
        </w:trPr>
        <w:tc>
          <w:tcPr>
            <w:tcW w:w="9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w:t>
            </w:r>
          </w:p>
        </w:tc>
      </w:tr>
      <w:tr>
        <w:trPr>
          <w:trHeight w:val="222"/>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r>
      <w:tr>
        <w:trPr>
          <w:trHeight w:val="210"/>
        </w:trPr>
        <w:tc>
          <w:tcPr>
            <w:tcW w:w="9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w:t>
            </w:r>
          </w:p>
        </w:tc>
      </w:tr>
      <w:tr>
        <w:trPr>
          <w:trHeight w:val="222"/>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r>
    </w:tbl>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As acquisitions and dispositions occur in the future, amortization expense may vary from these estimates.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08" w:right="339" w:bottom="1440" w:gutter="0" w:footer="0" w:header="0"/>
        </w:sectPr>
      </w:pPr>
    </w:p>
    <w:bookmarkStart w:id="59" w:name="page60"/>
    <w:bookmarkEnd w:id="59"/>
    <w:p>
      <w:pPr>
        <w:ind w:left="10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tables present our debt instruments outstanding, contractual maturities and interest expense: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7"/>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3"/>
                <w:szCs w:val="13"/>
                <w:color w:val="auto"/>
              </w:rPr>
            </w:pPr>
          </w:p>
        </w:tc>
        <w:tc>
          <w:tcPr>
            <w:tcW w:w="130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Debt Discount</w:t>
            </w:r>
          </w:p>
        </w:tc>
        <w:tc>
          <w:tcPr>
            <w:tcW w:w="100" w:type="dxa"/>
            <w:vAlign w:val="bottom"/>
          </w:tcPr>
          <w:p>
            <w:pPr>
              <w:spacing w:after="0"/>
              <w:rPr>
                <w:sz w:val="13"/>
                <w:szCs w:val="13"/>
                <w:color w:val="auto"/>
              </w:rPr>
            </w:pPr>
          </w:p>
        </w:tc>
        <w:tc>
          <w:tcPr>
            <w:tcW w:w="94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7"/>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Debt Discount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and Issuance</w:t>
            </w:r>
          </w:p>
        </w:tc>
        <w:tc>
          <w:tcPr>
            <w:tcW w:w="1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7"/>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and Issuance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Costs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Convertible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143,750</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(26,557)</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117,193</w:t>
            </w:r>
          </w:p>
        </w:tc>
        <w:tc>
          <w:tcPr>
            <w:tcW w:w="560" w:type="dxa"/>
            <w:vAlign w:val="bottom"/>
            <w:tcBorders>
              <w:right w:val="single" w:sz="8" w:color="CCEEFF"/>
            </w:tcBorders>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143,750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(32,439)</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111,311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133,164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6"/>
              </w:rPr>
              <w:t>172,500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(46,290)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8.5% unsecured debt due 2024*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7"/>
              </w:rPr>
              <w:t>1,092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CASHMAX*</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317,122</w:t>
            </w:r>
          </w:p>
        </w:tc>
        <w:tc>
          <w:tcPr>
            <w:tcW w:w="5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(65,893)</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251,229</w:t>
            </w:r>
          </w:p>
        </w:tc>
        <w:tc>
          <w:tcPr>
            <w:tcW w:w="560" w:type="dxa"/>
            <w:vAlign w:val="bottom"/>
            <w:tcBorders>
              <w:right w:val="single" w:sz="8" w:color="CCEEFF"/>
            </w:tcBorders>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317,976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(79,382)</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238,594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140" w:type="dxa"/>
            <w:vAlign w:val="bottom"/>
            <w:tcBorders>
              <w:top w:val="single" w:sz="8" w:color="CCEEFF"/>
              <w:bottom w:val="single" w:sz="8" w:color="CCEEFF"/>
            </w:tcBorders>
            <w:shd w:val="clear" w:color="auto" w:fill="CCEEFF"/>
          </w:tcPr>
          <w:p>
            <w:pPr>
              <w:jc w:val="right"/>
              <w:ind w:right="250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251,016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right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317,762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(79,382)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238,380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 w:type="dxa"/>
            <w:vAlign w:val="bottom"/>
          </w:tcPr>
          <w:p>
            <w:pPr>
              <w:spacing w:after="0"/>
              <w:rPr>
                <w:sz w:val="24"/>
                <w:szCs w:val="24"/>
                <w:color w:val="auto"/>
              </w:rPr>
            </w:pPr>
          </w:p>
        </w:tc>
        <w:tc>
          <w:tcPr>
            <w:tcW w:w="65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  Amounts translated from Guatemalan quetzals and Canadian dollars as of the applicable period end.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Schedule of Contractual Maturities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left="139"/>
              <w:spacing w:after="0" w:line="15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1 - 3 Years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8"/>
              </w:rPr>
              <w:t>3 - 5 Years</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gridSpan w:val="4"/>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5"/>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6"/>
          </w:tcPr>
          <w:p>
            <w:pPr>
              <w:ind w:left="2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Convertible Notes*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143,750</w:t>
            </w:r>
          </w:p>
        </w:tc>
        <w:tc>
          <w:tcPr>
            <w:tcW w:w="640" w:type="dxa"/>
            <w:vAlign w:val="bottom"/>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172,500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8.5% unsecured debt due 2024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317,122</w:t>
            </w:r>
          </w:p>
        </w:tc>
        <w:tc>
          <w:tcPr>
            <w:tcW w:w="64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427</w:t>
            </w: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316,482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Excludes the potential impact of embedded derivatives.</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1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Fiscal Year Ended September 30,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7"/>
          </w:tcPr>
          <w:p>
            <w:pPr>
              <w:jc w:val="center"/>
              <w:ind w:right="560"/>
              <w:spacing w:after="0"/>
              <w:rPr>
                <w:sz w:val="20"/>
                <w:szCs w:val="20"/>
                <w:color w:val="auto"/>
              </w:rPr>
            </w:pPr>
            <w:r>
              <w:rPr>
                <w:rFonts w:ascii="Times New Roman" w:cs="Times New Roman" w:eastAsia="Times New Roman" w:hAnsi="Times New Roman"/>
                <w:sz w:val="16"/>
                <w:szCs w:val="16"/>
                <w:i w:val="1"/>
                <w:iCs w:val="1"/>
                <w:color w:val="auto"/>
                <w:w w:val="89"/>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19</w:t>
            </w:r>
          </w:p>
        </w:tc>
        <w:tc>
          <w:tcPr>
            <w:tcW w:w="4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140" w:type="dxa"/>
            <w:vAlign w:val="bottom"/>
          </w:tcPr>
          <w:p>
            <w:pPr>
              <w:jc w:val="right"/>
              <w:ind w:right="2500"/>
              <w:spacing w:after="0"/>
              <w:rPr>
                <w:sz w:val="20"/>
                <w:szCs w:val="20"/>
                <w:color w:val="auto"/>
              </w:rPr>
            </w:pPr>
            <w:r>
              <w:rPr>
                <w:rFonts w:ascii="Times New Roman" w:cs="Times New Roman" w:eastAsia="Times New Roman" w:hAnsi="Times New Roman"/>
                <w:sz w:val="16"/>
                <w:szCs w:val="16"/>
                <w:color w:val="auto"/>
              </w:rPr>
              <w:t>Total interest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10,630$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14,096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2"/>
              </w:rPr>
              <w:t>24</w:t>
            </w: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vMerge w:val="continue"/>
          </w:tcPr>
          <w:p>
            <w:pPr>
              <w:spacing w:after="0"/>
              <w:rPr>
                <w:sz w:val="15"/>
                <w:szCs w:val="15"/>
                <w:color w:val="auto"/>
              </w:rPr>
            </w:pPr>
          </w:p>
        </w:tc>
        <w:tc>
          <w:tcPr>
            <w:tcW w:w="4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220" w:type="dxa"/>
            <w:vAlign w:val="bottom"/>
            <w:tcBorders>
              <w:right w:val="single" w:sz="8" w:color="CCEEFF"/>
            </w:tcBorders>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140" w:type="dxa"/>
            <w:vAlign w:val="bottom"/>
          </w:tcPr>
          <w:p>
            <w:pPr>
              <w:jc w:val="right"/>
              <w:ind w:right="2500"/>
              <w:spacing w:after="0"/>
              <w:rPr>
                <w:sz w:val="20"/>
                <w:szCs w:val="20"/>
                <w:color w:val="auto"/>
              </w:rPr>
            </w:pPr>
            <w:r>
              <w:rPr>
                <w:rFonts w:ascii="Times New Roman" w:cs="Times New Roman" w:eastAsia="Times New Roman" w:hAnsi="Times New Roman"/>
                <w:sz w:val="16"/>
                <w:szCs w:val="16"/>
                <w:color w:val="auto"/>
              </w:rPr>
              <w:t>Total interest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88"/>
              </w:rPr>
              <w:t>10,016$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2"/>
              </w:rPr>
              <w:t>25</w:t>
            </w: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vMerge w:val="continue"/>
          </w:tcPr>
          <w:p>
            <w:pPr>
              <w:spacing w:after="0"/>
              <w:rPr>
                <w:sz w:val="15"/>
                <w:szCs w:val="15"/>
                <w:color w:val="auto"/>
              </w:rPr>
            </w:pPr>
          </w:p>
        </w:tc>
        <w:tc>
          <w:tcPr>
            <w:tcW w:w="4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6,954</w:t>
            </w:r>
          </w:p>
        </w:tc>
        <w:tc>
          <w:tcPr>
            <w:tcW w:w="220" w:type="dxa"/>
            <w:vAlign w:val="bottom"/>
            <w:tcBorders>
              <w:right w:val="single" w:sz="8" w:color="CCEEFF"/>
            </w:tcBorders>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140" w:type="dxa"/>
            <w:vAlign w:val="bottom"/>
          </w:tcPr>
          <w:p>
            <w:pPr>
              <w:jc w:val="right"/>
              <w:ind w:right="2500"/>
              <w:spacing w:after="0"/>
              <w:rPr>
                <w:sz w:val="20"/>
                <w:szCs w:val="20"/>
                <w:color w:val="auto"/>
              </w:rPr>
            </w:pPr>
            <w:r>
              <w:rPr>
                <w:rFonts w:ascii="Times New Roman" w:cs="Times New Roman" w:eastAsia="Times New Roman" w:hAnsi="Times New Roman"/>
                <w:sz w:val="16"/>
                <w:szCs w:val="16"/>
                <w:color w:val="auto"/>
              </w:rPr>
              <w:t>Total interest expense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88"/>
              </w:rPr>
              <w:t>11,051$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10,565$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2.375% </w:t>
      </w:r>
      <w:r>
        <w:rPr>
          <w:rFonts w:ascii="Times New Roman" w:cs="Times New Roman" w:eastAsia="Times New Roman" w:hAnsi="Times New Roman"/>
          <w:sz w:val="18"/>
          <w:szCs w:val="18"/>
          <w:b w:val="1"/>
          <w:bCs w:val="1"/>
          <w:i w:val="1"/>
          <w:iCs w:val="1"/>
          <w:color w:val="252525"/>
        </w:rPr>
        <w:t>Convertible Senior Notes Due 2025</w:t>
      </w:r>
    </w:p>
    <w:p>
      <w:pPr>
        <w:spacing w:after="0" w:line="175" w:lineRule="exact"/>
        <w:rPr>
          <w:sz w:val="20"/>
          <w:szCs w:val="20"/>
          <w:color w:val="auto"/>
        </w:rPr>
      </w:pPr>
    </w:p>
    <w:p>
      <w:pPr>
        <w:ind w:left="100" w:right="140"/>
        <w:spacing w:after="0" w:line="261" w:lineRule="auto"/>
        <w:rPr>
          <w:sz w:val="20"/>
          <w:szCs w:val="20"/>
          <w:color w:val="auto"/>
        </w:rPr>
      </w:pPr>
      <w:r>
        <w:rPr>
          <w:rFonts w:ascii="Times New Roman" w:cs="Times New Roman" w:eastAsia="Times New Roman" w:hAnsi="Times New Roman"/>
          <w:sz w:val="18"/>
          <w:szCs w:val="18"/>
          <w:color w:val="auto"/>
        </w:rPr>
        <w:t>In May 2018, we issued $172.5 million aggregate principal amount of 2.375% Convertible Senior Notes Due 2025 (the “2025 Convertible Notes”). All of the 2025 Convertible Notes were issued pursuant to an indenture dated May 14, 2018 (the "2018 Indenture") by and between us and Wells Fargo Bank, National Association, as the trustee. Effective October 1, 2019, Branch Banking and Trust Company (“BB&amp;T”), a North Carolina Bank, has assumed the duties and responsibilities as trustee under the 2018 Indenture.</w:t>
      </w:r>
    </w:p>
    <w:p>
      <w:pPr>
        <w:spacing w:after="0" w:line="126" w:lineRule="exact"/>
        <w:rPr>
          <w:sz w:val="20"/>
          <w:szCs w:val="20"/>
          <w:color w:val="auto"/>
        </w:rPr>
      </w:pPr>
    </w:p>
    <w:p>
      <w:pPr>
        <w:ind w:left="100" w:right="40"/>
        <w:spacing w:after="0" w:line="258" w:lineRule="auto"/>
        <w:rPr>
          <w:sz w:val="20"/>
          <w:szCs w:val="20"/>
          <w:color w:val="auto"/>
        </w:rPr>
      </w:pPr>
      <w:r>
        <w:rPr>
          <w:rFonts w:ascii="Times New Roman" w:cs="Times New Roman" w:eastAsia="Times New Roman" w:hAnsi="Times New Roman"/>
          <w:sz w:val="18"/>
          <w:szCs w:val="18"/>
          <w:color w:val="auto"/>
        </w:rPr>
        <w:t>The 2025 Convertible Notes were issued in a private offering and resold under Rule 144A under the Securities Act of 1933. The 2025 Convertible Notes pay interest semi-annually in arrears at a rate of 2.375% per annum on May 1 and November 1 of each year, commencing November 1, 2018, and will mature on May 1, 2025 (the "2025 Maturity Date"), unless converted, redeemed or repurchased in accordance with their terms prior to such date. At maturity, the holders of the 2025 Convertible Notes will be entitled to receive cash equal to the principal amount of the 2025 Convertible Notes plus unpaid accrued interest.</w:t>
      </w:r>
    </w:p>
    <w:p>
      <w:pPr>
        <w:sectPr>
          <w:pgSz w:w="11900" w:h="16838" w:orient="portrait"/>
          <w:cols w:equalWidth="0" w:num="1">
            <w:col w:w="11340"/>
          </w:cols>
          <w:pgMar w:left="2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2025 Convertible Notes are convertible based on an initial conversion rate of 62.8931 shares of Class A Non-Voting Common Stock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 We account for the Class A Common Stock issuable upon conversion under the treasury stock method. If our average share price is over $15.90 per share for any fiscal quarter, we are required to recognize incremental dilution of our earnings per share.</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measured the fair value of the liability component of the 2025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a discount rate of 8% for a similarly structured liability with no conversion feature, maturing in seven years. Our estimate resulted in an initial carrying value of the liability component of the 2025 Convertible Notes of $121.3 million with an associated original issue discount of $51.2 million, exclusive of deferred financing costs, accreted to the face value of the 2025 Convertible Notes based on the effective interest method through the 2025 Maturity Date.</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accounted for the conversion feature of the 2025 Convertible Notes as a separate equity-classified instrument (“2025 Convertible Notes Embedded Derivative”). The carrying amount of the 2025 Convertible Notes conversion feature (the “2025 Convertible Notes Embedded Derivative”) is currently included under “Additional paid-in capital” in our consolidated balance sheets of September 30, 2020 and was initially calculated as $49.6 million ($39.1 million, net of tax). The 2025 Convertible Notes Embedded Derivative is expected to remain recorded in equity in our consolidated balance sheets as long as it continues to meet the criteria as an equity-classified instrument in subsequent reporting periods.</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incurred transaction costs of $5.5 million related to the issuance of the 2025 Convertible Notes, which we recorded as deferred financing costs and are included under “Long-term debt, net” and “Additional paid-in capital” in our consolidated balance sheets.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effective interest rate for fiscal </w:t>
      </w:r>
      <w:r>
        <w:rPr>
          <w:rFonts w:ascii="Times New Roman" w:cs="Times New Roman" w:eastAsia="Times New Roman" w:hAnsi="Times New Roman"/>
          <w:sz w:val="18"/>
          <w:szCs w:val="18"/>
          <w:color w:val="252525"/>
        </w:rPr>
        <w:t>2020</w:t>
      </w:r>
      <w:r>
        <w:rPr>
          <w:rFonts w:ascii="Times New Roman" w:cs="Times New Roman" w:eastAsia="Times New Roman" w:hAnsi="Times New Roman"/>
          <w:sz w:val="18"/>
          <w:szCs w:val="18"/>
          <w:color w:val="auto"/>
        </w:rPr>
        <w:t xml:space="preserve"> was approximately 9%. As of September 30, 2020, the remaining unamortized debt discount and issuance costs will be amortized through the 2025 Maturity Date assuming no early conversion.</w:t>
      </w:r>
    </w:p>
    <w:p>
      <w:pPr>
        <w:spacing w:after="0" w:line="10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As of September 30, 2020, the 2025 Convertible Notes were not convertible as no conditions of conversion had been met. Accordingly, the net balance of the 2025 Convertible Notes was classified as a non-current liability in our consolidated balance sheets as of September 30, 2020. The classification of the 2025 Convertible Notes as current or non-current in the consolidated balance sheets is evaluated at each balance sheet date and may change from time to time depending on whether any of the conversion conditions has been met.</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one of the conversion conditions is met in any future fiscal quarter, we will classify our net liability under the 2025 Convertible Notes as a current liability in the consolidated balance sheets as of the end of that fiscal quarter. If none of the conversion conditions have been met in a future fiscal quarter prior to the one-year period immediately preceding the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Maturity Date, we will classify our net liability under the 2025 Convertible Notes as a non-current liability in the consolidated balance sheets as of the end of that fiscal quarter. If the note holders elect to convert their 2025 Convertible Notes prior to maturity, any unamortized discount and transaction costs will be recognized as expense at the time of conversion. If the entire outstanding principal amount had been converted on September 30, 2020, we would have recorded an expense associated with the conversion, comprised of $39.3 million of unamortized debt discount and issuance costs. As of September 30, 2020, none of the note holders had elected to convert their 2025 Convertible Notes. As of September 30, 2020, the if-converted value of the 2025 Convertible Notes did not exceed the principal amount.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2.875% </w:t>
      </w:r>
      <w:r>
        <w:rPr>
          <w:rFonts w:ascii="Times New Roman" w:cs="Times New Roman" w:eastAsia="Times New Roman" w:hAnsi="Times New Roman"/>
          <w:sz w:val="18"/>
          <w:szCs w:val="18"/>
          <w:b w:val="1"/>
          <w:bCs w:val="1"/>
          <w:i w:val="1"/>
          <w:iCs w:val="1"/>
          <w:color w:val="252525"/>
        </w:rPr>
        <w:t>Convertible Senior Notes Due 2024</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July 2017, we issued $143.75 million aggregate principal amount of 2.875% Convertible Senior Notes Due 2024 (the “2024 Convertible Notes”). All of the 2024 Convertible Notes were issued pursuant to an indenture dated July 5, 2017 (the “2017 Indenture”) by and between us and Wells Fargo Bank, National Association, as the trustee. Effective October 1, 2019, BB&amp;T has assumed the duties and responsibilities as trustee under the 2017 Indenture.</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2024 Convertible Notes were issued in a private offering and resold under Rule 144A under the Securities Act of 1933. The 2024 Convertible Notes pay interest semi-annually in arrears at a rate of 2.875% per annum on January 1 and July 1 of each year, commencing January 1, 2018, and will mature on July 1, 2024 (the “2024 Maturity Date”), unless converted, redeemed or repurchased in accordance with their terms prior to such date. At maturity, the holders of the 2024 Convertible Notes will be entitled to receive cash equal to the principal amount of the 2024 Convertible Notes plus unpaid accrued interest.</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2024 Convertible Notes are convertible based on an initial conversion rate of 100 shares of Class A Common Stock per $1,000 principal amount (equivalent to an initial conversion price of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 We account for the Class A Common Stock issuable upon conversion under the treasury stock method. If our share priced increases over $10.00 per share, we are required to recognize incremental dilution of our earnings per share.</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not redeem the 2024 Convertible Notes prior to July 6, 2021. 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measured the fair value of the liability component of the 2024 Convertible Notes under a discounted cash flow approach considering our synthetic credit rating, as determined with external consultation, including inputs that are not observable in the market. The fair value of the liability component was estimated by calculating the present value of the cash flows using discount rates slightly above 8% for a similarly structured liability with no conversion feature, maturing in seven years. Our estimate resulted in an initial carrying value of the liability component of the 2024 Convertible Notes of $102.7 million with an associated original issue discount of $41.0 million, exclusive of deferred financing costs, accreted to the face value of the 2024 Convertible Notes based on the effective interest method through the 2024 Maturity Date.</w:t>
      </w:r>
    </w:p>
    <w:p>
      <w:pPr>
        <w:spacing w:after="0" w:line="1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accounted for the conversion feature of the 2024 Convertible Notes as a separate equity-classified instrument (the “2024 Convertible Notes Embedded Derivative”), initially recorded as $39.8 million ($25.3 million, net of tax), inclusive of deferred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financing costs, on the issuance date and included under “Additional paid-in capital” in our consolidated balance sheet, including an allocated portion of the deferred financing costs. The 2024 Convertible Notes Embedded Derivative is expected to remain recorded in equity in our consolidated balance sheets as long as it continues to meet the criteria as an equity-classified instrument in subsequent reporting periods. The carrying amount of the 2024 Convertible Notes Embedded Derivative included under “Additional paid-in capital” in our consolidated balance sheet of September 30, 2020 was $25.3 million.</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252525"/>
        </w:rPr>
        <w:t>We incurred transaction costs of $4.2 million related to the issuance of the 2024 Convertible Notes, which we recorded as deferred financing costs and are included under “Long-term debt, net” and “Additional paid-in capital” in our consolidated balance sheets. Deferred financing costs recorded under “Long-term debt, net” are being amortized to interest expense over the expected term of the 2024 Convertible Notes.</w:t>
      </w:r>
    </w:p>
    <w:p>
      <w:pPr>
        <w:spacing w:after="0" w:line="12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52525"/>
        </w:rPr>
        <w:t xml:space="preserve">The effective interest rate for fiscal 2020 was approximately 9%. </w:t>
      </w:r>
      <w:r>
        <w:rPr>
          <w:rFonts w:ascii="Times New Roman" w:cs="Times New Roman" w:eastAsia="Times New Roman" w:hAnsi="Times New Roman"/>
          <w:sz w:val="18"/>
          <w:szCs w:val="18"/>
          <w:color w:val="000000"/>
        </w:rPr>
        <w:t>As of September 30, 2020, the remaining unamortized debt discount and issuance costs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will be amortized through the 2024 Maturity Date assuming no early conversion.</w:t>
      </w:r>
    </w:p>
    <w:p>
      <w:pPr>
        <w:spacing w:after="0" w:line="10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As of September 30, 2020, the 2024 Convertible Notes were not convertible as no conditions of conversion had been met. Accordingly, the net balance of the 2024 Convertible Notes was classified as a non-current liability in our consolidated balance sheets as of September 30, 2020. The classification of the 2024 Convertible Notes as current or non-current in the consolidated balance sheets is evaluated at each balance sheet date and may change from time to time depending on whether any of the conversion conditions has been met.</w:t>
      </w:r>
    </w:p>
    <w:p>
      <w:pPr>
        <w:spacing w:after="0" w:line="1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one of the conversion conditions is met in any future fiscal quarter, we will classify our net liability under the 2024 Convertible Notes as a current liability in the consolidated balance sheets as of the end of that fiscal quarter. If none of the conversion conditions have been met in a future fiscal quarter prior to the one-year period immediately preceding the 2024 Maturity Date, we will classify our net liability under the 2024 Convertible Notes as a non-current liability in the consolidated balance sheets as of the end of that fiscal quarter. If the note holders elect to convert their 2024 Convertible Notes prior to maturity, any unamortized discount and transaction costs will be recognized as expense at the time of conversion. If the entire outstanding principal amount had been converted on September 30, 2020, we would have recorded an expense associated with the conversion, comprised of $26.6 million of unamortized debt discount and issuance costs. As of September 30, 2020, none of the note holders had elected to convert their 2024 Convertible Notes. As of September 30, 2020, the if-converted value of the 2024 Convertible Notes did not exceed the principal amount.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2.125% Cash Convertible Senior Notes Due 2019</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52525"/>
        </w:rPr>
        <w:t xml:space="preserve">In June 2014, we issued $200 million aggregate principal amount of 2.125% Cash Convertible Senior Notes Due 2019 (the “2019 Convertible Notes”), with </w:t>
      </w:r>
      <w:r>
        <w:rPr>
          <w:rFonts w:ascii="Times New Roman" w:cs="Times New Roman" w:eastAsia="Times New Roman" w:hAnsi="Times New Roman"/>
          <w:sz w:val="18"/>
          <w:szCs w:val="18"/>
          <w:color w:val="000000"/>
        </w:rPr>
        <w:t>an additional $30 million principal amount being issued in July 2014.</w:t>
      </w:r>
      <w:r>
        <w:rPr>
          <w:rFonts w:ascii="Times New Roman" w:cs="Times New Roman" w:eastAsia="Times New Roman" w:hAnsi="Times New Roman"/>
          <w:sz w:val="18"/>
          <w:szCs w:val="18"/>
          <w:color w:val="252525"/>
        </w:rPr>
        <w:t xml:space="preserve"> In </w:t>
      </w:r>
      <w:r>
        <w:rPr>
          <w:rFonts w:ascii="Times New Roman" w:cs="Times New Roman" w:eastAsia="Times New Roman" w:hAnsi="Times New Roman"/>
          <w:sz w:val="18"/>
          <w:szCs w:val="18"/>
          <w:color w:val="000000"/>
        </w:rPr>
        <w:t>July 2017, we used $34.4 million of net proceeds from the 2024 Convertible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Notes offering to repurchase and retire $35.0 million aggregate principal amount of 2019 Convertible Notes. The 2019 Convertible Notes </w:t>
      </w:r>
      <w:r>
        <w:rPr>
          <w:rFonts w:ascii="Times New Roman" w:cs="Times New Roman" w:eastAsia="Times New Roman" w:hAnsi="Times New Roman"/>
          <w:sz w:val="18"/>
          <w:szCs w:val="18"/>
          <w:color w:val="252525"/>
        </w:rPr>
        <w:t>paid interest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semi-annually in arrears at a rate of 2.125% per annum on June 15 and December 15 of each year. The 2019 Convertible Notes matured on June 15, 2019 (the "2019 Maturity Date")</w:t>
      </w:r>
      <w:r>
        <w:rPr>
          <w:rFonts w:ascii="Times New Roman" w:cs="Times New Roman" w:eastAsia="Times New Roman" w:hAnsi="Times New Roman"/>
          <w:sz w:val="18"/>
          <w:szCs w:val="18"/>
          <w:color w:val="000000"/>
        </w:rPr>
        <w:t>, and the remaining $195.0 million aggregate principal amount outstanding plus accrued interest was repaid using cash on hand.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2019 Convertible Notes Warrants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2019 Convertible Notes, we also sold net-share-settled warrants (the “2019 Convertible Notes Warrants”). The 2019 Convertible Notes Warrants allowed for the purchase of up to approximately 14.3 million shares of our Class A Common Stock at a strike price of $20.83 per share. We accounted for the Class A Common Stock issuable upon exercise under the treasury stock method. The 2019 Convertible Notes Warrants began to expire on a daily basis after we repaid the 2019 Convertible Notes and the last of the unexpired 2019 Convertible Notes Warrants expired in May 2020. As of September 30, 2020, there were no 2019 Convertible Notes Warrants outstanding, and no shares of Class A Common Stock were ever issued pursuant to the 2019 Convertible Notes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52525"/>
        </w:rPr>
        <w:t xml:space="preserve">CASHMAX </w:t>
      </w:r>
      <w:r>
        <w:rPr>
          <w:rFonts w:ascii="Times New Roman" w:cs="Times New Roman" w:eastAsia="Times New Roman" w:hAnsi="Times New Roman"/>
          <w:sz w:val="18"/>
          <w:szCs w:val="18"/>
          <w:b w:val="1"/>
          <w:bCs w:val="1"/>
          <w:color w:val="000000"/>
        </w:rPr>
        <w:t>Secured Borrowing Facility</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2018, we entered into a receivable's securitization facility with a third-party lender (the "lender") to provide funding for installment loan originations in our Canadian CASHMAX business. Under the facility, a variable interest entity (the "trust") had the right, subject to various conditions, to borrow up to CAD $25 million from the lender (the "third-party loan") and use the proceeds to purchase interests in installment loan receivables generated by CASHMAX.</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trust used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receivables. CASHMAX had no obligation with respect to the third-party loan or the transferred receivables except to (a) service the underlying installment loans on behalf of the trust and (b) pay amounts owed under or repurchase the underlying installment loans in the event of a breach by CASHMAX or in certain other limited circumstances. The facility was nonrecourse to EZCORP (subject to certain limited guaranty obligations), allowed borrowing through November 2019, and was to fully mature in November 2021. As part of the closure of the operations of our CASHMAX business, we terminated this facility in September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COMMON STOCK AND STOCK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December 2019, our Board of Directors (the "Board") authorized the repurchase of up to $60.0 million of our Class A Common Stock over three years. Repurchases under the program were suspended in March 2020 in order to preserve liquidity as a result of uncertainties regarding the COVID-19 pandemic, and no share repurchases under the program were executed for the remainder of fiscal 2020. Through March 2020, we repurchased and retired 943,149 shares of our Class A Common Stock for $5.2 million, which amount was allocated between "Additional paid-in capital" and "Retained earnings" in our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May 1, 2010 our Board of Directors approved the adoption of the EZCORP, Inc. 2010 Long-Term Incentive Plan (the “LTI Plan”). The LTI Plan permits grants of options, restricted stock awards and stock appreciation rights covering up to 5,485,649 shares of our Class A Common Stock plus any shares that become available for issuance under either the LTI Plan or prior plans as a result of forfeitures or cancellations of awards without delivery of shares or as a result of withholding shares to satisfy tax withholding obligations. In December 2017 and November 2018, the Board of Directors and the voting stockholder approved the addition of 1,100,000 and 400,000 shares, respectively, to the LTI Plan.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purpose of our LTI Plan is to retain the services of valued employees and directors and to incentivize such persons to make contributions to our company and motivate excellent performance. Under the LTI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are measured at the grant date fair value with compensation costs associated with the awards recognized over the requisite service period, usually the vesting period, on a straight-line basis.</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November 2019 and May 2020, we granted 222,912 and 12,346, respectively, shares of restricted stock to our non-employee directors with a grant date fair value of $4.89 and $5.24, respectively. These awards vested on September 30, 2020 and were subject only to service conditions.</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December 2017, we granted 1,308,533 restricted stock awards to employees and 84,250 restricted stock awards to non-employee directors with a grant date fair value of primarily $9.75 per share. The awards granted to non-employee directors vested on September 30, 2018 and were subject only to service conditions. For the awards granted to employees, 190,725 vested on September 30, 2018. In November 2020, the People and Compensation Committee of the Board of Directors determined that the performance targets for the remaining employee awards were partially achieved, and 446,983 of such awards will vest on December 14, 2020. In addition, 81,896 awards were canceled, resulting in a reversal of $0.80 million of previously recognized stock compensation expense.</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2019 and November 2018, we granted 61,138 and 971,615, respectively, restricted stock awards to employees with a grant date fair value of primarily $10.04 and $9.18 per share, respectively. In November 2020, the People and Compensation Committee determined that the performance targets for such awards were not probable of achievement. This resulted in the cancellation of 458,960 awards and the reversal of $2.9 million of previously recognized stock compensation expense.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and May 2019, we granted 60,088 restricted stock awards to our seven new non-employee directors with a grant date fair value of primarily $10.64 per share. In November 2018, we granted 59,812 restricted stock awards to our non-employee directors with a grant date fair value of $9.18 per share. The awards granted to non-employee directors vested on September 30, 2019 and were subject only to service conditions.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and December 2016 and April 2017, we granted 931,260 restricted stock awards to employees and 72,500 restricted stock awards to non-employee directors, each with a grant date fair value of approximately $9.60 per share. The awards granted to employees vested on September 30, 2019 and 463,467 shares were released. The awards granted to non-employee directors vested over two years, 50% on September 30, 2017 and 50% on September 30, 2018 and were subject only to service conditions.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September 30, 2020, the unamortized fair value, exclusive of forfeitures, of share awards to be amortized over their remaining vesting periods was approximately $1.2 million. The weighted-average period over which these costs will be amortized is approximately two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related to our stock compensation arrangements: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costs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(5,094)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10,784</w:t>
            </w: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 on share-based compensation</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(1,656)</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stock compensation activity: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7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36"/>
        </w:trPr>
        <w:tc>
          <w:tcPr>
            <w:tcW w:w="7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2019</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3,451,024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9.28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1,472,578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 and released (a)</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8.67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8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(2,825,459)</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659"/>
              <w:spacing w:after="0"/>
              <w:rPr>
                <w:sz w:val="20"/>
                <w:szCs w:val="20"/>
                <w:color w:val="auto"/>
              </w:rPr>
            </w:pPr>
            <w:r>
              <w:rPr>
                <w:rFonts w:ascii="Times New Roman" w:cs="Times New Roman" w:eastAsia="Times New Roman" w:hAnsi="Times New Roman"/>
                <w:sz w:val="16"/>
                <w:szCs w:val="16"/>
                <w:color w:val="auto"/>
              </w:rPr>
              <w:t>8.59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2020</w:t>
            </w:r>
          </w:p>
        </w:tc>
        <w:tc>
          <w:tcPr>
            <w:tcW w:w="8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rPr>
              <w:t>5.65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(a) 268,798 shares were withheld to satisfy related federal income tax withholding.</w:t>
            </w:r>
          </w:p>
        </w:tc>
        <w:tc>
          <w:tcPr>
            <w:tcW w:w="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220" w:type="dxa"/>
            <w:vAlign w:val="bottom"/>
            <w:vMerge w:val="continue"/>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the fair value of shares granted:</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0" w:type="dxa"/>
            <w:vAlign w:val="bottom"/>
            <w:gridSpan w:val="10"/>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20" w:type="dxa"/>
            <w:vAlign w:val="bottom"/>
          </w:tcPr>
          <w:p>
            <w:pPr>
              <w:spacing w:after="0"/>
              <w:rPr>
                <w:sz w:val="21"/>
                <w:szCs w:val="21"/>
                <w:color w:val="auto"/>
              </w:rPr>
            </w:pPr>
          </w:p>
        </w:tc>
        <w:tc>
          <w:tcPr>
            <w:tcW w:w="4020" w:type="dxa"/>
            <w:vAlign w:val="bottom"/>
            <w:gridSpan w:val="11"/>
          </w:tcPr>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grant-date fair value per share granted (a)</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grant date fair value of shares vested</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4"/>
          <w:szCs w:val="14"/>
          <w:color w:val="252525"/>
        </w:rPr>
      </w:pPr>
      <w:r>
        <w:rPr>
          <w:rFonts w:ascii="Times New Roman" w:cs="Times New Roman" w:eastAsia="Times New Roman" w:hAnsi="Times New Roman"/>
          <w:sz w:val="14"/>
          <w:szCs w:val="14"/>
          <w:color w:val="auto"/>
        </w:rPr>
        <w:t>Awards with performance and time-based vesting provisions are generally valued based upon the underlying share price as of the issuance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declared or paid any dividends and currently do not anticipate paying any dividends in the immediate future. As described in Note 9, payment of a dividend requires an adjustment to the conversion rate of our Convertible Notes</w:t>
      </w:r>
      <w:r>
        <w:rPr>
          <w:rFonts w:ascii="Times New Roman" w:cs="Times New Roman" w:eastAsia="Times New Roman" w:hAnsi="Times New Roman"/>
          <w:sz w:val="18"/>
          <w:szCs w:val="18"/>
          <w:color w:val="252525"/>
        </w:rPr>
        <w:t>.</w:t>
      </w:r>
      <w:r>
        <w:rPr>
          <w:rFonts w:ascii="Times New Roman" w:cs="Times New Roman" w:eastAsia="Times New Roman" w:hAnsi="Times New Roman"/>
          <w:sz w:val="18"/>
          <w:szCs w:val="18"/>
          <w:color w:val="auto"/>
        </w:rPr>
        <w:t xml:space="preserve">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income from continuing operations before income taxes, including inter-segment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28,645</w:t>
            </w: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(38,106)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26,894</w:t>
            </w:r>
          </w:p>
        </w:tc>
      </w:tr>
      <w:tr>
        <w:trPr>
          <w:trHeight w:val="234"/>
        </w:trPr>
        <w:tc>
          <w:tcPr>
            <w:tcW w:w="70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Includes the majority of our corporate administrative costs. See Note 14 for information pertaining to segment contribution.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the income tax provision: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foreign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w:t>
            </w:r>
          </w:p>
        </w:tc>
      </w:tr>
      <w:tr>
        <w:trPr>
          <w:trHeight w:val="210"/>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9,262</w:t>
            </w: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9,498</w:t>
            </w:r>
          </w:p>
        </w:tc>
      </w:tr>
      <w:tr>
        <w:trPr>
          <w:trHeight w:val="216"/>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foreign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0"/>
        </w:trPr>
        <w:tc>
          <w:tcPr>
            <w:tcW w:w="7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9,127</w:t>
            </w:r>
          </w:p>
        </w:tc>
      </w:tr>
      <w:tr>
        <w:trPr>
          <w:trHeight w:val="237"/>
        </w:trPr>
        <w:tc>
          <w:tcPr>
            <w:tcW w:w="7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120" w:hanging="332"/>
        <w:spacing w:after="0" w:line="261" w:lineRule="auto"/>
        <w:tabs>
          <w:tab w:leader="none" w:pos="22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ended September 30, 2018 includes a $2.1 million charge resulting from the remeasurement of our domestic net deferred tax assets based on the new corporate income tax rate as a result of the Tax Cuts and Jobs Act(“the Act”), as well as $2.6 million charge resulting from recording a valuation allowance against foreign tax credit carryforwards that do not meet the “more likely than not” threshold to be utilized as a result of tax law changes included in the Act.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income taxes calculated at the statutory rate and the provision for income taxes: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9"/>
              </w:rPr>
              <w:t>Fiscal Year Ended September 30,</w:t>
            </w:r>
          </w:p>
        </w:tc>
        <w:tc>
          <w:tcPr>
            <w:tcW w:w="980" w:type="dxa"/>
            <w:vAlign w:val="bottom"/>
            <w:tcBorders>
              <w:bottom w:val="single" w:sz="8" w:color="auto"/>
            </w:tcBorders>
          </w:tcPr>
          <w:p>
            <w:pPr>
              <w:spacing w:after="0"/>
              <w:rPr>
                <w:sz w:val="18"/>
                <w:szCs w:val="18"/>
                <w:color w:val="auto"/>
              </w:rPr>
            </w:pPr>
          </w:p>
        </w:tc>
      </w:tr>
      <w:tr>
        <w:trPr>
          <w:trHeight w:val="211"/>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6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at the federal statutory rate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13,623</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1,265</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Mexico inflation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(936)</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Non-deductible items</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2,214</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(615)</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32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1,405</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3,986</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(4,808)</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tax rate resulting from enactment of the Act</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2,558</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impairment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(303)</w:t>
            </w:r>
          </w:p>
        </w:tc>
      </w:tr>
      <w:tr>
        <w:trPr>
          <w:trHeight w:val="237"/>
        </w:trPr>
        <w:tc>
          <w:tcPr>
            <w:tcW w:w="6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18,389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significant components of our deferred tax assets and liabilities: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49"/>
        </w:trPr>
        <w:tc>
          <w:tcPr>
            <w:tcW w:w="8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tcPr>
          <w:p>
            <w:pPr>
              <w:spacing w:after="0"/>
              <w:rPr>
                <w:sz w:val="21"/>
                <w:szCs w:val="2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Converters International</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14,616</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over book inventory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service charges receivable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tax 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 and foreign net operating loss carryforwards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15,806</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Book over tax 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r>
      <w:tr>
        <w:trPr>
          <w:trHeight w:val="21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2,159</w:t>
            </w:r>
          </w:p>
        </w:tc>
      </w:tr>
      <w:tr>
        <w:trPr>
          <w:trHeight w:val="212"/>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deferred tax assets before valuation allowance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53,711</w:t>
            </w: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(18,094)</w:t>
            </w:r>
          </w:p>
        </w:tc>
      </w:tr>
      <w:tr>
        <w:trPr>
          <w:trHeight w:val="212"/>
        </w:trPr>
        <w:tc>
          <w:tcPr>
            <w:tcW w:w="8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35,617</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over book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Note receivable discount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15,416</w:t>
            </w: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r>
      <w:tr>
        <w:trPr>
          <w:trHeight w:val="207"/>
        </w:trPr>
        <w:tc>
          <w:tcPr>
            <w:tcW w:w="8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35,604</w:t>
            </w:r>
          </w:p>
        </w:tc>
      </w:tr>
      <w:tr>
        <w:trPr>
          <w:trHeight w:val="237"/>
        </w:trPr>
        <w:tc>
          <w:tcPr>
            <w:tcW w:w="8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deferred tax asset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2020, we had state net operating loss carryforwards of approximately $123.0 million, which begin to expire in 2021 if not utilized. We also had foreign net operating loss carryforwards of $42.0 million, which will expire between 2030 and 2038 if not utilized. Additionally, we have a $1.7 million foreign tax credit that will expire between 2024 to 2027 if not utilized.</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recorded for the estimated tax impact of temporary differences between the tax basis and book basis of assets and liabilities. The Company has elected to account for the tax on Global Intangible Low-Taxed Income (“GILTI”) as a period cost and therefore has not recorded deferred taxes related to GILTI on its foreign subsidiaries. A valuation allowance is established against a deferred tax asset when it is more likely than not that the deferred tax asset will not be realized. Our valuation allowance has been established to offset certain state and foreign net operating loss carryforwards, capital loss carryforwards and foreign tax credit carryforwards that are not more likely than not to be utilized prior to expiration. The valuation allowance increased by $0.4 million in fiscal 2020, primarily due to the recording of a valuation allowance for losses generated during the year in certain foreign jurisdictions which we believe are not more likely than not to be utilized partially offset by a decrease for certain foreign tax credits for which we amended a tax return to take a deduction instead of a foreign tax credit thereby reversing the deferred tax asset and corresponding valuation allowance. We believe our results from future operations will generate sufficient taxable income in the appropriate jurisdictions such that it is more likely than not that the remaining deferred tax assets will be realized.</w:t>
      </w:r>
    </w:p>
    <w:p>
      <w:pPr>
        <w:spacing w:after="0" w:line="1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Deferred taxes are not provided for undistributed earnings of foreign subsidiaries of approximately $63.0 million which are intended to be reinvested outside of the U.S. Accordingly, no provision for foreign withholding taxes associated with a distribution of those earnings has been made. We estimate that, upon distribution of our share of these earnings, we would be subject to withholding taxes of approximately $3.5 million as of September 30, 2020. We provided deferred income taxes on all undistributed earnings from Cash Converters International.</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unrecognized tax benefits: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6,530</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for tax positions taken during a prior period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for tax positions taken during the current period</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for tax positions as a result of the lapse of the statute of limitations</w:t>
            </w:r>
          </w:p>
        </w:tc>
        <w:tc>
          <w:tcPr>
            <w:tcW w:w="8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r>
      <w:tr>
        <w:trPr>
          <w:trHeight w:val="237"/>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of the above unrecognized tax benefits, if recognized, would impact our effective tax rate for the respective period of each ending balance. The Company recognizes accrued interest and penalties related to unrecognized tax benefits in income tax expense. During 2020, 2019, and 2018, the Company recognized income tax expense consisting of interest and penalties of $1.2 million, $0.2 million and $(0.3) million, respectively, due to the accrual of current year interest and penalties on existing positions offset by the reversal of previous accruals due to the lapse of the statute of limitations. The total amount of accrued interest and penalties was $1.5 million and $0.3 million in 2020 and 2019, respectively.</w:t>
      </w:r>
    </w:p>
    <w:p>
      <w:pPr>
        <w:spacing w:after="0" w:line="3"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are subject to U.S., Mexico, Canada, Guatemala, Honduras, El Salvador, Peru and the Netherlands income taxes as well as income taxes levied by various state and local jurisdictions. With few exceptions, we are no longer subject to examinations by tax authorities for years before the tax year ended September 30, 2014. We believe that adequate provisions have been made for any adjustments that may result from tax examinations.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7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weighted-average remaining lease term for operating leases as of September 30, 2020 was 5.2 years, which includes options to extend when it is reasonably certain that we will exercise the option. We used incremental borrowing rates that match the duration of the remaining lease terms of our operating leases on a fully collateralized basis upon adoption as of October 1, 2019 to initially measure our lease liability. The weighted average incremental borrowing rate used to measure the lease liability as of September 30, 2020 was 7.37%.</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details of our right-of-use asset and lease liability recognized upon adoption of ASC 842 was computed based on the consumer price index and foreign currency exchange rate as applicable then in effect and excluding executory costs on October 1, 2019, were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246,028</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Straight-line rent accrual</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(8,479)</w:t>
            </w:r>
          </w:p>
        </w:tc>
      </w:tr>
      <w:tr>
        <w:trPr>
          <w:trHeight w:val="237"/>
        </w:trPr>
        <w:tc>
          <w:tcPr>
            <w:tcW w:w="9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lease right-of-use asset</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237,549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9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1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current</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45,272</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200,756</w:t>
            </w:r>
          </w:p>
        </w:tc>
      </w:tr>
      <w:tr>
        <w:trPr>
          <w:trHeight w:val="237"/>
        </w:trPr>
        <w:tc>
          <w:tcPr>
            <w:tcW w:w="9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lease liability</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246,028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for the year ended September 30, 2020, we identified an error relating to certain leases on the adoption of ASC 842 at October 1, 2019. The error impacted the lease right-of-use asset and total lease liability, both of which were overstated by approximately $18.0 million on adoption. We concluded the impact on the interim financial statements during fiscal 2020 was immaterial and corrected the balances as of September 30, 2020. The income statement impact of this correction was immaterial.</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included in "Operations" and "Administrative" expense, based on the underlying lease use, in our consolidated statements of operations is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r>
      <w:tr>
        <w:trPr>
          <w:trHeight w:val="214"/>
        </w:trPr>
        <w:tc>
          <w:tcPr>
            <w:tcW w:w="9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9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36"/>
        </w:trPr>
        <w:tc>
          <w:tcPr>
            <w:tcW w:w="9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16"/>
        </w:trPr>
        <w:tc>
          <w:tcPr>
            <w:tcW w:w="9260" w:type="dxa"/>
            <w:vAlign w:val="bottom"/>
            <w:shd w:val="clear" w:color="auto" w:fill="CCEEFF"/>
          </w:tcPr>
          <w:p>
            <w:pPr>
              <w:jc w:val="right"/>
              <w:ind w:right="7579"/>
              <w:spacing w:after="0"/>
              <w:rPr>
                <w:sz w:val="20"/>
                <w:szCs w:val="20"/>
                <w:color w:val="auto"/>
              </w:rPr>
            </w:pPr>
            <w:r>
              <w:rPr>
                <w:rFonts w:ascii="Times New Roman" w:cs="Times New Roman" w:eastAsia="Times New Roman" w:hAnsi="Times New Roman"/>
                <w:sz w:val="16"/>
                <w:szCs w:val="16"/>
                <w:color w:val="auto"/>
              </w:rPr>
              <w:t>Operating lease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62,925</w:t>
            </w:r>
          </w:p>
        </w:tc>
      </w:tr>
      <w:tr>
        <w:trPr>
          <w:trHeight w:val="213"/>
        </w:trPr>
        <w:tc>
          <w:tcPr>
            <w:tcW w:w="9260" w:type="dxa"/>
            <w:vAlign w:val="bottom"/>
            <w:tcBorders>
              <w:bottom w:val="single" w:sz="8" w:color="CCEEFF"/>
            </w:tcBorders>
          </w:tcPr>
          <w:p>
            <w:pPr>
              <w:jc w:val="right"/>
              <w:ind w:right="7679"/>
              <w:spacing w:after="0"/>
              <w:rPr>
                <w:sz w:val="20"/>
                <w:szCs w:val="20"/>
                <w:color w:val="auto"/>
              </w:rPr>
            </w:pPr>
            <w:r>
              <w:rPr>
                <w:rFonts w:ascii="Times New Roman" w:cs="Times New Roman" w:eastAsia="Times New Roman" w:hAnsi="Times New Roman"/>
                <w:sz w:val="16"/>
                <w:szCs w:val="16"/>
                <w:color w:val="auto"/>
              </w:rPr>
              <w:t>Variable lease expense</w:t>
            </w: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11,846</w:t>
            </w:r>
          </w:p>
        </w:tc>
      </w:tr>
      <w:tr>
        <w:trPr>
          <w:trHeight w:val="237"/>
        </w:trPr>
        <w:tc>
          <w:tcPr>
            <w:tcW w:w="9260" w:type="dxa"/>
            <w:vAlign w:val="bottom"/>
            <w:tcBorders>
              <w:bottom w:val="single" w:sz="8" w:color="CCEEFF"/>
            </w:tcBorders>
            <w:shd w:val="clear" w:color="auto" w:fill="CCEEFF"/>
          </w:tcPr>
          <w:p>
            <w:pPr>
              <w:jc w:val="right"/>
              <w:ind w:right="7699"/>
              <w:spacing w:after="0"/>
              <w:rPr>
                <w:sz w:val="20"/>
                <w:szCs w:val="20"/>
                <w:color w:val="auto"/>
              </w:rPr>
            </w:pPr>
            <w:r>
              <w:rPr>
                <w:rFonts w:ascii="Times New Roman" w:cs="Times New Roman" w:eastAsia="Times New Roman" w:hAnsi="Times New Roman"/>
                <w:sz w:val="16"/>
                <w:szCs w:val="16"/>
                <w:color w:val="auto"/>
              </w:rPr>
              <w:t>Total lease expense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74,771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maturities of lease liabilities under ASC 842 by fiscal year were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66,079</w:t>
            </w: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50,895</w:t>
            </w: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39,076</w:t>
            </w: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28,602</w:t>
            </w: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19,877</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41,639</w:t>
            </w:r>
          </w:p>
        </w:tc>
      </w:tr>
      <w:tr>
        <w:trPr>
          <w:trHeight w:val="212"/>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246,168</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Portion representing interest</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43,386</w:t>
            </w:r>
          </w:p>
        </w:tc>
      </w:tr>
      <w:tr>
        <w:trPr>
          <w:trHeight w:val="212"/>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lease liabilities</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202,782</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49,742</w:t>
            </w:r>
          </w:p>
        </w:tc>
      </w:tr>
      <w:tr>
        <w:trPr>
          <w:trHeight w:val="237"/>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 term net lease liabilities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153,040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December 2014, we entered into a non-cancelable 13-year operating lease for our corporate offices, with rent payments beginning February 2016 and ending March 2029. Annual rent, net of square footage subsequently terminated as a result of negotiations with the landlord, escalate from $2.5 million at lease inception to $3.9 million in the terminal year of the lease.</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lease includes two five-year extension options at the end of the initial lease term. The estimated minimum future rental payments under the lease are approximately $38.1 million. During fiscal 2017 and 2016, we initiated subleases for a portion of our corporate operating office lease for estimated minimum future sublease payments of approximately $12.2 million. In addition to the above subleases, during fiscal 2018 we entered into an amendment to the operating lease surrendering another 15% of the initial leased premises. As a result, sublease payments were expected to fully offset our original operating lease obligations through August 2023, with renewal options available until the end of the master operating lease in March 2029.</w:t>
      </w:r>
    </w:p>
    <w:p>
      <w:pPr>
        <w:spacing w:after="0" w:line="1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2015, we entered into cancellable subleases for our Miami office for an estimated minimum future sublease payment of approximately $2.9 million. Sublease payments are expected to offset substantially all of our original operating lease obligations over the nine-year period beginning March 2015 and ending September 2024.</w:t>
      </w:r>
    </w:p>
    <w:p>
      <w:pPr>
        <w:spacing w:after="0" w:line="176"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8"/>
          <w:szCs w:val="18"/>
          <w:color w:val="auto"/>
        </w:rPr>
        <w:t>Prior to the adoption of ASC 842, future minimum undiscounted lease payments due under non-cancelable leases as of September 30, 2019 for each subsequent year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69,291</w:t>
            </w: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60,588</w:t>
            </w: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46,720</w:t>
            </w:r>
          </w:p>
        </w:tc>
      </w:tr>
      <w:tr>
        <w:trPr>
          <w:trHeight w:val="213"/>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32,062</w:t>
            </w:r>
          </w:p>
        </w:tc>
      </w:tr>
      <w:tr>
        <w:trPr>
          <w:trHeight w:val="21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19,969</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39,256</w:t>
            </w:r>
          </w:p>
        </w:tc>
      </w:tr>
      <w:tr>
        <w:trPr>
          <w:trHeight w:val="235"/>
        </w:trPr>
        <w:tc>
          <w:tcPr>
            <w:tcW w:w="9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267,886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amount of net rent recognized as expense under ASC Topic 840 -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660" w:type="dxa"/>
            <w:vAlign w:val="bottom"/>
            <w:tcBorders>
              <w:bottom w:val="single" w:sz="8" w:color="auto"/>
            </w:tcBorders>
          </w:tcPr>
          <w:p>
            <w:pPr>
              <w:spacing w:after="0"/>
              <w:rPr>
                <w:sz w:val="18"/>
                <w:szCs w:val="18"/>
                <w:color w:val="auto"/>
              </w:rPr>
            </w:pPr>
          </w:p>
        </w:tc>
      </w:tr>
      <w:tr>
        <w:trPr>
          <w:trHeight w:val="211"/>
        </w:trPr>
        <w:tc>
          <w:tcPr>
            <w:tcW w:w="7180" w:type="dxa"/>
            <w:vAlign w:val="bottom"/>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60" w:type="dxa"/>
            <w:vAlign w:val="bottom"/>
            <w:tcBorders>
              <w:bottom w:val="single" w:sz="8" w:color="auto"/>
            </w:tcBorders>
          </w:tcPr>
          <w:p>
            <w:pPr>
              <w:spacing w:after="0"/>
              <w:rPr>
                <w:sz w:val="18"/>
                <w:szCs w:val="18"/>
                <w:color w:val="auto"/>
              </w:rPr>
            </w:pPr>
          </w:p>
        </w:tc>
      </w:tr>
      <w:tr>
        <w:trPr>
          <w:trHeight w:val="36"/>
        </w:trPr>
        <w:tc>
          <w:tcPr>
            <w:tcW w:w="7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rent expense from continuing operations</w:t>
            </w: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61,821</w:t>
            </w:r>
          </w:p>
        </w:tc>
      </w:tr>
      <w:tr>
        <w:trPr>
          <w:trHeight w:val="21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Sublease rent revenue from continuing operations</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37"/>
        </w:trPr>
        <w:tc>
          <w:tcPr>
            <w:tcW w:w="7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rent expense from continuing operations</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61,712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As a result of the COVID-19 pandemic, we believe there was a significant adverse change in the business climate that impacted the office leasing market and a significant decrease in the market prices of an asset or asset group that affected the value of the right of use asset for our corporate office. We determined the undiscounted cash flows of the subleases did not exceed the net book value of the right of use asset. We then determined the discounted cash flows of the subleases did not exceed the book value of the right of use asset, and an impairment charge of $5.0 million was recorded in the fourth quarter of fiscal 2020 and is recorded under "Impairment of goodwill, intangible and other assets"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$29.2 million in non-cash additions to our right of use assets and lease liabilities for the fiscal year ended September 30,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CONTINGENCIES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Currently, and from time to time, we are involved in various claims, suits, investigations and legal proceedings. While we are unable to determine the ultimate outcome of any current litigation or regulatory actions, we do not believe the resolution of any particular matter will have a material adverse effect on our financial condition, results of operations or liquidity.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2020, we revised the financial information our chief operating decision maker (our chief executive officer) reviews for operational decision-making purposes and for allocation of capital to include the separate financial results of our Lana business. Our historical segment results have been recast to conform to current presentation. We currently report segment information as follows:</w:t>
      </w:r>
    </w:p>
    <w:p>
      <w:pPr>
        <w:spacing w:after="0" w:line="12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Pawn — All pawn activities in the United States;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Pawn —All pawn activities in Mexico and other parts of Latin America;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Lana — Our digital customer-centric engagement platform;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International — Primarily our equity interest in the net income of Cash Converters International.</w:t>
      </w:r>
    </w:p>
    <w:p>
      <w:pPr>
        <w:spacing w:after="0" w:line="17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There are no inter-segment revenues presented below, and the amounts below were determined in accordance with the same accounting principles used in our condensed consolidated financial statements. While we expect the operations of the Lana segment to have a positive impact on pawn loan redemption rates and therefore pawn service charges and yield, the pawn service charges will all be reported in our pawn segments rather than allocated to the Lana segment. Only discrete revenues related to the Lana segment will be reported in the Lana segment results. As a digital offering, Lana has no separate physical store locations.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Fiscal Year Ended September 30, 2020</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Latin</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U.S. Pawn</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America</w:t>
            </w:r>
          </w:p>
        </w:tc>
        <w:tc>
          <w:tcPr>
            <w:tcW w:w="20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Lana</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Merchandise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391,921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498,213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 scrapping sales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47,953</w:t>
            </w:r>
          </w:p>
        </w:tc>
        <w:tc>
          <w:tcPr>
            <w:tcW w:w="0" w:type="dxa"/>
            <w:vAlign w:val="bottom"/>
          </w:tcPr>
          <w:p>
            <w:pPr>
              <w:spacing w:after="0"/>
              <w:rPr>
                <w:sz w:val="1"/>
                <w:szCs w:val="1"/>
                <w:color w:val="auto"/>
              </w:rPr>
            </w:pPr>
          </w:p>
        </w:tc>
      </w:tr>
      <w:tr>
        <w:trPr>
          <w:trHeight w:val="213"/>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service charges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272,638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revenues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0" w:type="dxa"/>
            <w:vAlign w:val="bottom"/>
          </w:tcPr>
          <w:p>
            <w:pPr>
              <w:spacing w:after="0"/>
              <w:rPr>
                <w:sz w:val="1"/>
                <w:szCs w:val="1"/>
                <w:color w:val="auto"/>
              </w:rPr>
            </w:pPr>
          </w:p>
        </w:tc>
      </w:tr>
      <w:tr>
        <w:trPr>
          <w:trHeight w:val="207"/>
        </w:trPr>
        <w:tc>
          <w:tcPr>
            <w:tcW w:w="3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638,843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180,111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334,481</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cost of revenues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207"/>
        </w:trPr>
        <w:tc>
          <w:tcPr>
            <w:tcW w:w="30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revenues</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359,235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87,096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449,235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449,235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and corporate expenses (income):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341,040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49,897</w:t>
            </w:r>
          </w:p>
        </w:tc>
        <w:tc>
          <w:tcPr>
            <w:tcW w:w="0" w:type="dxa"/>
            <w:vAlign w:val="bottom"/>
          </w:tcPr>
          <w:p>
            <w:pPr>
              <w:spacing w:after="0"/>
              <w:rPr>
                <w:sz w:val="1"/>
                <w:szCs w:val="1"/>
                <w:color w:val="auto"/>
              </w:rPr>
            </w:pPr>
          </w:p>
        </w:tc>
      </w:tr>
      <w:tr>
        <w:trPr>
          <w:trHeight w:val="162"/>
        </w:trPr>
        <w:tc>
          <w:tcPr>
            <w:tcW w:w="30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Impairment of goodwill, intangible and</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0" w:type="dxa"/>
            <w:vAlign w:val="bottom"/>
          </w:tcPr>
          <w:p>
            <w:pPr>
              <w:spacing w:after="0"/>
              <w:rPr>
                <w:sz w:val="1"/>
                <w:szCs w:val="1"/>
                <w:color w:val="auto"/>
              </w:rPr>
            </w:pPr>
          </w:p>
        </w:tc>
      </w:tr>
      <w:tr>
        <w:trPr>
          <w:trHeight w:val="213"/>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30,827</w:t>
            </w:r>
          </w:p>
        </w:tc>
        <w:tc>
          <w:tcPr>
            <w:tcW w:w="0" w:type="dxa"/>
            <w:vAlign w:val="bottom"/>
          </w:tcPr>
          <w:p>
            <w:pPr>
              <w:spacing w:after="0"/>
              <w:rPr>
                <w:sz w:val="1"/>
                <w:szCs w:val="1"/>
                <w:color w:val="auto"/>
              </w:rPr>
            </w:pPr>
          </w:p>
        </w:tc>
      </w:tr>
      <w:tr>
        <w:trPr>
          <w:trHeight w:val="162"/>
        </w:trPr>
        <w:tc>
          <w:tcPr>
            <w:tcW w:w="30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Loss (gain) on sale or disposal of assets</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13"/>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and other</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Charges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20,388</w:t>
            </w:r>
          </w:p>
        </w:tc>
        <w:tc>
          <w:tcPr>
            <w:tcW w:w="0" w:type="dxa"/>
            <w:vAlign w:val="bottom"/>
          </w:tcPr>
          <w:p>
            <w:pPr>
              <w:spacing w:after="0"/>
              <w:rPr>
                <w:sz w:val="1"/>
                <w:szCs w:val="1"/>
                <w:color w:val="auto"/>
              </w:rPr>
            </w:pPr>
          </w:p>
        </w:tc>
      </w:tr>
      <w:tr>
        <w:trPr>
          <w:trHeight w:val="213"/>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0" w:type="dxa"/>
            <w:vAlign w:val="bottom"/>
          </w:tcPr>
          <w:p>
            <w:pPr>
              <w:spacing w:after="0"/>
              <w:rPr>
                <w:sz w:val="1"/>
                <w:szCs w:val="1"/>
                <w:color w:val="auto"/>
              </w:rPr>
            </w:pPr>
          </w:p>
        </w:tc>
      </w:tr>
      <w:tr>
        <w:trPr>
          <w:trHeight w:val="162"/>
        </w:trPr>
        <w:tc>
          <w:tcPr>
            <w:tcW w:w="30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Equity in net loss of unconsolidated</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213"/>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affiliates</w:t>
            </w: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contribution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Income (loss) from continuing operations</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(70,095)</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before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Fiscal Year Ended September 30, 2019</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Latin</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U.S. Pawn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America</w:t>
            </w:r>
          </w:p>
        </w:tc>
        <w:tc>
          <w:tcPr>
            <w:tcW w:w="200" w:type="dxa"/>
            <w:vAlign w:val="bottom"/>
          </w:tcPr>
          <w:p>
            <w:pPr>
              <w:spacing w:after="0"/>
              <w:rPr>
                <w:sz w:val="14"/>
                <w:szCs w:val="14"/>
                <w:color w:val="auto"/>
              </w:rPr>
            </w:pPr>
          </w:p>
        </w:tc>
        <w:tc>
          <w:tcPr>
            <w:tcW w:w="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Lana</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Pawn</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Merchandise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97,379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453,375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 scrapping sales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60,445</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service charges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327,366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revenues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0" w:type="dxa"/>
            <w:vAlign w:val="bottom"/>
          </w:tcPr>
          <w:p>
            <w:pPr>
              <w:spacing w:after="0"/>
              <w:rPr>
                <w:sz w:val="1"/>
                <w:szCs w:val="1"/>
                <w:color w:val="auto"/>
              </w:rPr>
            </w:pPr>
          </w:p>
        </w:tc>
      </w:tr>
      <w:tr>
        <w:trPr>
          <w:trHeight w:val="207"/>
        </w:trPr>
        <w:tc>
          <w:tcPr>
            <w:tcW w:w="2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650,413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191,185</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cost of revenues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0" w:type="dxa"/>
            <w:vAlign w:val="bottom"/>
          </w:tcPr>
          <w:p>
            <w:pPr>
              <w:spacing w:after="0"/>
              <w:rPr>
                <w:sz w:val="1"/>
                <w:szCs w:val="1"/>
                <w:color w:val="auto"/>
              </w:rPr>
            </w:pPr>
          </w:p>
        </w:tc>
      </w:tr>
      <w:tr>
        <w:trPr>
          <w:trHeight w:val="207"/>
        </w:trPr>
        <w:tc>
          <w:tcPr>
            <w:tcW w:w="2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385,959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105,196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494,448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494,448</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358,253</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Administrative</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55,990</w:t>
            </w: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Impairment of goodwill, intangible and</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28,797</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sale or disposal of assets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32,637</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(11,086)</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Equity in net income of unconsolidated</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affiliates</w:t>
            </w: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Impairment of investment in</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212"/>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contribution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Income from continuing operations before</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(87,110)</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Fiscal Year Ended September 30, 2018</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Latin</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U.S. Pawn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America</w:t>
            </w:r>
          </w:p>
        </w:tc>
        <w:tc>
          <w:tcPr>
            <w:tcW w:w="200" w:type="dxa"/>
            <w:vAlign w:val="bottom"/>
          </w:tcPr>
          <w:p>
            <w:pPr>
              <w:spacing w:after="0"/>
              <w:rPr>
                <w:sz w:val="14"/>
                <w:szCs w:val="14"/>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Lana</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Pawn</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Merchandise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438,372</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Jewelry scrapping sales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60,752</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service charges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304,577</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revenues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0" w:type="dxa"/>
            <w:vAlign w:val="bottom"/>
          </w:tcPr>
          <w:p>
            <w:pPr>
              <w:spacing w:after="0"/>
              <w:rPr>
                <w:sz w:val="1"/>
                <w:szCs w:val="1"/>
                <w:color w:val="auto"/>
              </w:rPr>
            </w:pPr>
          </w:p>
        </w:tc>
      </w:tr>
      <w:tr>
        <w:trPr>
          <w:trHeight w:val="207"/>
        </w:trPr>
        <w:tc>
          <w:tcPr>
            <w:tcW w:w="2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635,780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168,256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812,156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812,156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Merchandise cost of goods sold</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276,618</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Jewelry scrapping cost of goods sold</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52,290</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cost of revenues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07"/>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revenues</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378,955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96,173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481,551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481,551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(income):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Operations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334,841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Administrative</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53,639</w:t>
            </w: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Impairment of goodwill and intangibles</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sale or disposal of assets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27,834</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(17,041)</w:t>
            </w: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Equity in net income of unconsolidated</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affiliates</w:t>
            </w: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Impairment of investment in</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0" w:type="dxa"/>
            <w:vAlign w:val="bottom"/>
          </w:tcPr>
          <w:p>
            <w:pPr>
              <w:spacing w:after="0"/>
              <w:rPr>
                <w:sz w:val="1"/>
                <w:szCs w:val="1"/>
                <w:color w:val="auto"/>
              </w:rPr>
            </w:pPr>
          </w:p>
        </w:tc>
      </w:tr>
      <w:tr>
        <w:trPr>
          <w:trHeight w:val="213"/>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Income from continuing operations before</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125,876</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(70,337)</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55,539</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separately identified segment assets: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U.S. Pawn</w:t>
            </w:r>
          </w:p>
        </w:tc>
        <w:tc>
          <w:tcPr>
            <w:tcW w:w="100" w:type="dxa"/>
            <w:vAlign w:val="bottom"/>
            <w:vMerge w:val="restart"/>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Latin America</w:t>
            </w:r>
          </w:p>
        </w:tc>
        <w:tc>
          <w:tcPr>
            <w:tcW w:w="240" w:type="dxa"/>
            <w:vAlign w:val="bottom"/>
          </w:tcPr>
          <w:p>
            <w:pPr>
              <w:spacing w:after="0"/>
              <w:rPr>
                <w:sz w:val="16"/>
                <w:szCs w:val="16"/>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Lana</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6"/>
                <w:szCs w:val="16"/>
                <w:color w:val="auto"/>
              </w:rPr>
            </w:pPr>
          </w:p>
        </w:tc>
        <w:tc>
          <w:tcPr>
            <w:tcW w:w="9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Pawn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as of September 30, 2020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131,323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service charges receivable,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20,580</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95,891</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1,197,023</w:t>
            </w: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as of September 30, 2019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Pawn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157,408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199,058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service charges receivable,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31,802</w:t>
            </w:r>
          </w:p>
        </w:tc>
        <w:tc>
          <w:tcPr>
            <w:tcW w:w="0" w:type="dxa"/>
            <w:vAlign w:val="bottom"/>
          </w:tcPr>
          <w:p>
            <w:pPr>
              <w:spacing w:after="0"/>
              <w:rPr>
                <w:sz w:val="1"/>
                <w:szCs w:val="1"/>
                <w:color w:val="auto"/>
              </w:rPr>
            </w:pPr>
          </w:p>
        </w:tc>
      </w:tr>
      <w:tr>
        <w:trPr>
          <w:trHeight w:val="213"/>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179,355</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1,083,702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assets of our Latin America Pawn segment, exclusive of intercompany amounts and inclusive of certain other assets not separately identified above, were $194.8 million as of September 30,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geographic information: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Fiscal Year Ended September 30,</w:t>
            </w:r>
          </w:p>
        </w:tc>
        <w:tc>
          <w:tcPr>
            <w:tcW w:w="880" w:type="dxa"/>
            <w:vAlign w:val="bottom"/>
            <w:tcBorders>
              <w:bottom w:val="single" w:sz="8" w:color="auto"/>
            </w:tcBorders>
          </w:tcPr>
          <w:p>
            <w:pPr>
              <w:spacing w:after="0"/>
              <w:rPr>
                <w:sz w:val="18"/>
                <w:szCs w:val="18"/>
                <w:color w:val="auto"/>
              </w:rPr>
            </w:pPr>
          </w:p>
        </w:tc>
      </w:tr>
      <w:tr>
        <w:trPr>
          <w:trHeight w:val="211"/>
        </w:trPr>
        <w:tc>
          <w:tcPr>
            <w:tcW w:w="7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49"/>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650,413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635,780</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122,702</w:t>
            </w:r>
          </w:p>
        </w:tc>
      </w:tr>
      <w:tr>
        <w:trPr>
          <w:trHeight w:val="213"/>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Latin America</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52,288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45,554</w:t>
            </w:r>
          </w:p>
        </w:tc>
      </w:tr>
      <w:tr>
        <w:trPr>
          <w:trHeight w:val="21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Lana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Canada and 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8,120</w:t>
            </w:r>
          </w:p>
        </w:tc>
      </w:tr>
      <w:tr>
        <w:trPr>
          <w:trHeight w:val="237"/>
        </w:trPr>
        <w:tc>
          <w:tcPr>
            <w:tcW w:w="70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847,229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812,156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49"/>
        </w:trPr>
        <w:tc>
          <w:tcPr>
            <w:tcW w:w="8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tcPr>
          <w:p>
            <w:pPr>
              <w:spacing w:after="0"/>
              <w:rPr>
                <w:sz w:val="21"/>
                <w:szCs w:val="2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Long-lived 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43,274</w:t>
            </w:r>
          </w:p>
        </w:tc>
      </w:tr>
      <w:tr>
        <w:trPr>
          <w:trHeight w:val="21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Mexico</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18,566</w:t>
            </w:r>
          </w:p>
        </w:tc>
      </w:tr>
      <w:tr>
        <w:trPr>
          <w:trHeight w:val="21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Latin America</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w:t>
            </w:r>
          </w:p>
        </w:tc>
      </w:tr>
      <w:tr>
        <w:trPr>
          <w:trHeight w:val="21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Canada and other</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8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long-lived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56,986</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67,357</w:t>
            </w:r>
          </w:p>
        </w:tc>
      </w:tr>
      <w:tr>
        <w:trPr>
          <w:trHeight w:val="21"/>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91Leech!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SUPPLEMENTAL CONSOLIDATED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Consolidated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net amounts included in our consolidated balance sheets and consolidated statements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1"/>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9"/>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tcPr>
          <w:p>
            <w:pPr>
              <w:spacing w:after="0"/>
              <w:rPr>
                <w:sz w:val="18"/>
                <w:szCs w:val="18"/>
                <w:color w:val="auto"/>
              </w:rPr>
            </w:pPr>
          </w:p>
        </w:tc>
      </w:tr>
      <w:tr>
        <w:trPr>
          <w:trHeight w:val="21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pawn service charges receivable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41,838</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uncollectible pawn service charges receivable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(10,036)</w:t>
            </w: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Pawn service charges receivable,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inventory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189,092</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 reserves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(9,737)</w:t>
            </w: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95,891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179,355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and other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10,889</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prepaid and receivable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w:t>
            </w:r>
          </w:p>
        </w:tc>
      </w:tr>
      <w:tr>
        <w:trPr>
          <w:trHeight w:val="212"/>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25,946</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payroll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6,149</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Bonus accrual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9,901</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payroll related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5,040</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rent and property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11,702</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sales and VAT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10,680</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2"/>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 payable, accrued expenses and other current liabilities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71,504</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 non-current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w:t>
            </w:r>
          </w:p>
        </w:tc>
      </w:tr>
      <w:tr>
        <w:trPr>
          <w:trHeight w:val="212"/>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7,302</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Qualifying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valuation and qualifying accounts not disclosed elsewhere: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958"/>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8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End of</w:t>
            </w: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20" w:type="dxa"/>
            <w:vAlign w:val="bottom"/>
            <w:vMerge w:val="restart"/>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49"/>
        </w:trPr>
        <w:tc>
          <w:tcPr>
            <w:tcW w:w="4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valuation of inventory: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2020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Year Ended September 30, 2019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w:t>
            </w: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2018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uncollectible pawn service charges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2020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12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Year Ended September 30, 2019</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10,036</w:t>
            </w: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2018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0" w:type="dxa"/>
            <w:vAlign w:val="bottom"/>
          </w:tcPr>
          <w:p>
            <w:pPr>
              <w:spacing w:after="0"/>
              <w:rPr>
                <w:sz w:val="1"/>
                <w:szCs w:val="1"/>
                <w:color w:val="auto"/>
              </w:rPr>
            </w:pPr>
          </w:p>
        </w:tc>
      </w:tr>
      <w:tr>
        <w:trPr>
          <w:trHeight w:val="165"/>
        </w:trPr>
        <w:tc>
          <w:tcPr>
            <w:tcW w:w="4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Allowance for uncollectible consumer loan fees and interest</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2020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Year Ended September 30, 2019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2018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valuation of deferred tax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2020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18,524</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Year Ended September 30, 2019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0" w:type="dxa"/>
            <w:vAlign w:val="bottom"/>
          </w:tcPr>
          <w:p>
            <w:pPr>
              <w:spacing w:after="0"/>
              <w:rPr>
                <w:sz w:val="1"/>
                <w:szCs w:val="1"/>
                <w:color w:val="auto"/>
              </w:rPr>
            </w:pPr>
          </w:p>
        </w:tc>
      </w:tr>
      <w:tr>
        <w:trPr>
          <w:trHeight w:val="210"/>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Year Ended September 30, 2018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QUARTERLY INFORMATION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20" w:type="dxa"/>
            <w:vAlign w:val="bottom"/>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0" w:type="dxa"/>
            <w:vAlign w:val="bottom"/>
          </w:tcPr>
          <w:p>
            <w:pPr>
              <w:spacing w:after="0"/>
              <w:rPr>
                <w:sz w:val="1"/>
                <w:szCs w:val="1"/>
                <w:color w:val="auto"/>
              </w:rPr>
            </w:pPr>
          </w:p>
        </w:tc>
      </w:tr>
      <w:tr>
        <w:trPr>
          <w:trHeight w:val="249"/>
        </w:trPr>
        <w:tc>
          <w:tcPr>
            <w:tcW w:w="6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0" w:type="dxa"/>
            <w:vAlign w:val="bottom"/>
            <w:gridSpan w:val="9"/>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September 30, 2020</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222,435</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223,283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210,233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166,860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89,617</w:t>
            </w:r>
          </w:p>
        </w:tc>
        <w:tc>
          <w:tcPr>
            <w:tcW w:w="0" w:type="dxa"/>
            <w:vAlign w:val="bottom"/>
          </w:tcPr>
          <w:p>
            <w:pPr>
              <w:spacing w:after="0"/>
              <w:rPr>
                <w:sz w:val="1"/>
                <w:szCs w:val="1"/>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(23,340)</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Third Quarter</w:t>
            </w:r>
          </w:p>
        </w:tc>
        <w:tc>
          <w:tcPr>
            <w:tcW w:w="120" w:type="dxa"/>
            <w:vAlign w:val="bottom"/>
            <w:vMerge w:val="restart"/>
          </w:tcPr>
          <w:p>
            <w:pPr>
              <w:spacing w:after="0"/>
              <w:rPr>
                <w:sz w:val="16"/>
                <w:szCs w:val="16"/>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Fourth Quarter</w:t>
            </w:r>
          </w:p>
        </w:tc>
        <w:tc>
          <w:tcPr>
            <w:tcW w:w="0" w:type="dxa"/>
            <w:vAlign w:val="bottom"/>
          </w:tcPr>
          <w:p>
            <w:pPr>
              <w:spacing w:after="0"/>
              <w:rPr>
                <w:sz w:val="1"/>
                <w:szCs w:val="1"/>
                <w:color w:val="auto"/>
              </w:rPr>
            </w:pPr>
          </w:p>
        </w:tc>
      </w:tr>
      <w:tr>
        <w:trPr>
          <w:trHeight w:val="214"/>
        </w:trPr>
        <w:tc>
          <w:tcPr>
            <w:tcW w:w="6280" w:type="dxa"/>
            <w:vAlign w:val="bottom"/>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0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980" w:type="dxa"/>
            <w:vAlign w:val="bottom"/>
            <w:gridSpan w:val="8"/>
          </w:tcPr>
          <w:p>
            <w:pPr>
              <w:jc w:val="center"/>
              <w:ind w:right="159"/>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September 30, 2019</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214,730</w:t>
            </w:r>
          </w:p>
        </w:tc>
        <w:tc>
          <w:tcPr>
            <w:tcW w:w="100" w:type="dxa"/>
            <w:vAlign w:val="bottom"/>
          </w:tcPr>
          <w:p>
            <w:pPr>
              <w:spacing w:after="0"/>
              <w:rPr>
                <w:sz w:val="18"/>
                <w:szCs w:val="18"/>
                <w:color w:val="auto"/>
              </w:rPr>
            </w:pPr>
          </w:p>
        </w:tc>
        <w:tc>
          <w:tcPr>
            <w:tcW w:w="3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202,465</w:t>
            </w:r>
          </w:p>
        </w:tc>
        <w:tc>
          <w:tcPr>
            <w:tcW w:w="12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214,339</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120,856</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net of tax</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7"/>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EZCORP, Inc.</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EZCORP, Inc.: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3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EZCORP, Inc.: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Interim Chief Financial Officer, to allow timely decisions regarding required disclosures.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under the supervision and with the participation of our Chief Executive Officer and Interim Chief Financial Officer, evaluated the effectiveness of the design and operation of our disclosure controls and procedures as of September 30, 2020. Based on that evaluation, our Chief Executive Officer and Interim Chief Financial Officer concluded that our disclosure controls and procedures were effective as of September 30, 2020. We believe the consolidated financial statements included in this Annual Report on Form 10-K fairly present, in all material respects, our financial position, results of operations, stockholders’ equity and cash flows as of the dates, and for the periods, presented in conformity with GAAP.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and the Interim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preparation of this Annual Report on Form 10-K, our management, under the supervision and with the participation of our Chief Executive Officer and Interim Chief Financial Officer, conducted an assessment of the effectiveness of our internal control over financial reporting as of September 30, 2020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that assessment, our Chief Executive Officer and Interim Chief Financial Officer concluded that our internal control over financial reporting was effective as of September 30, 2020.</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September 30, 2020 has been audited by our independent registered public accounting firm, as stated in their report appearing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EZCORP,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Rollingwood,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EZCORP, Inc.’s (the “Company’s”) internal control over financial reporting as of September 30, 2020,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(the “COSO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In our opinion, the Company maintained, in all material respects, effective internal control over financial reporting as of September 30, 2020, based on the COSO criteria.</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2020 and 2019, the related consolidated statements of operations, comprehensive (loss) income, stockholders’ equity, and cash flows for each of the three years in the period ended September 30, 2020, and the related notes, and our report dated December 14, 2020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BDO USA,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During the second quarter of fiscal 2019, we identified certain deficiencies in our information technology general controls (ITGCs) </w:t>
      </w:r>
      <w:r>
        <w:rPr>
          <w:rFonts w:ascii="Times New Roman" w:cs="Times New Roman" w:eastAsia="Times New Roman" w:hAnsi="Times New Roman"/>
          <w:sz w:val="18"/>
          <w:szCs w:val="18"/>
          <w:color w:val="191C1F"/>
        </w:rPr>
        <w:t>that are designed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91C1F"/>
        </w:rPr>
        <w:t xml:space="preserve">prevent or detect unauthorized access or changes to </w:t>
      </w:r>
      <w:r>
        <w:rPr>
          <w:rFonts w:ascii="Times New Roman" w:cs="Times New Roman" w:eastAsia="Times New Roman" w:hAnsi="Times New Roman"/>
          <w:sz w:val="18"/>
          <w:szCs w:val="18"/>
          <w:color w:val="000000"/>
        </w:rPr>
        <w:t>certain information technology (“IT”) systems that support our financial reporting processes. Our</w:t>
      </w:r>
      <w:r>
        <w:rPr>
          <w:rFonts w:ascii="Times New Roman" w:cs="Times New Roman" w:eastAsia="Times New Roman" w:hAnsi="Times New Roman"/>
          <w:sz w:val="18"/>
          <w:szCs w:val="18"/>
          <w:color w:val="191C1F"/>
        </w:rPr>
        <w:t xml:space="preserve"> </w:t>
      </w:r>
      <w:r>
        <w:rPr>
          <w:rFonts w:ascii="Times New Roman" w:cs="Times New Roman" w:eastAsia="Times New Roman" w:hAnsi="Times New Roman"/>
          <w:sz w:val="18"/>
          <w:szCs w:val="18"/>
          <w:color w:val="000000"/>
        </w:rPr>
        <w:t>related IT dependent manual and application controls that are impacted by the affected ITGCs were also deemed ineffective as they rely on reports generated by the IT systems subject to ITGCs, resulting in our inability to place reliance on internal controls over related financial statement accounts and assertions. At that time, we determined that t</w:t>
      </w:r>
      <w:r>
        <w:rPr>
          <w:rFonts w:ascii="Times New Roman" w:cs="Times New Roman" w:eastAsia="Times New Roman" w:hAnsi="Times New Roman"/>
          <w:sz w:val="18"/>
          <w:szCs w:val="18"/>
          <w:color w:val="191C1F"/>
        </w:rPr>
        <w:t>he ITGC deficiencies represent a material weakness in our internal control over financial reporting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91C1F"/>
        </w:rPr>
        <w:t>reported that material weakness in our Quarterly Report on Form 10-Q for the quarter ended March 31, 2019.</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That material weakness has been fully remediated as of September 30, 2020. During the fourth quarter of fiscal 2020, we continued to manage and monitor a remediation plan focused on IT control enhancements across our logical access and change management processes and completed the applicable testing to confirm remediation. During the quarter, there were no other changes in our internal control over financial reporting that, in the aggregate,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Internal Controls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22" w:lineRule="exact"/>
        <w:rPr>
          <w:sz w:val="20"/>
          <w:szCs w:val="20"/>
          <w:color w:val="auto"/>
        </w:rPr>
      </w:pPr>
    </w:p>
    <w:p>
      <w:pPr>
        <w:ind w:left="360" w:hanging="31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in decision-making can be faulty, and control and process breakdowns can occur because of simple errors or mistakes.</w:t>
      </w:r>
    </w:p>
    <w:p>
      <w:pPr>
        <w:spacing w:after="0" w:line="171" w:lineRule="exact"/>
        <w:rPr>
          <w:rFonts w:ascii="Times New Roman" w:cs="Times New Roman" w:eastAsia="Times New Roman" w:hAnsi="Times New Roman"/>
          <w:sz w:val="18"/>
          <w:szCs w:val="18"/>
          <w:color w:val="auto"/>
        </w:rPr>
      </w:pPr>
    </w:p>
    <w:p>
      <w:pPr>
        <w:ind w:left="360" w:hanging="31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can be circumvented by individuals, acting alone or in collusion with others, or by management override.</w:t>
      </w:r>
    </w:p>
    <w:p>
      <w:pPr>
        <w:spacing w:after="0" w:line="171" w:lineRule="exact"/>
        <w:rPr>
          <w:rFonts w:ascii="Times New Roman" w:cs="Times New Roman" w:eastAsia="Times New Roman" w:hAnsi="Times New Roman"/>
          <w:sz w:val="18"/>
          <w:szCs w:val="18"/>
          <w:color w:val="auto"/>
        </w:rPr>
      </w:pPr>
    </w:p>
    <w:p>
      <w:pPr>
        <w:ind w:left="380" w:right="160" w:hanging="332"/>
        <w:spacing w:after="0" w:line="282"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07" w:lineRule="exact"/>
        <w:rPr>
          <w:rFonts w:ascii="Times New Roman" w:cs="Times New Roman" w:eastAsia="Times New Roman" w:hAnsi="Times New Roman"/>
          <w:sz w:val="18"/>
          <w:szCs w:val="18"/>
          <w:color w:val="auto"/>
        </w:rPr>
      </w:pPr>
    </w:p>
    <w:p>
      <w:pPr>
        <w:ind w:left="380" w:right="120" w:hanging="332"/>
        <w:spacing w:after="0" w:line="282"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controls may become inadequate because of changes in conditions or deterioration in the degree of compliance with associated policies or procedures.</w:t>
      </w:r>
    </w:p>
    <w:p>
      <w:pPr>
        <w:spacing w:after="0" w:line="107" w:lineRule="exact"/>
        <w:rPr>
          <w:rFonts w:ascii="Times New Roman" w:cs="Times New Roman" w:eastAsia="Times New Roman" w:hAnsi="Times New Roman"/>
          <w:sz w:val="18"/>
          <w:szCs w:val="18"/>
          <w:color w:val="auto"/>
        </w:rPr>
      </w:pPr>
    </w:p>
    <w:p>
      <w:pPr>
        <w:ind w:left="380" w:right="360" w:hanging="332"/>
        <w:spacing w:after="0" w:line="282"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 control system must reflect the fact that resources are constrained, and the benefits of controls must be considered relative to their costs.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all control issues and instances of fraud, if any, have been detected.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61" w:lineRule="exact"/>
        <w:rPr>
          <w:sz w:val="20"/>
          <w:szCs w:val="20"/>
          <w:color w:val="auto"/>
        </w:rPr>
      </w:pPr>
    </w:p>
    <w:p>
      <w:pPr>
        <w:ind w:right="4100"/>
        <w:spacing w:after="0" w:line="440" w:lineRule="auto"/>
        <w:rPr>
          <w:sz w:val="20"/>
          <w:szCs w:val="20"/>
          <w:color w:val="auto"/>
        </w:rPr>
      </w:pPr>
      <w:r>
        <w:rPr>
          <w:rFonts w:ascii="Times New Roman" w:cs="Times New Roman" w:eastAsia="Times New Roman" w:hAnsi="Times New Roman"/>
          <w:sz w:val="18"/>
          <w:szCs w:val="18"/>
          <w:b w:val="1"/>
          <w:bCs w:val="1"/>
          <w:color w:val="auto"/>
        </w:rPr>
        <w:t>ITEM 10 — DIRECTORS, EXECUTIVE OFFICERS AND CORPORATE GOVERNANCE Board of Directors</w:t>
      </w:r>
    </w:p>
    <w:p>
      <w:pPr>
        <w:spacing w:after="0" w:line="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Set forth below are the names of the persons who, as of December 1, 2020, constituted our Board of Directors and their ages and committee assignments as of that date:</w:t>
      </w:r>
    </w:p>
    <w:tbl>
      <w:tblPr>
        <w:tblLayout w:type="fixed"/>
        <w:tblInd w:w="0" w:type="dxa"/>
        <w:tblCellMar>
          <w:top w:w="0" w:type="dxa"/>
          <w:left w:w="0" w:type="dxa"/>
          <w:bottom w:w="0" w:type="dxa"/>
          <w:right w:w="0" w:type="dxa"/>
        </w:tblCellMar>
      </w:tblPr>
      <w:tr>
        <w:trPr>
          <w:trHeight w:val="19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Committees</w:t>
            </w:r>
          </w:p>
        </w:tc>
      </w:tr>
      <w:tr>
        <w:trPr>
          <w:trHeight w:val="39"/>
        </w:trPr>
        <w:tc>
          <w:tcPr>
            <w:tcW w:w="3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40" w:type="dxa"/>
            <w:vAlign w:val="bottom"/>
            <w:tcBorders>
              <w:top w:val="single" w:sz="8" w:color="auto"/>
            </w:tcBorders>
          </w:tcPr>
          <w:p>
            <w:pPr>
              <w:spacing w:after="0"/>
              <w:rPr>
                <w:sz w:val="3"/>
                <w:szCs w:val="3"/>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W. Appel</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(Chair), Nominating (Chair), Lead Independent Director</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Zena Srivatsa Arnold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Shelaghmichael Brown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People and Compensation</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Phillip E. Cohen (Executive Chairman)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Hugo R. Dooner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Pablo Lagos Espinosa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and Compensation (Chair)</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Kent V. Stone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Gary L. Tillett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K. (Robb) Webb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 and Compensation</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Rosa Zeegers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w:t>
            </w:r>
          </w:p>
        </w:tc>
      </w:tr>
    </w:tbl>
    <w:p>
      <w:pPr>
        <w:spacing w:after="0" w:line="2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w:t>
      </w:r>
      <w:r>
        <w:rPr>
          <w:rFonts w:ascii="Times New Roman" w:cs="Times New Roman" w:eastAsia="Times New Roman" w:hAnsi="Times New Roman"/>
          <w:sz w:val="18"/>
          <w:szCs w:val="18"/>
          <w:color w:val="auto"/>
        </w:rPr>
        <w:t>— The Board believes that individuals who serve on the Board have demonstrated notable or significant achievements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29" w:lineRule="exact"/>
        <w:rPr>
          <w:sz w:val="20"/>
          <w:szCs w:val="20"/>
          <w:color w:val="auto"/>
        </w:rPr>
      </w:pPr>
    </w:p>
    <w:p>
      <w:pPr>
        <w:ind w:left="660" w:right="1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Experience </w:t>
      </w:r>
      <w:r>
        <w:rPr>
          <w:rFonts w:ascii="Times New Roman" w:cs="Times New Roman" w:eastAsia="Times New Roman" w:hAnsi="Times New Roman"/>
          <w:sz w:val="18"/>
          <w:szCs w:val="18"/>
          <w:color w:val="auto"/>
        </w:rPr>
        <w:t>— Our directors should demonstrate extraordinary leadership qualities. Strong leaders bring vision, strategic agility,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and 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Finance Experience </w:t>
      </w:r>
      <w:r>
        <w:rPr>
          <w:rFonts w:ascii="Times New Roman" w:cs="Times New Roman" w:eastAsia="Times New Roman" w:hAnsi="Times New Roman"/>
          <w:sz w:val="18"/>
          <w:szCs w:val="18"/>
          <w:color w:val="auto"/>
        </w:rPr>
        <w:t>— We believe that all directors should possess an understanding of finance and related reporting processes.</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Strategically Relevant Experience </w:t>
      </w:r>
      <w:r>
        <w:rPr>
          <w:rFonts w:ascii="Times New Roman" w:cs="Times New Roman" w:eastAsia="Times New Roman" w:hAnsi="Times New Roman"/>
          <w:sz w:val="18"/>
          <w:szCs w:val="18"/>
          <w:color w:val="auto"/>
        </w:rPr>
        <w:t>— Our directors should have business experience that is relevant to our strategic goals and objectives,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25" w:lineRule="exact"/>
        <w:rPr>
          <w:rFonts w:ascii="Times New Roman" w:cs="Times New Roman" w:eastAsia="Times New Roman" w:hAnsi="Times New Roman"/>
          <w:sz w:val="18"/>
          <w:szCs w:val="18"/>
          <w:color w:val="auto"/>
        </w:rPr>
      </w:pPr>
    </w:p>
    <w:p>
      <w:pPr>
        <w:ind w:left="660" w:right="600" w:hanging="328"/>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 Experience </w:t>
      </w:r>
      <w:r>
        <w:rPr>
          <w:rFonts w:ascii="Times New Roman" w:cs="Times New Roman" w:eastAsia="Times New Roman" w:hAnsi="Times New Roman"/>
          <w:sz w:val="18"/>
          <w:szCs w:val="18"/>
          <w:color w:val="auto"/>
        </w:rPr>
        <w:t>— Our business is subject to a variety of legislative and regulatory risks. Accordingly, we value experience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legislative, judicial or regulatory branches of government or government relations.</w:t>
      </w:r>
    </w:p>
    <w:p>
      <w:pPr>
        <w:spacing w:after="0" w:line="10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Biographical Information </w:t>
      </w:r>
      <w:r>
        <w:rPr>
          <w:rFonts w:ascii="Times New Roman" w:cs="Times New Roman" w:eastAsia="Times New Roman" w:hAnsi="Times New Roman"/>
          <w:sz w:val="18"/>
          <w:szCs w:val="18"/>
          <w:color w:val="auto"/>
        </w:rPr>
        <w:t>— Set forth below is current biographical information about our directors, including the qualifications, experience and skills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them suitable for service as a director.</w:t>
      </w:r>
    </w:p>
    <w:p>
      <w:pPr>
        <w:spacing w:after="0" w:line="104" w:lineRule="exact"/>
        <w:rPr>
          <w:sz w:val="20"/>
          <w:szCs w:val="20"/>
          <w:color w:val="auto"/>
        </w:rPr>
      </w:pPr>
    </w:p>
    <w:p>
      <w:pPr>
        <w:ind w:left="660" w:right="80" w:hanging="328"/>
        <w:spacing w:after="0" w:line="25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Matthew W. Appel </w:t>
      </w:r>
      <w:r>
        <w:rPr>
          <w:rFonts w:ascii="Times New Roman" w:cs="Times New Roman" w:eastAsia="Times New Roman" w:hAnsi="Times New Roman"/>
          <w:sz w:val="18"/>
          <w:szCs w:val="18"/>
          <w:color w:val="auto"/>
        </w:rPr>
        <w:t>— Mr. Appel joined EZCORP as a director in January 2015. He serves as Chair of the Audit Committee and is the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 (and, as such, serves as Chair of the Nominating Committee). Mr. Appel spent 37 years in finance, administration and operations roles with a variety of companies, most recently Zale Corporation, an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President, BPO Management; and held a variety of finance and operations roles from 1984 to 2003 at Tenneco Inc., Affiliated Computer Services, Inc. and PricewaterhouseCoopers. Mr. Appel began his professional career with Arthur Andersen &amp; Company, working there from 1977 to 1984. He received an MBA in Accounting from the Rutgers University Graduate School of Business in 1977 and a Business Administration degree from Rutgers College in 1976. Mr. Appel is a Certified Public Accountant and a Certified Management Accountant.</w:t>
      </w:r>
    </w:p>
    <w:p>
      <w:pPr>
        <w:spacing w:after="0" w:line="126" w:lineRule="exact"/>
        <w:rPr>
          <w:sz w:val="20"/>
          <w:szCs w:val="20"/>
          <w:color w:val="auto"/>
        </w:rPr>
      </w:pPr>
    </w:p>
    <w:p>
      <w:pPr>
        <w:ind w:left="660" w:right="480"/>
        <w:spacing w:after="0" w:line="266" w:lineRule="auto"/>
        <w:rPr>
          <w:sz w:val="20"/>
          <w:szCs w:val="20"/>
          <w:color w:val="auto"/>
        </w:rPr>
      </w:pPr>
      <w:r>
        <w:rPr>
          <w:rFonts w:ascii="Times New Roman" w:cs="Times New Roman" w:eastAsia="Times New Roman" w:hAnsi="Times New Roman"/>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pacing w:after="0" w:line="120" w:lineRule="exact"/>
        <w:rPr>
          <w:sz w:val="20"/>
          <w:szCs w:val="20"/>
          <w:color w:val="auto"/>
        </w:rPr>
      </w:pPr>
    </w:p>
    <w:p>
      <w:pPr>
        <w:ind w:left="660" w:right="60" w:hanging="328"/>
        <w:spacing w:after="0" w:line="253" w:lineRule="auto"/>
        <w:tabs>
          <w:tab w:leader="none" w:pos="655"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Zena Srivatsa Arnold </w:t>
      </w:r>
      <w:r>
        <w:rPr>
          <w:rFonts w:ascii="Times New Roman" w:cs="Times New Roman" w:eastAsia="Times New Roman" w:hAnsi="Times New Roman"/>
          <w:sz w:val="18"/>
          <w:szCs w:val="18"/>
          <w:color w:val="auto"/>
        </w:rPr>
        <w:t>— Ms. Arnold has been a director since May 2019. She has over 18 years of experience in marketing, brand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development and business operations. She serves as the Chief Digital and Marketing Officer of Kimberly-Clark Corporation, a global personal care and consumer products company. Prior to joining Kimberly-Clark in April 2020, she spent almost six years with Google, serving as Global Head of Growth for Chromebook (May 2019 to March 2020); General Manager, US Chromebooks (March 2018 to May 2019); Global Head of Marketing, Chromebooks and IoT (November 2016 to March 2018); Head of Americas Marketing, Google Play (April 2015 to October 2016); and Head of NA Marketing, Google Play (October 2013 to April 2015). Prior to joining Google, Ms. Arnold spent over nine years in various brand management positions with Kellogg Company (August 2010 to October 2013) and Procter &amp; Gamble (April 2004 to August 2010). Ms. Arnold began her professional career at General Electric Corporation, where she served as Product Manager, Server Solutions for GE Capital IT Solutions (April 2002 to April 2004). Ms. Arnold received a Bachelor of Science degree in Computer Science, with a minor in Business Marketing, from The Ohio State University. She was recognized in 2014 as one of Brand Innovators “40 Under 40,” and has received numerous other professional awards and recognitions.</w:t>
      </w:r>
    </w:p>
    <w:p>
      <w:pPr>
        <w:spacing w:after="0" w:line="139" w:lineRule="exact"/>
        <w:rPr>
          <w:rFonts w:ascii="Times New Roman" w:cs="Times New Roman" w:eastAsia="Times New Roman" w:hAnsi="Times New Roman"/>
          <w:sz w:val="18"/>
          <w:szCs w:val="18"/>
          <w:i w:val="1"/>
          <w:iCs w:val="1"/>
          <w:color w:val="auto"/>
        </w:rPr>
      </w:pPr>
    </w:p>
    <w:p>
      <w:pPr>
        <w:ind w:left="660" w:right="6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Director qualifications: leadership, executive management experience; broad business and strategically relevant experience; experience in developing growth strategies.</w:t>
      </w:r>
    </w:p>
    <w:p>
      <w:pPr>
        <w:spacing w:after="0" w:line="105" w:lineRule="exact"/>
        <w:rPr>
          <w:rFonts w:ascii="Times New Roman" w:cs="Times New Roman" w:eastAsia="Times New Roman" w:hAnsi="Times New Roman"/>
          <w:sz w:val="18"/>
          <w:szCs w:val="18"/>
          <w:i w:val="1"/>
          <w:iCs w:val="1"/>
          <w:color w:val="auto"/>
        </w:rPr>
      </w:pPr>
    </w:p>
    <w:p>
      <w:pPr>
        <w:ind w:left="660" w:right="60" w:hanging="328"/>
        <w:spacing w:after="0" w:line="253"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Shelaghmichael Brown </w:t>
      </w:r>
      <w:r>
        <w:rPr>
          <w:rFonts w:ascii="Times New Roman" w:cs="Times New Roman" w:eastAsia="Times New Roman" w:hAnsi="Times New Roman"/>
          <w:sz w:val="18"/>
          <w:szCs w:val="18"/>
          <w:color w:val="auto"/>
        </w:rPr>
        <w:t>— Ms. Brown joined EZCORP as a director in April 2019. She has more than 35 years of management experience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brand and technology at a variety of financial services institutions and other companies. Ms. Brown retired from BBVA Compass in June 2011 as Senior Executive Vice President and Executive Officer Retail Banking, where she was responsible for a network of over 700 branches; online, mobile and other electronic banking platforms; traditional consumer and small business credit and deposit products; and marketing. Prior to joining BBVA Compass, Ms. Brown was President of RediClinic, Inc.; President and Chief Executive Officer of TeleCheck International, Inc.; and Executive Vice President, Manager-Retail Banking for JP Morgan Chase. Since 2012, Ms. Brown has served on the Board of Trust Managers of Weingarten Realty Investors, an NYSE-listed real estate investment trust, where she has been a member of the Management Development Committee and the Compensation Committee and is currently Chair of the Governance Committee. She also serves on the Board of Directors for BBVA USA Bancshares, Inc., where she is a member of the Risk Committee and the Audit Committee. Ms. Brown received an MBA from the University of Chicago and a Bachelor of Arts degree in American Studies from Wheaton College. She was recognized in 2009, 2010 and 2011 as one of the Top 25 Most Powerful Women in Banking by U.S. Banker. She is engaged in a variety of professional, civic and philanthropic activities, and currently serves as on the Board of Directors, and as Foundation Chairman, of CanCare, Inc.</w:t>
      </w:r>
    </w:p>
    <w:p>
      <w:pPr>
        <w:spacing w:after="0" w:line="137" w:lineRule="exact"/>
        <w:rPr>
          <w:rFonts w:ascii="Times New Roman" w:cs="Times New Roman" w:eastAsia="Times New Roman" w:hAnsi="Times New Roman"/>
          <w:sz w:val="18"/>
          <w:szCs w:val="18"/>
          <w:color w:val="auto"/>
        </w:rPr>
      </w:pPr>
    </w:p>
    <w:p>
      <w:pPr>
        <w:ind w:left="6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leadership, executive management experience; broad business and strategically relevant experience; retail management experience; financial experience; experience in developing growth strategies; personnel development; deep understanding of conducting business in highly regulated environments.</w:t>
      </w:r>
    </w:p>
    <w:p>
      <w:pPr>
        <w:spacing w:after="0" w:line="119"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Phillip E. Cohen </w:t>
      </w:r>
      <w:r>
        <w:rPr>
          <w:rFonts w:ascii="Times New Roman" w:cs="Times New Roman" w:eastAsia="Times New Roman" w:hAnsi="Times New Roman"/>
          <w:sz w:val="18"/>
          <w:szCs w:val="18"/>
          <w:color w:val="auto"/>
        </w:rPr>
        <w:t>— Mr. Cohen has been a member of the Board of Directors and the Executive Chairman since September 2019. He has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of, and advisor to, the Company for 30 years. He acquired the Company in 1989 and took it public in 1991 with an initial public offering of Class A Non-Voting Common Stock. Mr. Cohen has over 40 years of investment banking and financial advisory experience with a variety of firms, including Kuhn Loeb &amp; Co. Incorporated (1973-1977), Lehman Brothers Kuhn Loeb Incorporated (1977-1979), The First Boston Corporation (1980), Oppenheimer &amp; Co, Inc. (1980-1984), Morgan Schiff &amp; Co., Inc. (1984-Present) and Madison Park LLC (2004 to Present). Mr. Cohen received a Bachelor of Commerce degree from the University of Melbourne and a Masters of Business Administration from Harvard University. Mr. Cohen is the sole stockholder of MS Pawn Corporation, which is the general partner of MS Pawn Limited Partnership, the owner of 100% of the outstanding shares of our Class B Voting Common Stock.</w:t>
      </w:r>
    </w:p>
    <w:p>
      <w:pPr>
        <w:spacing w:after="0" w:line="132" w:lineRule="exact"/>
        <w:rPr>
          <w:rFonts w:ascii="Times New Roman" w:cs="Times New Roman" w:eastAsia="Times New Roman" w:hAnsi="Times New Roman"/>
          <w:sz w:val="18"/>
          <w:szCs w:val="18"/>
          <w:color w:val="auto"/>
        </w:rPr>
      </w:pPr>
    </w:p>
    <w:p>
      <w:pPr>
        <w:ind w:left="66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leadership; broad business and strategically relevant experience; retail management experience; financial experience; international experience and global perspective; industry knowledge; experience in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developing growth strategies. Further, Mr. Cohen has deep knowledge of the Company and its opportunities and challenges spanning multiple economic cycles.</w:t>
      </w:r>
    </w:p>
    <w:p>
      <w:pPr>
        <w:spacing w:after="0" w:line="106" w:lineRule="exact"/>
        <w:rPr>
          <w:sz w:val="20"/>
          <w:szCs w:val="20"/>
          <w:color w:val="auto"/>
        </w:rPr>
      </w:pPr>
    </w:p>
    <w:p>
      <w:pPr>
        <w:ind w:left="660" w:right="20" w:hanging="328"/>
        <w:spacing w:after="0" w:line="25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Hugo R. Dooner </w:t>
      </w:r>
      <w:r>
        <w:rPr>
          <w:rFonts w:ascii="Times New Roman" w:cs="Times New Roman" w:eastAsia="Times New Roman" w:hAnsi="Times New Roman"/>
          <w:sz w:val="18"/>
          <w:szCs w:val="18"/>
          <w:color w:val="auto"/>
        </w:rPr>
        <w:t>— Mr. Dooner has been a director since May 2020. He is the Chief Executive Officer of LoanMart, a privately-held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the largest online auto title loan lender in the U.S. Prior to joining LoanMart in 2014, he was the Executive Vice President, Head of Personal Lending Division at Santander Consumer USA Inc., a NYSE-listed auto finance company, where he was responsible for multiple lines of business, including Consumer-Direct Refinance, Private label Credit Card and Consumer-Direct PULs. From 2002 to 2010, Mr. Dooner held positions of increasing responsibility at HSBC, one of the world’s largest banking and financial services organizations, where he progressed to serve for two years as Vice President and Director, Head of Portfolio Marketing and Global Servicing Operations. He began his business career in investment banking, serving in the Business Development Group of Merrill Lynch from 2000 to 2002. He received a Bachelor of Arts in Political Science from the University of California, Santa Barbara, and an MBA with concentrations in Finance and Entrepreneurship from the University of Chicago Graduate School of Business.</w:t>
      </w:r>
    </w:p>
    <w:p>
      <w:pPr>
        <w:spacing w:after="0" w:line="136" w:lineRule="exact"/>
        <w:rPr>
          <w:rFonts w:ascii="Times New Roman" w:cs="Times New Roman" w:eastAsia="Times New Roman" w:hAnsi="Times New Roman"/>
          <w:sz w:val="18"/>
          <w:szCs w:val="18"/>
          <w:color w:val="auto"/>
        </w:rPr>
      </w:pPr>
    </w:p>
    <w:p>
      <w:pPr>
        <w:ind w:left="6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leadership, executive management experience; broad business and strategically relevant experience; financial experience; industry knowledge; experience in developing growth strategies; personnel development; deep understanding of conducting business in highly regulated environments.</w:t>
      </w:r>
    </w:p>
    <w:p>
      <w:pPr>
        <w:spacing w:after="0" w:line="11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Jason A. Kulas </w:t>
      </w:r>
      <w:r>
        <w:rPr>
          <w:rFonts w:ascii="Times New Roman" w:cs="Times New Roman" w:eastAsia="Times New Roman" w:hAnsi="Times New Roman"/>
          <w:sz w:val="18"/>
          <w:szCs w:val="18"/>
          <w:color w:val="auto"/>
        </w:rPr>
        <w:t>— Mr. Kulas is our Chief Executive Officer, having been promoted into that position in July 2020 after joining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2020 as President and Chief Financial Officer. He first became associated with the Company in April 2019 when he was appointed as an independent member of the Board of Directors. While an independent director, he served on the Audit Committee and the Nominating Committee. Mr. Kulas resigned from the Board of Directors when he joined the Company as an executive in February 2020, and was reappointed to the Board in connection with his appointment as Chief Executive Officer.</w:t>
      </w:r>
    </w:p>
    <w:p>
      <w:pPr>
        <w:spacing w:after="0" w:line="131" w:lineRule="exact"/>
        <w:rPr>
          <w:rFonts w:ascii="Times New Roman" w:cs="Times New Roman" w:eastAsia="Times New Roman" w:hAnsi="Times New Roman"/>
          <w:sz w:val="18"/>
          <w:szCs w:val="18"/>
          <w:i w:val="1"/>
          <w:iCs w:val="1"/>
          <w:color w:val="auto"/>
        </w:rPr>
      </w:pPr>
    </w:p>
    <w:p>
      <w:pPr>
        <w:ind w:left="660" w:right="6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Prior to joining the Company as an executive, Mr. Kulas spent over 25 years in financial analysis, investment banking and executive-level finance and operations roles with a variety of companies, most recently Santander Consumer USA Inc., a NYSE-listed auto finance company, where he served as Chief Executive Officer and a director from 2015 to 2017, President from 2013 to 2015, Chief Financial Officer from 2007 to 2015 and a director from 2007 to 2012. Prior to joining Santander Consumer USA, Mr. Kulas was a Managing Director in Investment Banking with J.P. Morgan Chase &amp; Co. (1995 to 2007), where he managed JPMorgan’s South Region investment banking office. He has also served as an Adjunct Professor of Marketing at Texas Christian University (1997 to 1999); Securities Analyst at William C. Connor Foundation – TCU Educational Investment Fund (1994 to 1995); and an intern and Financial Analyst at Dun &amp; Bradstreet (1993 to 1995). Mr. Kulas received an MBA with a concentration in Finance and Marketing from Texas Christian University in 1995 and a Bachelor of Arts degree from Southern Methodist University in 1993. He currently serves as Non-Executive Chairman of the Board of Cash Converters International Limited and as an advisor to Warburg Pincus International LLC. He has been involved in a variety of civic and philanthropic activities, including the Salesmanship Club of Dallas, Momentous Institute, Exchange Club of East Dallas, Dallas Citizens Council, Baylor Scott &amp; White Dallas Foundation and Art House Dallas.</w:t>
      </w:r>
    </w:p>
    <w:p>
      <w:pPr>
        <w:spacing w:after="0" w:line="135" w:lineRule="exact"/>
        <w:rPr>
          <w:rFonts w:ascii="Times New Roman" w:cs="Times New Roman" w:eastAsia="Times New Roman" w:hAnsi="Times New Roman"/>
          <w:sz w:val="18"/>
          <w:szCs w:val="18"/>
          <w:i w:val="1"/>
          <w:iCs w:val="1"/>
          <w:color w:val="auto"/>
        </w:rPr>
      </w:pPr>
    </w:p>
    <w:p>
      <w:pPr>
        <w:ind w:left="660" w:right="48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Director qualifications: leadership, chief executive officer, chief financial officer and executive management experience; broad business and strategically relevant experience; financial experience; experience in developing growth strategies; personnel development.</w:t>
      </w:r>
    </w:p>
    <w:p>
      <w:pPr>
        <w:spacing w:after="0" w:line="105" w:lineRule="exact"/>
        <w:rPr>
          <w:rFonts w:ascii="Times New Roman" w:cs="Times New Roman" w:eastAsia="Times New Roman" w:hAnsi="Times New Roman"/>
          <w:sz w:val="18"/>
          <w:szCs w:val="18"/>
          <w:i w:val="1"/>
          <w:iCs w:val="1"/>
          <w:color w:val="auto"/>
        </w:rPr>
      </w:pPr>
    </w:p>
    <w:p>
      <w:pPr>
        <w:ind w:left="660" w:right="60" w:hanging="328"/>
        <w:spacing w:after="0" w:line="253" w:lineRule="auto"/>
        <w:tabs>
          <w:tab w:leader="none" w:pos="655"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Pablo Lagos Espinosa </w:t>
      </w:r>
      <w:r>
        <w:rPr>
          <w:rFonts w:ascii="Times New Roman" w:cs="Times New Roman" w:eastAsia="Times New Roman" w:hAnsi="Times New Roman"/>
          <w:sz w:val="18"/>
          <w:szCs w:val="18"/>
          <w:color w:val="auto"/>
        </w:rPr>
        <w:t>— Mr. Lagos joined EZCORP as a director in October 2010. He is Chair of the People and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Casa del Parque, a privately held enterprise focused on developing senior living residences in Mexico. He is also a member of the Mexican Advisory Board for Niagara Waters, a leading manufacturer of bottled water in the U.S. and Mexico. He received a Bachelor of Science degree in Industrial &amp; Systems Engineering from Instituto Technológico de Monterrey, Master of Science degrees in Industrial Engineering and Operations Research and an MBA from Stanford University.</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24" w:lineRule="exact"/>
        <w:rPr>
          <w:sz w:val="20"/>
          <w:szCs w:val="20"/>
          <w:color w:val="auto"/>
        </w:rPr>
      </w:pPr>
    </w:p>
    <w:p>
      <w:pPr>
        <w:ind w:left="660" w:hanging="328"/>
        <w:spacing w:after="0" w:line="273"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Kent V. Stone </w:t>
      </w:r>
      <w:r>
        <w:rPr>
          <w:rFonts w:ascii="Times New Roman" w:cs="Times New Roman" w:eastAsia="Times New Roman" w:hAnsi="Times New Roman"/>
          <w:sz w:val="17"/>
          <w:szCs w:val="17"/>
          <w:color w:val="auto"/>
        </w:rPr>
        <w:t>— Mr. Stone joined EZCORP as a director in April 2019. He has 37 years of experience in consumer and small business banking,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U.S. Bancorp, the fifth largest commercial bank in the U.S. His roles included Vice Chairman, Consumer Banking Sales and Support (2013-2017); Executive Vice President, Consumer Banking Strategic Support Services (2006-2013); Executive Vice President, Business Banking (2001-</w:t>
      </w:r>
    </w:p>
    <w:p>
      <w:pPr>
        <w:spacing w:after="0" w:line="1" w:lineRule="exact"/>
        <w:rPr>
          <w:rFonts w:ascii="Times New Roman" w:cs="Times New Roman" w:eastAsia="Times New Roman" w:hAnsi="Times New Roman"/>
          <w:sz w:val="17"/>
          <w:szCs w:val="17"/>
          <w:color w:val="auto"/>
        </w:rPr>
      </w:pPr>
    </w:p>
    <w:p>
      <w:pPr>
        <w:ind w:left="66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2006); and Executive Vice President, Branch Banking (2000-2001). From 1980 to 2000, he held various regional positions with U.S. Bancorp and its predecessor, First Bank System. Mr. Stone’s extensive banking experience includes retail branch management, digital channels, mortgage lending, private banking, product and segment management, and marketing. Mr. Stone received an MBA with a concentration in Finance from the Carlson School of Management at the University of Minnesota in 1985, and a Bachelor of Arts in General Science and Business from Gustavus Alolphus College in 1980. He has been, and continues to be, active in a variety of civic and philanthropic affairs.</w:t>
      </w:r>
    </w:p>
    <w:p>
      <w:pPr>
        <w:spacing w:after="0" w:line="132" w:lineRule="exact"/>
        <w:rPr>
          <w:rFonts w:ascii="Times New Roman" w:cs="Times New Roman" w:eastAsia="Times New Roman" w:hAnsi="Times New Roman"/>
          <w:sz w:val="17"/>
          <w:szCs w:val="17"/>
          <w:color w:val="auto"/>
        </w:rPr>
      </w:pPr>
    </w:p>
    <w:p>
      <w:pPr>
        <w:ind w:left="66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Director qualifications: leadership and executive management experience; broad business and strategically relevant experience; retail management experience; financial experience; experience in developing growth strategies; personnel development; deep understanding of conducting business in highly regulated environments.</w:t>
      </w:r>
    </w:p>
    <w:p>
      <w:pPr>
        <w:spacing w:after="0" w:line="119" w:lineRule="exact"/>
        <w:rPr>
          <w:rFonts w:ascii="Times New Roman" w:cs="Times New Roman" w:eastAsia="Times New Roman" w:hAnsi="Times New Roman"/>
          <w:sz w:val="17"/>
          <w:szCs w:val="17"/>
          <w:color w:val="auto"/>
        </w:rPr>
      </w:pPr>
    </w:p>
    <w:p>
      <w:pPr>
        <w:ind w:left="660" w:right="80" w:hanging="328"/>
        <w:spacing w:after="0" w:line="25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Gary L. Tillett </w:t>
      </w:r>
      <w:r>
        <w:rPr>
          <w:rFonts w:ascii="Times New Roman" w:cs="Times New Roman" w:eastAsia="Times New Roman" w:hAnsi="Times New Roman"/>
          <w:sz w:val="18"/>
          <w:szCs w:val="18"/>
          <w:color w:val="auto"/>
        </w:rPr>
        <w:t>— Mr. Tillett has been a director since April 2019. He has more than 35 years of experience in public accounting and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He spent 31 years at PricewaterhouseCoopers, where he progressed from entry-level staff to senior partner serving a variety of businesses in the Insurance Practice, the Transaction Services Practice and the U.S. Financial Services Practice. From 2005 to 2010, he was the Transactions Services Leader of the firm’s U.S. Financial Services Practice, leading a newly assembled team of professionals providing service to clients pursuing transactions in the financial services sector. At the time of his retirement from PwC in 2014, he was the Transaction Services Leader of the firm’s New York Metro Practice, where he led teams advising clients on complex transactions, including structuring, due diligence, valuation and financial reporting. Mr. Tillett left PwC in 2014 to take the role of Executive Vice President and Chief Financial Officer of Walter Investment Management Corp. (now Ditech Holding Corporation), a publicly traded independent originator and servicer of residential mortgage loans. Ditech initiated Chapter 11 bankruptcy proceedings in November 2017. Mr. Tillett retired from his position with Ditech in February 2018 after assisting with the development and execution of the company’s financial restructuring plan. Mr. Tillett received an MBA from the Manchester Business School at the University of Manchester and a Bachelor of Science degree with an emphasis in Accounting from the University of Texas at Dallas. He is a Certified Public Accountant.</w:t>
      </w:r>
    </w:p>
    <w:p>
      <w:pPr>
        <w:spacing w:after="0" w:line="137" w:lineRule="exact"/>
        <w:rPr>
          <w:rFonts w:ascii="Times New Roman" w:cs="Times New Roman" w:eastAsia="Times New Roman" w:hAnsi="Times New Roman"/>
          <w:sz w:val="18"/>
          <w:szCs w:val="18"/>
          <w:color w:val="auto"/>
        </w:rPr>
      </w:pPr>
    </w:p>
    <w:p>
      <w:pPr>
        <w:ind w:left="66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leadership, chief financial officer and executive management experience; broad business and strategically relevant experience; financial experience, including accounting, tax and financial reporting; personnel development.</w:t>
      </w:r>
    </w:p>
    <w:p>
      <w:pPr>
        <w:spacing w:after="0" w:line="105"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Robert W. K. (Robb) Webb </w:t>
      </w:r>
      <w:r>
        <w:rPr>
          <w:rFonts w:ascii="Times New Roman" w:cs="Times New Roman" w:eastAsia="Times New Roman" w:hAnsi="Times New Roman"/>
          <w:sz w:val="18"/>
          <w:szCs w:val="18"/>
          <w:color w:val="auto"/>
        </w:rPr>
        <w:t>— Mr. Webb joined EZCORP as a director in April 2019. He has 40 years of experience as a human resources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leader in complex global business environments, including Chief Human Resources Officer at Tenet Healthcare Corporation (2016-2017); Executive Vice President &amp; Chief Human Resources Officer at Hyatt Hotels Corporation (2007-2016); a variety of human resources and business process management roles with Citigroup and predecessor companies (1999-2007); Vice President, Human Resources &amp; Organizational Effectiveness at Avco Financial Services Inc., a subsidiary of Textron Inc. (1988-1999); and various human resources and organizational development roles with Westinghouse Canada (1979-1988). Mr. Webb received an MBA from the University of Nebraska in 2004 and a Bachelor of Arts degree from McMaster University in Ontario, Canada in 1977. He has participated in advanced management programs at Stanford University and Harvard University. Mr. Webb serves as a director on the Human Rights Campaign Foundation Board, the Global Board of Operation Hope and the Advisory Board at Arena, and has served on the boards of the Dallas Regional Chamber of Commerce and Business for Social Responsibility.</w:t>
      </w:r>
    </w:p>
    <w:p>
      <w:pPr>
        <w:spacing w:after="0" w:line="133" w:lineRule="exact"/>
        <w:rPr>
          <w:rFonts w:ascii="Times New Roman" w:cs="Times New Roman" w:eastAsia="Times New Roman" w:hAnsi="Times New Roman"/>
          <w:sz w:val="18"/>
          <w:szCs w:val="18"/>
          <w:color w:val="auto"/>
        </w:rPr>
      </w:pPr>
    </w:p>
    <w:p>
      <w:pPr>
        <w:ind w:left="66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qualifications: leadership and executive management experience; broad business experience; retail management experience; personnel development.</w:t>
      </w:r>
    </w:p>
    <w:p>
      <w:pPr>
        <w:spacing w:after="0" w:line="10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Rosa Zeegers </w:t>
      </w:r>
      <w:r>
        <w:rPr>
          <w:rFonts w:ascii="Times New Roman" w:cs="Times New Roman" w:eastAsia="Times New Roman" w:hAnsi="Times New Roman"/>
          <w:sz w:val="18"/>
          <w:szCs w:val="18"/>
          <w:color w:val="auto"/>
        </w:rPr>
        <w:t>— Ms. Zeegers has been a director since April 2019. She has over 30 years of experience in developing and implementing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retail strategies, as well as managing substantial businesses. She is currently the Founder and Chief Executive Officer of BrandFolia LLC, a brand strategy consulting firm with a variety of clients, includiong The Kingdom of Saudi Arabia, Boston Consulting Group, EdgeSoft and the AHA Foundation. Before that,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Ms. Zeegers served as Executive Vice President of Consumer Products &amp; Experiences with National Geographic Partners, a joint venture of 21st Century Fox and The National Geographic Society (2016-2018). Prior to joining National Geographic Partners, Ms. Zeegers was the Chief Marketing Officer of Tween Brands, Inc. (2015); held a variety of marketing, brand and business development roles at Mattel, Inc. (2001-2014), including most recently, Senior Vice President, Global Business Development; and held a variety of marketing and brand management positions with KLM Royal Dutch Airlines (1995-2000). Ms. Zeegers began her career at Unilever PLC in The Netherlands, where she served in various marketing and sales positions of progressive responsibility. Ms. Zeegers holds a Masters Degree in Marketing from the Dutch Institute of Marketing and a Masters Degree in German Literature from Free University Amsterdam. She serves as a board member of The AHA Foundation, a nonprofit organization dedicated to the defense of women’s rights; a board member of the Full Story Foundation, a nonprofit educational organization; and a member of the advisory board of the Qiddiya Project, part of the Crown Prince of Saudi Arabia’s “Vision 2030.” She is regularly invited by educational and business organizations to speak on “Doing Business in Foreign Cultures” and was the 2014 recipient of the Most Powerful &amp; Influential Women Award from the National Diversity Council.</w:t>
      </w:r>
    </w:p>
    <w:p>
      <w:pPr>
        <w:spacing w:after="0" w:line="138"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Director qualifications: leadership and executive management experience; broad business and strategically relevant experience; financial experience; personnel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 age and position of each of the persons serving as our executive officers as of December 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9"/>
        </w:trPr>
        <w:tc>
          <w:tcPr>
            <w:tcW w:w="35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0" w:type="dxa"/>
            <w:vAlign w:val="bottom"/>
            <w:tcBorders>
              <w:top w:val="single" w:sz="8" w:color="auto"/>
            </w:tcBorders>
          </w:tcPr>
          <w:p>
            <w:pPr>
              <w:spacing w:after="0"/>
              <w:rPr>
                <w:sz w:val="3"/>
                <w:szCs w:val="3"/>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Phillip E. Cohen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Strategy, M&amp;A and Funding Officer</w:t>
            </w: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Francisco J. Kuthy Saenger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Latin America Pawn</w:t>
            </w: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Blair Powell, Jr.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U.S. Pawn</w:t>
            </w: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Robertson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Information Officer</w:t>
            </w: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Nicole Swies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Revenue and Operations Officer</w:t>
            </w: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Set forth below is current biographical information about our executive officers, except for Mr. Cohen and Mr. Kulas, whose biographical information is included under “Board of Directors” above.</w:t>
      </w:r>
    </w:p>
    <w:p>
      <w:pPr>
        <w:spacing w:after="0" w:line="10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Lachlan P. Given </w:t>
      </w:r>
      <w:r>
        <w:rPr>
          <w:rFonts w:ascii="Times New Roman" w:cs="Times New Roman" w:eastAsia="Times New Roman" w:hAnsi="Times New Roman"/>
          <w:sz w:val="18"/>
          <w:szCs w:val="18"/>
          <w:color w:val="auto"/>
        </w:rPr>
        <w:t>— Mr. Given was appointed Chief Strategy, M&amp;A and Funding Officer in September 2020, having served as Chief M&amp;A and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Officer since September 2019. He served as a member of the Board of Directors from July 2014 to September 2019, holding the position of Non-Executive Chairman (July 2014 to August 2014), Executive Vice Chairman (August 2014 to February 2015) and Executive Chairman (February 2015 to September 2019). He also served on the Compensation Committee from July 2014 to April 2019. Mr. Given is the sole beneficial owner of LPG Limited (HK), a business and financial advisory firm, and prior to assuming the role of Executive Vice Chairman of EZCORP, provided international financial and advisory services to a number of companies, including EZCORP from October 2012 to June 2014. Mr. Given has also served as a consultant to Madison Park LLC, which has, in the past, provided certain advisory services to the Company under a series of advisory services agreements. Madison Park is wholly owned by Phillip E. Cohen, who is the beneficial owner of all of our Class B Voting Common Stock. Mr. Given is also a director of The Farm Journal Corporation, a 134-year old pre-eminent U.S. agricultural media company; Senetas Corporation Limited (ASX: SEN), a developer and manufacturer of certified, defense-grade encryption solutions; and CANSTAR Pty Ltd, an Australian financial services ratings and research firm.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on the board of directors of Cash Converters International Limited and Rich Data Corporation PLC.</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Timothy K. Jugmans </w:t>
      </w:r>
      <w:r>
        <w:rPr>
          <w:rFonts w:ascii="Times New Roman" w:cs="Times New Roman" w:eastAsia="Times New Roman" w:hAnsi="Times New Roman"/>
          <w:sz w:val="18"/>
          <w:szCs w:val="18"/>
          <w:color w:val="auto"/>
        </w:rPr>
        <w:t>— Mr. Jugmans was appointed Interim Chief Financial Officer in September 2020, having served as the Company’s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and M&amp;A since December 2016 and as a consultant to EZCORP performing similar duties since March 2015. From January 2015 to December 2016, Mr. Jugmans was a principal of Selene Partners Inc., a financial consulting firm providing strategic advice and other business services to a variety of clients, including the Company</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and Morgan Schiff &amp; Co., Inc. Mr. Jugmans served as the Chief Financial Officer of Morgan Schiff from April 2013 to December 2014, and was Chief Financial Officer of ShippingEasy, Inc. from July 2011 to April 2013. From April 2005 to June 2012, Mr. Jugmans was a Corporate Advisor at Lexicon Partners Pty Limited, an independent corporate advisory and consulting firm based in Sydney, Australia. He served in various analyst and senior analyst positions at boutique investment banks for seven years prior to that. Mr. Jugmans received a Bachelor of Business degree with a major in Finance and a minor in Mathematics from the University of Technology in Sydney. He serves as a non-executive board member of Ratecity Pty Ltd., which operates one of Australia’s leading financial comparison sites.</w:t>
      </w:r>
    </w:p>
    <w:p>
      <w:pPr>
        <w:spacing w:after="0" w:line="13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Francisco J. Kuthy Saenger </w:t>
      </w:r>
      <w:r>
        <w:rPr>
          <w:rFonts w:ascii="Times New Roman" w:cs="Times New Roman" w:eastAsia="Times New Roman" w:hAnsi="Times New Roman"/>
          <w:sz w:val="17"/>
          <w:szCs w:val="17"/>
          <w:color w:val="auto"/>
        </w:rPr>
        <w:t>— Mr. Kuthy joined EZCORP in November 2013 as Senior Vice President of Operations for our Mexico Pawn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Empeño Fácil; was promoted to General Manager of that business in May 2014; and was promoted to President, Latin America Pawn in March 2019 with managerial responsibility for all of our pawn businesses in Latin America. Prior to joining EZCORP, Mr. Kuthy spent over three years (May 2010 to November 2013) as General Manager of Farmacias Dermatologicas, S.A. de C.V., Mexico’s leading retailer of dermatology and derma-cosmetic consumer products; and six years with Comercial Mexicana, a large retail chain in Mexico, serving as Chief Operating Officer Bodega Comercial Mexicana (2006 to 2010) and District Manager Comercial Mexicana Bajio (May 2004 to 2006). Mr. Kuthy held previous positions in business development, sales administration, operations and field management with Bachoco, S.A. de C.V. (1997 to 2004), Sabritas, S.A. de C.V. (1997) and Wal-Mart’s Mexican subsidiary (1989 to 1997). Mr. Kuthy received a Bachelor of Arts degree in Economics and an MBA from the Instituto Tecnológico Autónomo de México.</w:t>
      </w:r>
    </w:p>
    <w:p>
      <w:pPr>
        <w:spacing w:after="0" w:line="19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John Blair Powell, Jr. </w:t>
      </w:r>
      <w:r>
        <w:rPr>
          <w:rFonts w:ascii="Times New Roman" w:cs="Times New Roman" w:eastAsia="Times New Roman" w:hAnsi="Times New Roman"/>
          <w:sz w:val="18"/>
          <w:szCs w:val="18"/>
          <w:color w:val="auto"/>
        </w:rPr>
        <w:t>— Mr. Powell serves as President, U.S. Pawn with managerial responsibility for all of our pawn operations in the U.S. He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to that position in September 2020. Mr. Powell joined EZCORP in 1989 as a pawnbroker in Houston, Texas. During his 31-year tenure at EZCORP, he as held all field level positions, from store level to multi-unit management positions, including Regional Director of Operations. He moved into Operations at the Corporate Support Center in 2000 and has been our top Operations Administration executive for the last 13 years, most recently serving as Chief Customer Service Officer for all of our global pawn businesses. Mr. Powell attended Sam Houston State University.</w:t>
      </w:r>
    </w:p>
    <w:p>
      <w:pPr>
        <w:spacing w:after="0" w:line="21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Keith Robertson </w:t>
      </w:r>
      <w:r>
        <w:rPr>
          <w:rFonts w:ascii="Times New Roman" w:cs="Times New Roman" w:eastAsia="Times New Roman" w:hAnsi="Times New Roman"/>
          <w:sz w:val="18"/>
          <w:szCs w:val="18"/>
          <w:color w:val="auto"/>
        </w:rPr>
        <w:t>— Mr. Robertson joined EZCORP in October 2018 as Senior Vice President, Global IT and New Ventures, and was promoted to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Officer in November 2019. Prior to joining EZCORP, Mr. Robertson spent seven years at AIG, working on a global transformation of the IT systems, facilities and workforce. From 1989 until 2011, Mr. Robertson worked at EDS/HP, last serving as the Chief Operating Officer for the Financial Services division, where he led IT programs supporting Bank of America, American Express, State Farm and others. Mr. Robertson grew up in Scotland and attended Heriot-Watt University in Edinburgh, where he graduated with an Honors degree in Electrical and Electronic Engineering.</w:t>
      </w:r>
    </w:p>
    <w:p>
      <w:pPr>
        <w:spacing w:after="0" w:line="210"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Nicole Swies — </w:t>
      </w:r>
      <w:r>
        <w:rPr>
          <w:rFonts w:ascii="Times New Roman" w:cs="Times New Roman" w:eastAsia="Times New Roman" w:hAnsi="Times New Roman"/>
          <w:sz w:val="17"/>
          <w:szCs w:val="17"/>
          <w:color w:val="auto"/>
        </w:rPr>
        <w:t>Ms. Swies was named Chief Revenue and Operations Officer in September 2020. She joined EZCORP in November 2002 as a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Analyst and has worked in various finance and analytics positions primarily supporting operations in the U.S. and Latin America pawn segments and the legacy Financial Services businesses. Ms. Swies is a member of the Community Advisory Council for the Ronald McDonald House Charities of Central Texas and serves on the finance committee of ConnectHer, a global non-profit organization dedicated to improving the lives of women and girls through projects, stories and film. She earned her Bachelor of Business Administration in finance from the University of Texas at Austin.</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Thomas H. Welch, Jr. </w:t>
      </w:r>
      <w:r>
        <w:rPr>
          <w:rFonts w:ascii="Times New Roman" w:cs="Times New Roman" w:eastAsia="Times New Roman" w:hAnsi="Times New Roman"/>
          <w:sz w:val="18"/>
          <w:szCs w:val="18"/>
          <w:color w:val="auto"/>
        </w:rPr>
        <w:t>— Mr. Welch joined EZCORP in April 2009 as Senior Vice President, General Counsel and Secretary, with his title changing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Legal Officer and Secretary in May 2017. He joined Dell Inc.’s legal department in 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Company), and previously was a shareholder with the law firm of Johnson &amp; Gibbs, P.C., Dallas, Texas. Mr. Welch received a Bachelor of Science degree in Management from Purdue University and a J.D. degree from the University of Texas at Austin.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written representations and a review of the relevant Forms 3, 4 and 5, during fiscal 2020, all persons subject to Section 16 of the Securities Exchange Act of 1934 with respect to EZCORP timely filed all reports required by Section 16(a) of the Securities Exchange Act, except for the following: In December 2019, we inadvertently missed the 48-hour filing deadline applicable to Forms 4 reporting the vesting of restricted stock units (and related withholding of shares to cover tax liability) for our Executive Officers. That error was discovered within a few days, and all of the required Forms 4 (which were due to be filed on December 9, 2019) were filed on or before December 16, 2019.</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Code of Conduct that is applicable to all of our team members,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Controlled Company Exemptions </w:t>
      </w:r>
      <w:r>
        <w:rPr>
          <w:rFonts w:ascii="Times New Roman" w:cs="Times New Roman" w:eastAsia="Times New Roman" w:hAnsi="Times New Roman"/>
          <w:sz w:val="18"/>
          <w:szCs w:val="18"/>
          <w:color w:val="auto"/>
        </w:rPr>
        <w:t>— The Nasdaq Listing Rules contain several corporate governance requirements for Nasdaq-listed companies.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generally relate to the composition of the board and its committees. For example, the rules require the following:</w:t>
      </w:r>
    </w:p>
    <w:p>
      <w:pPr>
        <w:spacing w:after="0" w:line="10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directors must be independent (Rule 5605(b)(1));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must have a least three members, each of whom must be independent (Rule 5605(c)(2));</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solely by MS Pawn Limited Partnership and beneficially by Phillip E. Cohen.</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relied on the Controlled Company exemptions in the past, but with the reconstitution of the Board of Directors and Board committees in April and May 2019, is not currently relying on such exemptions. The controlling shareholder or the Board may implement changes in the future that would again require the Company to rely on the Controlled Company exemptions under the Nasdaq Listing Rules.</w:t>
      </w:r>
    </w:p>
    <w:p>
      <w:pPr>
        <w:spacing w:after="0" w:line="12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Committees of the Board of Directors — </w:t>
      </w:r>
      <w:r>
        <w:rPr>
          <w:rFonts w:ascii="Times New Roman" w:cs="Times New Roman" w:eastAsia="Times New Roman" w:hAnsi="Times New Roman"/>
          <w:sz w:val="18"/>
          <w:szCs w:val="18"/>
          <w:color w:val="auto"/>
        </w:rPr>
        <w:t>The Board of Directors maintains the following committees to assist it in its oversight responsibilities.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 of each committee is indicated in the list of directors set forth under “Board of Directors” above.</w:t>
      </w:r>
    </w:p>
    <w:p>
      <w:pPr>
        <w:spacing w:after="0" w:line="102" w:lineRule="exact"/>
        <w:rPr>
          <w:sz w:val="20"/>
          <w:szCs w:val="20"/>
          <w:color w:val="auto"/>
        </w:rPr>
      </w:pPr>
    </w:p>
    <w:p>
      <w:pPr>
        <w:ind w:left="660" w:right="20" w:hanging="328"/>
        <w:spacing w:after="0" w:line="275" w:lineRule="auto"/>
        <w:tabs>
          <w:tab w:leader="none" w:pos="655"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Audit Committee assists the Board in fulfilling its responsibility to provide oversight with respect to our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and reports and other disclosures provided to stockholders, the system of internal controls, the audit process and legal and ethical compliance. Its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and appraising our financial reporting activities and the accounting standards and principles followed. The Audit Committee also selects, engages, compensates and oversees our independent auditor and pre-approves all services to be performed by the independent auditing firm.</w:t>
      </w:r>
    </w:p>
    <w:p>
      <w:pPr>
        <w:spacing w:after="0" w:line="118" w:lineRule="exact"/>
        <w:rPr>
          <w:rFonts w:ascii="Times New Roman" w:cs="Times New Roman" w:eastAsia="Times New Roman" w:hAnsi="Times New Roman"/>
          <w:sz w:val="17"/>
          <w:szCs w:val="17"/>
          <w:b w:val="1"/>
          <w:bCs w:val="1"/>
          <w:color w:val="auto"/>
        </w:rPr>
      </w:pPr>
    </w:p>
    <w:p>
      <w:pPr>
        <w:ind w:left="660" w:right="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Audit Committee has further responsibility for overseeing our risk management and compliance processes. In carrying out that responsibility, the Audit Committee ensures that adequate policies and procedures have been designed and implemented to (a) manage and monitor significant risks the Company faces, including financial, operational, security, IT and cybersecurity, legal, compliance and regulatory risks; and (b) assure compliance with all applicable laws and regulations, including data privacy requirements.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Audit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Appel, Chair of the committee, is a “financial expert” within the meaning of the current rules of the SEC.</w:t>
      </w:r>
    </w:p>
    <w:p>
      <w:pPr>
        <w:spacing w:after="0" w:line="127" w:lineRule="exact"/>
        <w:rPr>
          <w:sz w:val="20"/>
          <w:szCs w:val="20"/>
          <w:color w:val="auto"/>
        </w:rPr>
      </w:pPr>
    </w:p>
    <w:p>
      <w:pPr>
        <w:ind w:left="660" w:right="20" w:hanging="328"/>
        <w:spacing w:after="0" w:line="254"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People and Compensation Committee — </w:t>
      </w:r>
      <w:r>
        <w:rPr>
          <w:rFonts w:ascii="Times New Roman" w:cs="Times New Roman" w:eastAsia="Times New Roman" w:hAnsi="Times New Roman"/>
          <w:sz w:val="18"/>
          <w:szCs w:val="18"/>
          <w:color w:val="auto"/>
        </w:rPr>
        <w:t>The People and Compensation Committee has the primary responsibility of reviewing, analyzing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approving, on behalf of the Board, executive compensation and organizational development matters, and otherwise assisting the Board in its overall responsibility to enable the Company to attract, retain, develop and motivate qualified executives and employees who will contribute to our long-term success. Specific responsibilities and duties include assisting management and the Board in identifying, developing and evaluating potential candidates for senior executive positions; overseeing the development of succession plans for senior executive positions; reviewing and approving the amounts and types of compensation to be paid to our executive officers; reviewing and recommending to the full Board the amount and type of compensation to be paid to our non-employee directors; reviewing and approving, on behalf of the Board, all bonus and equity compensation to be paid to our other team members; and advising management with respect to the quality of the workforce to carry out our strategic goals. The People and Compensation Committee is comprised entirely of directors who satisfy the standards of independence described under “Part III, Item 13 — Certain Relationships and Related Transactions, and Director Independence — Director Independence.”</w:t>
      </w:r>
    </w:p>
    <w:p>
      <w:pPr>
        <w:spacing w:after="0" w:line="131"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Nominating Committee — </w:t>
      </w:r>
      <w:r>
        <w:rPr>
          <w:rFonts w:ascii="Times New Roman" w:cs="Times New Roman" w:eastAsia="Times New Roman" w:hAnsi="Times New Roman"/>
          <w:sz w:val="18"/>
          <w:szCs w:val="18"/>
          <w:color w:val="auto"/>
        </w:rPr>
        <w:t>The Nominating Committee assists the Board with respect to the selection and nomination of candidates for election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to the Board, including making recommendations to the Board regarding the size and composition of the Board and its committees; recommending to the Board the qualifications needed or required of Board members; identifying and evaluating qualified individuals to become Board members; making recommendations to the full Board regarding the nomination of appropriate candidates; and assessing and monitoring each continuing and prospective director’s independence and qualification to serve on the Board and its committees. The Nominating Committee is comprised entirely of directors who satisfy the standards of independence described under “Part III, Item 13 — Certain Relationships and Related Transactions, and Director Independence — Director Independence.”</w:t>
      </w:r>
    </w:p>
    <w:p>
      <w:pPr>
        <w:spacing w:after="0" w:line="13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Each of three standing committees is governed by a written charter, a copy of which can be found in the Investor Relations section of our website at www.ezcorp.com.</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Meetings and Attendance </w:t>
      </w:r>
      <w:r>
        <w:rPr>
          <w:rFonts w:ascii="Times New Roman" w:cs="Times New Roman" w:eastAsia="Times New Roman" w:hAnsi="Times New Roman"/>
          <w:sz w:val="18"/>
          <w:szCs w:val="18"/>
          <w:color w:val="auto"/>
        </w:rPr>
        <w:t>— The following table sets forth the number of meetings held during fiscal 2020 by the Board of Directors and each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as well as the number of times during the year that action was taken by unanimous written consent. Our bylaws currently require the unanimous attendance of all directors in order for a quorum to be present at a meeting of the Board of Directors. In addition to the number of official Board meetings noted below, the Board of Directors also held 15 other meetings that were not considered official meetings due to the absence of a quorum. Those meetings were sometimes followed by a unanimous written consent approving the matters that were the subject of the discussions.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directors attended at least 75% of the meetings of the Board and of the committees on which they served.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0" w:type="dxa"/>
            <w:vAlign w:val="bottom"/>
          </w:tcPr>
          <w:p>
            <w:pPr>
              <w:spacing w:after="0"/>
              <w:rPr>
                <w:sz w:val="1"/>
                <w:szCs w:val="1"/>
                <w:color w:val="auto"/>
              </w:rPr>
            </w:pPr>
          </w:p>
        </w:tc>
      </w:tr>
      <w:tr>
        <w:trPr>
          <w:trHeight w:val="133"/>
        </w:trPr>
        <w:tc>
          <w:tcPr>
            <w:tcW w:w="7940" w:type="dxa"/>
            <w:vAlign w:val="bottom"/>
          </w:tcPr>
          <w:p>
            <w:pPr>
              <w:spacing w:after="0"/>
              <w:rPr>
                <w:sz w:val="11"/>
                <w:szCs w:val="11"/>
                <w:color w:val="auto"/>
              </w:rPr>
            </w:pPr>
          </w:p>
        </w:tc>
        <w:tc>
          <w:tcPr>
            <w:tcW w:w="12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Meetings Held</w:t>
            </w:r>
          </w:p>
        </w:tc>
        <w:tc>
          <w:tcPr>
            <w:tcW w:w="2040" w:type="dxa"/>
            <w:vAlign w:val="bottom"/>
          </w:tcPr>
          <w:p>
            <w:pPr>
              <w:jc w:val="center"/>
              <w:ind w:left="158"/>
              <w:spacing w:after="0" w:line="134" w:lineRule="exact"/>
              <w:rPr>
                <w:sz w:val="20"/>
                <w:szCs w:val="20"/>
                <w:color w:val="auto"/>
              </w:rPr>
            </w:pPr>
            <w:r>
              <w:rPr>
                <w:rFonts w:ascii="Times New Roman" w:cs="Times New Roman" w:eastAsia="Times New Roman" w:hAnsi="Times New Roman"/>
                <w:sz w:val="14"/>
                <w:szCs w:val="14"/>
                <w:b w:val="1"/>
                <w:bCs w:val="1"/>
                <w:color w:val="auto"/>
              </w:rPr>
              <w:t>Action by Unanimous</w:t>
            </w:r>
          </w:p>
        </w:tc>
        <w:tc>
          <w:tcPr>
            <w:tcW w:w="0" w:type="dxa"/>
            <w:vAlign w:val="bottom"/>
          </w:tcPr>
          <w:p>
            <w:pPr>
              <w:spacing w:after="0"/>
              <w:rPr>
                <w:sz w:val="1"/>
                <w:szCs w:val="1"/>
                <w:color w:val="auto"/>
              </w:rPr>
            </w:pPr>
          </w:p>
        </w:tc>
      </w:tr>
      <w:tr>
        <w:trPr>
          <w:trHeight w:val="189"/>
        </w:trPr>
        <w:tc>
          <w:tcPr>
            <w:tcW w:w="794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rPr>
              <w:t>Written Consent</w:t>
            </w:r>
          </w:p>
        </w:tc>
        <w:tc>
          <w:tcPr>
            <w:tcW w:w="0" w:type="dxa"/>
            <w:vAlign w:val="bottom"/>
          </w:tcPr>
          <w:p>
            <w:pPr>
              <w:spacing w:after="0"/>
              <w:rPr>
                <w:sz w:val="1"/>
                <w:szCs w:val="1"/>
                <w:color w:val="auto"/>
              </w:rPr>
            </w:pPr>
          </w:p>
        </w:tc>
      </w:tr>
      <w:tr>
        <w:trPr>
          <w:trHeight w:val="34"/>
        </w:trPr>
        <w:tc>
          <w:tcPr>
            <w:tcW w:w="7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24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10</w:t>
            </w:r>
          </w:p>
        </w:tc>
        <w:tc>
          <w:tcPr>
            <w:tcW w:w="204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24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10</w:t>
            </w:r>
          </w:p>
        </w:tc>
        <w:tc>
          <w:tcPr>
            <w:tcW w:w="2040" w:type="dxa"/>
            <w:vAlign w:val="bottom"/>
          </w:tcPr>
          <w:p>
            <w:pPr>
              <w:jc w:val="center"/>
              <w:ind w:left="158"/>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and Compensation Committee</w:t>
            </w:r>
          </w:p>
        </w:tc>
        <w:tc>
          <w:tcPr>
            <w:tcW w:w="124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19</w:t>
            </w:r>
          </w:p>
        </w:tc>
        <w:tc>
          <w:tcPr>
            <w:tcW w:w="204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Committee</w:t>
            </w:r>
          </w:p>
        </w:tc>
        <w:tc>
          <w:tcPr>
            <w:tcW w:w="124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88"/>
              </w:rPr>
              <w:t>4</w:t>
            </w:r>
          </w:p>
        </w:tc>
        <w:tc>
          <w:tcPr>
            <w:tcW w:w="2040" w:type="dxa"/>
            <w:vAlign w:val="bottom"/>
          </w:tcPr>
          <w:p>
            <w:pPr>
              <w:jc w:val="center"/>
              <w:ind w:left="158"/>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during fiscal 2020, the Board formed a Share Buyback Committee for the purpose of reviewing and approving the Company’s share repurchase plans. That committee met a total of three times between December 2020 and March 2020, when we suspended share repurchase activity.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 EXECUTIVE COMPENSATION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t>This Compensation Discussion and Analysis describes our compensation practices and the executive compensation policies, decisions and actions of the People and Compensation Committee of our Board of Directors (the “Committee”). It focuses specifically on compensation earned during fiscal 2020 by the following individuals, referred to as our Named Executive Officers.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5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9"/>
        </w:trPr>
        <w:tc>
          <w:tcPr>
            <w:tcW w:w="3640" w:type="dxa"/>
            <w:vAlign w:val="bottom"/>
          </w:tcPr>
          <w:p>
            <w:pPr>
              <w:spacing w:after="0"/>
              <w:rPr>
                <w:sz w:val="3"/>
                <w:szCs w:val="3"/>
                <w:color w:val="auto"/>
              </w:rPr>
            </w:pPr>
          </w:p>
        </w:tc>
        <w:tc>
          <w:tcPr>
            <w:tcW w:w="7540" w:type="dxa"/>
            <w:vAlign w:val="bottom"/>
          </w:tcPr>
          <w:p>
            <w:pPr>
              <w:spacing w:after="0"/>
              <w:rPr>
                <w:sz w:val="3"/>
                <w:szCs w:val="3"/>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 (1)</w:t>
            </w:r>
          </w:p>
        </w:tc>
        <w:tc>
          <w:tcPr>
            <w:tcW w:w="754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 (2)</w:t>
            </w:r>
          </w:p>
        </w:tc>
        <w:tc>
          <w:tcPr>
            <w:tcW w:w="7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754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7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Chief Strategy, M&amp;A and Funding Officer</w:t>
            </w: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754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I. Grimshaw (3)</w:t>
            </w:r>
          </w:p>
        </w:tc>
        <w:tc>
          <w:tcPr>
            <w:tcW w:w="7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Former Chief Executive Officer</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 (4)</w:t>
            </w:r>
          </w:p>
        </w:tc>
        <w:tc>
          <w:tcPr>
            <w:tcW w:w="754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Former Chief Financial Officer</w:t>
            </w:r>
          </w:p>
        </w:tc>
      </w:tr>
    </w:tbl>
    <w:p>
      <w:pPr>
        <w:spacing w:after="0" w:line="126"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Kulas joined the Company as President and Chief Financial Officer effective February 28, 2020, and was promoted to Chief Executive Officer effective July 6, 2020.</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Jugmans was appointed Interim Chief Financial Officer effective September 1, 2020. Prior to this appointment, he served as Vice President of Finance, Treasury and M&amp;A.</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Grimshaw served as Chief Executive Officer in fiscal 2020 until July 6, 2020, when he relinquished that position.</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Chism served as Chief Financial Officer in fiscal 2020 until February 28, 2020, when his employment with the Company terminated.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Program Design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Philosophy and Goals </w:t>
      </w:r>
      <w:r>
        <w:rPr>
          <w:rFonts w:ascii="Times New Roman" w:cs="Times New Roman" w:eastAsia="Times New Roman" w:hAnsi="Times New Roman"/>
          <w:sz w:val="18"/>
          <w:szCs w:val="18"/>
          <w:color w:val="auto"/>
        </w:rPr>
        <w:t>— Our executive compensation philosophy is grounded on three clearly articulated fundamental principles:</w:t>
      </w:r>
    </w:p>
    <w:p>
      <w:pPr>
        <w:spacing w:after="0" w:line="171" w:lineRule="exact"/>
        <w:rPr>
          <w:sz w:val="20"/>
          <w:szCs w:val="20"/>
          <w:color w:val="auto"/>
        </w:rPr>
      </w:pPr>
    </w:p>
    <w:p>
      <w:pPr>
        <w:ind w:left="660" w:right="160" w:hanging="328"/>
        <w:spacing w:after="0" w:line="281" w:lineRule="auto"/>
        <w:tabs>
          <w:tab w:leader="none" w:pos="65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Attract and retain high performers — </w:t>
      </w:r>
      <w:r>
        <w:rPr>
          <w:rFonts w:ascii="Times New Roman" w:cs="Times New Roman" w:eastAsia="Times New Roman" w:hAnsi="Times New Roman"/>
          <w:sz w:val="17"/>
          <w:szCs w:val="17"/>
          <w:color w:val="auto"/>
        </w:rPr>
        <w:t>We want to build and maintain an organization that achieves consistently high results. Therefore, we strive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pay at levels that will attract and retain high quality executives capable of sustaining high levels of performance and willing to be accountable for the achievement of results. In line with our philosophy of paying above market for market leading performance, a majority of executive compensation is in the form of incentives that are at risk, but offer significantly higher rewards for the achievement of outstanding results.</w:t>
      </w:r>
    </w:p>
    <w:p>
      <w:pPr>
        <w:spacing w:after="0" w:line="110" w:lineRule="exact"/>
        <w:rPr>
          <w:rFonts w:ascii="Times New Roman" w:cs="Times New Roman" w:eastAsia="Times New Roman" w:hAnsi="Times New Roman"/>
          <w:sz w:val="17"/>
          <w:szCs w:val="17"/>
          <w:color w:val="auto"/>
        </w:rPr>
      </w:pPr>
    </w:p>
    <w:p>
      <w:pPr>
        <w:ind w:left="660" w:hanging="328"/>
        <w:spacing w:after="0" w:line="26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 long-term interests of our shareholders and executives — </w:t>
      </w:r>
      <w:r>
        <w:rPr>
          <w:rFonts w:ascii="Times New Roman" w:cs="Times New Roman" w:eastAsia="Times New Roman" w:hAnsi="Times New Roman"/>
          <w:sz w:val="18"/>
          <w:szCs w:val="18"/>
          <w:color w:val="auto"/>
        </w:rPr>
        <w:t>Executives should be compensated through compensation components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short- and long-term incentives) designed to drive sustained business performance, build an internal culture of ownership and create long-term value for our shareholders.</w:t>
      </w:r>
    </w:p>
    <w:p>
      <w:pPr>
        <w:spacing w:after="0" w:line="119"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 for performance — </w:t>
      </w:r>
      <w:r>
        <w:rPr>
          <w:rFonts w:ascii="Times New Roman" w:cs="Times New Roman" w:eastAsia="Times New Roman" w:hAnsi="Times New Roman"/>
          <w:sz w:val="18"/>
          <w:szCs w:val="18"/>
          <w:color w:val="auto"/>
        </w:rPr>
        <w:t>We expect diligent effort, unwavering commitment and hard work from our executives, and our compensation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recognize and reward superior results that generate significant shareholder value. Actual realized compensation should reflect Company and individual performance against specific and quantifiable objectives. Executives should be compensated based on achievement of key operational, financial and strategic results. Compensation earned should align with our sustained performance in terms of profitability and shareholder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principles are reflected in the following best-practice features of our executive compensation program:</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586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What We Don’t Do</w:t>
            </w:r>
          </w:p>
        </w:tc>
      </w:tr>
      <w:tr>
        <w:trPr>
          <w:trHeight w:val="39"/>
        </w:trPr>
        <w:tc>
          <w:tcPr>
            <w:tcW w:w="5360" w:type="dxa"/>
            <w:vAlign w:val="bottom"/>
          </w:tcPr>
          <w:p>
            <w:pPr>
              <w:spacing w:after="0"/>
              <w:rPr>
                <w:sz w:val="3"/>
                <w:szCs w:val="3"/>
                <w:color w:val="auto"/>
              </w:rPr>
            </w:pPr>
          </w:p>
        </w:tc>
        <w:tc>
          <w:tcPr>
            <w:tcW w:w="5860" w:type="dxa"/>
            <w:vAlign w:val="bottom"/>
          </w:tcPr>
          <w:p>
            <w:pPr>
              <w:spacing w:after="0"/>
              <w:rPr>
                <w:sz w:val="3"/>
                <w:szCs w:val="3"/>
                <w:color w:val="auto"/>
              </w:rPr>
            </w:pPr>
          </w:p>
        </w:tc>
      </w:tr>
      <w:tr>
        <w:trPr>
          <w:trHeight w:val="230"/>
        </w:trPr>
        <w:tc>
          <w:tcPr>
            <w:tcW w:w="5360" w:type="dxa"/>
            <w:vAlign w:val="bottom"/>
            <w:shd w:val="clear" w:color="auto" w:fill="CCEEFF"/>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Emphasize performance-based variable pay</w:t>
            </w:r>
          </w:p>
        </w:tc>
        <w:tc>
          <w:tcPr>
            <w:tcW w:w="5860" w:type="dxa"/>
            <w:vAlign w:val="bottom"/>
            <w:shd w:val="clear" w:color="auto" w:fill="CCEEFF"/>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Generally no single trigger change-in-control payments</w:t>
            </w:r>
          </w:p>
        </w:tc>
      </w:tr>
      <w:tr>
        <w:trPr>
          <w:trHeight w:val="230"/>
        </w:trPr>
        <w:tc>
          <w:tcPr>
            <w:tcW w:w="536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Link 100% of equity incentive grants to performance goals</w:t>
            </w:r>
          </w:p>
        </w:tc>
        <w:tc>
          <w:tcPr>
            <w:tcW w:w="5860" w:type="dxa"/>
            <w:vAlign w:val="bottom"/>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significant perquisites</w:t>
            </w:r>
          </w:p>
        </w:tc>
      </w:tr>
      <w:tr>
        <w:trPr>
          <w:trHeight w:val="229"/>
        </w:trPr>
        <w:tc>
          <w:tcPr>
            <w:tcW w:w="5360" w:type="dxa"/>
            <w:vAlign w:val="bottom"/>
            <w:shd w:val="clear" w:color="auto" w:fill="CCEEFF"/>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Require stock retention by executives and directors</w:t>
            </w:r>
          </w:p>
        </w:tc>
        <w:tc>
          <w:tcPr>
            <w:tcW w:w="5860" w:type="dxa"/>
            <w:vAlign w:val="bottom"/>
            <w:shd w:val="clear" w:color="auto" w:fill="CCEEFF"/>
          </w:tcPr>
          <w:p>
            <w:pPr>
              <w:ind w:left="5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hedging or pledging of Company stock</w:t>
            </w:r>
          </w:p>
        </w:tc>
      </w:tr>
      <w:tr>
        <w:trPr>
          <w:trHeight w:val="230"/>
        </w:trPr>
        <w:tc>
          <w:tcPr>
            <w:tcW w:w="536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Perform annual risk assessments</w:t>
            </w:r>
          </w:p>
        </w:tc>
        <w:tc>
          <w:tcPr>
            <w:tcW w:w="5860" w:type="dxa"/>
            <w:vAlign w:val="bottom"/>
          </w:tcPr>
          <w:p>
            <w:pPr>
              <w:spacing w:after="0"/>
              <w:rPr>
                <w:sz w:val="19"/>
                <w:szCs w:val="19"/>
                <w:color w:val="auto"/>
              </w:rPr>
            </w:pPr>
          </w:p>
        </w:tc>
      </w:tr>
      <w:tr>
        <w:trPr>
          <w:trHeight w:val="230"/>
        </w:trPr>
        <w:tc>
          <w:tcPr>
            <w:tcW w:w="5360" w:type="dxa"/>
            <w:vAlign w:val="bottom"/>
            <w:shd w:val="clear" w:color="auto" w:fill="CCEEFF"/>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Retain an independent compensation consultant</w:t>
            </w:r>
          </w:p>
        </w:tc>
        <w:tc>
          <w:tcPr>
            <w:tcW w:w="5860" w:type="dxa"/>
            <w:vAlign w:val="bottom"/>
            <w:shd w:val="clear" w:color="auto" w:fill="CCEEFF"/>
          </w:tcPr>
          <w:p>
            <w:pPr>
              <w:spacing w:after="0"/>
              <w:rPr>
                <w:sz w:val="19"/>
                <w:szCs w:val="19"/>
                <w:color w:val="auto"/>
              </w:rPr>
            </w:pPr>
          </w:p>
        </w:tc>
      </w:tr>
      <w:tr>
        <w:trPr>
          <w:trHeight w:val="283"/>
        </w:trPr>
        <w:tc>
          <w:tcPr>
            <w:tcW w:w="536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an incentive clawback policy</w:t>
            </w:r>
          </w:p>
        </w:tc>
        <w:tc>
          <w:tcPr>
            <w:tcW w:w="58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further support our fundamental principles, we have designed our executive compensation programs to accomplish the following primary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863590" cy="53320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63590"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Compensation Components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direct” compensation is composed of three principal components, each one contributing to the accomplishment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program goals:</w:t>
      </w:r>
    </w:p>
    <w:tbl>
      <w:tblPr>
        <w:tblLayout w:type="fixed"/>
        <w:tblInd w:w="0" w:type="dxa"/>
        <w:tblCellMar>
          <w:top w:w="0" w:type="dxa"/>
          <w:left w:w="0" w:type="dxa"/>
          <w:bottom w:w="0" w:type="dxa"/>
          <w:right w:w="0" w:type="dxa"/>
        </w:tblCellMar>
      </w:tblPr>
      <w:tr>
        <w:trPr>
          <w:trHeight w:val="147"/>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90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60" w:type="dxa"/>
            <w:vAlign w:val="bottom"/>
          </w:tcPr>
          <w:p>
            <w:pPr>
              <w:jc w:val="center"/>
              <w:ind w:left="768"/>
              <w:spacing w:after="0" w:line="147" w:lineRule="exact"/>
              <w:rPr>
                <w:sz w:val="20"/>
                <w:szCs w:val="20"/>
                <w:color w:val="auto"/>
              </w:rPr>
            </w:pPr>
            <w:r>
              <w:rPr>
                <w:rFonts w:ascii="Times New Roman" w:cs="Times New Roman" w:eastAsia="Times New Roman" w:hAnsi="Times New Roman"/>
                <w:sz w:val="14"/>
                <w:szCs w:val="14"/>
                <w:b w:val="1"/>
                <w:bCs w:val="1"/>
                <w:color w:val="auto"/>
              </w:rPr>
              <w:t>Attract and</w:t>
            </w:r>
          </w:p>
        </w:tc>
        <w:tc>
          <w:tcPr>
            <w:tcW w:w="11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Pay for</w:t>
            </w:r>
          </w:p>
        </w:tc>
        <w:tc>
          <w:tcPr>
            <w:tcW w:w="11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1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Retain</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Alignment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098030"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34290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46"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6"/>
          <w:szCs w:val="16"/>
          <w:b w:val="1"/>
          <w:bCs w:val="1"/>
          <w:color w:val="auto"/>
        </w:rPr>
        <w:t>Base Salary</w:t>
      </w:r>
      <w:r>
        <w:rPr>
          <w:sz w:val="20"/>
          <w:szCs w:val="20"/>
          <w:color w:val="auto"/>
        </w:rPr>
        <w:tab/>
      </w:r>
      <w:r>
        <w:rPr>
          <w:rFonts w:ascii="Times New Roman" w:cs="Times New Roman" w:eastAsia="Times New Roman" w:hAnsi="Times New Roman"/>
          <w:sz w:val="16"/>
          <w:szCs w:val="16"/>
          <w:color w:val="auto"/>
        </w:rPr>
        <w:t>• A market-competitive salary.</w:t>
      </w:r>
    </w:p>
    <w:p>
      <w:pPr>
        <w:spacing w:after="0" w:line="356"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6"/>
          <w:szCs w:val="16"/>
          <w:b w:val="1"/>
          <w:bCs w:val="1"/>
          <w:color w:val="auto"/>
        </w:rPr>
        <w:t>Short-term Incentives</w:t>
      </w:r>
      <w:r>
        <w:rPr>
          <w:sz w:val="20"/>
          <w:szCs w:val="20"/>
          <w:color w:val="auto"/>
        </w:rPr>
        <w:tab/>
      </w:r>
      <w:r>
        <w:rPr>
          <w:rFonts w:ascii="Times New Roman" w:cs="Times New Roman" w:eastAsia="Times New Roman" w:hAnsi="Times New Roman"/>
          <w:sz w:val="16"/>
          <w:szCs w:val="16"/>
          <w:color w:val="auto"/>
        </w:rPr>
        <w:t>• Annual cash incentive opportunity that is tied to an assessment</w:t>
      </w:r>
    </w:p>
    <w:p>
      <w:pPr>
        <w:spacing w:after="0" w:line="12" w:lineRule="exact"/>
        <w:rPr>
          <w:sz w:val="20"/>
          <w:szCs w:val="20"/>
          <w:color w:val="auto"/>
        </w:rPr>
      </w:pPr>
    </w:p>
    <w:p>
      <w:pPr>
        <w:ind w:left="2320" w:right="60"/>
        <w:spacing w:after="0" w:line="239" w:lineRule="auto"/>
        <w:rPr>
          <w:sz w:val="20"/>
          <w:szCs w:val="20"/>
          <w:color w:val="auto"/>
        </w:rPr>
      </w:pPr>
      <w:r>
        <w:rPr>
          <w:rFonts w:ascii="Times New Roman" w:cs="Times New Roman" w:eastAsia="Times New Roman" w:hAnsi="Times New Roman"/>
          <w:sz w:val="16"/>
          <w:szCs w:val="16"/>
          <w:color w:val="auto"/>
        </w:rPr>
        <w:t>of annual corporate and business unit financial performance, as well as individual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098030" cy="5054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505460"/>
                    </a:xfrm>
                    <a:prstGeom prst="rect">
                      <a:avLst/>
                    </a:prstGeom>
                    <a:noFill/>
                  </pic:spPr>
                </pic:pic>
              </a:graphicData>
            </a:graphic>
          </wp:anchor>
        </w:drawing>
      </w:r>
    </w:p>
    <w:p>
      <w:pPr>
        <w:spacing w:after="0" w:line="215"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6"/>
          <w:szCs w:val="16"/>
          <w:b w:val="1"/>
          <w:bCs w:val="1"/>
          <w:color w:val="auto"/>
        </w:rPr>
        <w:t>Long-term Incentives</w:t>
      </w:r>
      <w:r>
        <w:rPr>
          <w:sz w:val="20"/>
          <w:szCs w:val="20"/>
          <w:color w:val="auto"/>
        </w:rPr>
        <w:tab/>
      </w:r>
      <w:r>
        <w:rPr>
          <w:rFonts w:ascii="Times New Roman" w:cs="Times New Roman" w:eastAsia="Times New Roman" w:hAnsi="Times New Roman"/>
          <w:sz w:val="16"/>
          <w:szCs w:val="16"/>
          <w:color w:val="auto"/>
        </w:rPr>
        <w:t>• Equity incentive grants, including performance-vested restricted</w:t>
      </w:r>
    </w:p>
    <w:p>
      <w:pPr>
        <w:spacing w:after="0" w:line="12" w:lineRule="exact"/>
        <w:rPr>
          <w:sz w:val="20"/>
          <w:szCs w:val="20"/>
          <w:color w:val="auto"/>
        </w:rPr>
      </w:pPr>
    </w:p>
    <w:p>
      <w:pPr>
        <w:ind w:left="2320"/>
        <w:spacing w:after="0" w:line="239" w:lineRule="auto"/>
        <w:rPr>
          <w:sz w:val="20"/>
          <w:szCs w:val="20"/>
          <w:color w:val="auto"/>
        </w:rPr>
      </w:pPr>
      <w:r>
        <w:rPr>
          <w:rFonts w:ascii="Times New Roman" w:cs="Times New Roman" w:eastAsia="Times New Roman" w:hAnsi="Times New Roman"/>
          <w:sz w:val="16"/>
          <w:szCs w:val="16"/>
          <w:color w:val="auto"/>
        </w:rPr>
        <w:t>stock grants tied to achievement of consistent multi-year growth in earnings.</w:t>
      </w:r>
    </w:p>
    <w:p>
      <w:pPr>
        <w:spacing w:after="0" w:line="235"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6"/>
          <w:szCs w:val="16"/>
          <w:b w:val="1"/>
          <w:bCs w:val="1"/>
          <w:color w:val="auto"/>
        </w:rPr>
        <w:t>Executive Retirement</w:t>
      </w:r>
      <w:r>
        <w:rPr>
          <w:sz w:val="20"/>
          <w:szCs w:val="20"/>
          <w:color w:val="auto"/>
        </w:rPr>
        <w:tab/>
      </w:r>
      <w:r>
        <w:rPr>
          <w:rFonts w:ascii="Times New Roman" w:cs="Times New Roman" w:eastAsia="Times New Roman" w:hAnsi="Times New Roman"/>
          <w:sz w:val="16"/>
          <w:szCs w:val="16"/>
          <w:color w:val="auto"/>
        </w:rPr>
        <w:t>• Annual Supplemental Executive Retirement Plan contributions</w:t>
      </w:r>
    </w:p>
    <w:p>
      <w:pPr>
        <w:spacing w:after="0" w:line="12" w:lineRule="exact"/>
        <w:rPr>
          <w:sz w:val="20"/>
          <w:szCs w:val="20"/>
          <w:color w:val="auto"/>
        </w:rPr>
      </w:pPr>
    </w:p>
    <w:p>
      <w:pPr>
        <w:ind w:left="2320" w:right="460"/>
        <w:spacing w:after="0" w:line="239" w:lineRule="auto"/>
        <w:rPr>
          <w:sz w:val="20"/>
          <w:szCs w:val="20"/>
          <w:color w:val="auto"/>
        </w:rPr>
      </w:pPr>
      <w:r>
        <w:rPr>
          <w:rFonts w:ascii="Times New Roman" w:cs="Times New Roman" w:eastAsia="Times New Roman" w:hAnsi="Times New Roman"/>
          <w:sz w:val="16"/>
          <w:szCs w:val="16"/>
          <w:color w:val="auto"/>
        </w:rPr>
        <w:t>that vest over the subsequent three years from the date of contribution.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 </w:t>
      </w:r>
    </w:p>
    <w:p>
      <w:pPr>
        <w:spacing w:after="0" w:line="421" w:lineRule="exact"/>
        <w:rPr>
          <w:sz w:val="20"/>
          <w:szCs w:val="20"/>
          <w:color w:val="auto"/>
        </w:rPr>
      </w:pPr>
    </w:p>
    <w:p>
      <w:pPr>
        <w:sectPr>
          <w:pgSz w:w="11900" w:h="16838" w:orient="portrait"/>
          <w:cols w:equalWidth="0" w:num="2">
            <w:col w:w="6480" w:space="540"/>
            <w:col w:w="4200"/>
          </w:cols>
          <w:pgMar w:left="320" w:top="121" w:right="35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Committee reviews the executive pay mix of base salary, cash bonus and long-term incentives annually. The Committee does not target a fixed percentage allocation among the compensation elements, but rather aims to provide the majority of executive officer compensation opportunities in the form of incentive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Benchmarking and Peer Group Data</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To attract and retain the best executives for key management positions, we provide compensation opportunities that are competitive based on peer group and survey data. We do not target any specific pay percentile for our executive officers. It is important to note, however, that the majority of pay opportunities for our top executives are incentive-based and that actual realizable compensation is heavily dependent upon actual Company results. See “Executive Compensation Philosophy and Program Design” above. Failure to achieve targeted results could result in realized compensation being below the competitive benchmarks. Conversely, our incentive compensation programs provide opportunities for compensation to exceed the competitive benchmarks if specified objectives are achieved at targeted levels or higher. The Committee believes that actual realizable compensation for our top executives is well aligned with our performance.</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the Committee does not set compensation levels for our executive officers based solely on survey or peer group benchmarks, the Committee does regularly refer to external benchmarking data in its deliberations to ensure that the pay opportunities offered to our executives are appropriate in light of our performance relative to our peers. The Committee asks its independent compensation consultant to conduct an annual competitive compensation review to benchmark compensation for our executive officers.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Pearl Meyer &amp; Partners, LLC (“Pearl Meyer”), the Committee’s previous independent compensation consultant, delivered its fiscal 2020 executive compensation report to the Committee in November 2019 in connection with the Committee’s review and evaluation of executive compensation programs and levels for fiscal 2020. For that report, Pearl Meyer collected competitive pay data for a peer group of 12 publicly traded companies.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is only one publicly traded company in the marketplace with which we directly compete, FirstCash, Inc. As a result, the Committee uses a set of similarly sized companies from relevant industries that serve similar customer bases, operate in the retail or consumer finance industries and typically have similar operating dynamics as the Company. The Committee believes this approach appropriately reflects the diverse labor market for executive talent that we compete in and presents a reasonable reference for evaluating the competitiveness of our executive compensation levels and practices.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2020 peer group consisted of the following companies. This is the same peer group that was used for the fiscal 2019 review and analysis.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Peer Company</w:t>
            </w:r>
          </w:p>
        </w:tc>
        <w:tc>
          <w:tcPr>
            <w:tcW w:w="20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Stock Symbol</w:t>
            </w:r>
          </w:p>
        </w:tc>
        <w:tc>
          <w:tcPr>
            <w:tcW w:w="5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Primary Business</w:t>
            </w:r>
          </w:p>
        </w:tc>
      </w:tr>
      <w:tr>
        <w:trPr>
          <w:trHeight w:val="39"/>
        </w:trPr>
        <w:tc>
          <w:tcPr>
            <w:tcW w:w="34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5680" w:type="dxa"/>
            <w:vAlign w:val="bottom"/>
          </w:tcPr>
          <w:p>
            <w:pPr>
              <w:spacing w:after="0"/>
              <w:rPr>
                <w:sz w:val="3"/>
                <w:szCs w:val="3"/>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Aaron’s Inc.</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AAN</w:t>
            </w: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Furnishing Retail</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Cardtronics Plc</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CATM</w:t>
            </w: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Processing and Outsourced Services — Fintech</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Conn’s, Inc.</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CONN</w:t>
            </w: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Computer and Electronics Retail</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Enova</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ENVA</w:t>
            </w: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Finance</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Cash, Inc.</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FCFS</w:t>
            </w: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Finance — Pawn Operator</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Francesca’s Holdings Corporation</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FRAN</w:t>
            </w: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Apparel Retail</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goeasy LTD</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EHMEF</w:t>
            </w: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Finance</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H&amp;R Block, Inc.</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HRB</w:t>
            </w: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Specialized Consumer Services</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MoneyGram International, Inc.</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MGI</w:t>
            </w: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Data Processing and Outsourced Services — Fintech</w:t>
            </w: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Regional Management Corp.</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RM</w:t>
            </w: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Finance</w:t>
            </w: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 Acceptance Corporation</w:t>
            </w:r>
          </w:p>
        </w:tc>
        <w:tc>
          <w:tcPr>
            <w:tcW w:w="20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WRLD</w:t>
            </w: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Finance</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Zumiez Inc.</w:t>
            </w:r>
          </w:p>
        </w:tc>
        <w:tc>
          <w:tcPr>
            <w:tcW w:w="2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ZUMZ</w:t>
            </w: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Apparel Retail</w:t>
            </w:r>
          </w:p>
        </w:tc>
      </w:tr>
    </w:tbl>
    <w:p>
      <w:pPr>
        <w:spacing w:after="0" w:line="2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When the peer group was approved by the Committee, the Company was within an appropriate range of the peers across the primary scoping metrics used to evaluate the peer group, as shown in the following table: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Scoping Metric</w:t>
            </w:r>
          </w:p>
        </w:tc>
        <w:tc>
          <w:tcPr>
            <w:tcW w:w="1980" w:type="dxa"/>
            <w:vAlign w:val="bottom"/>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Peer Group Range ($ in</w:t>
            </w:r>
          </w:p>
        </w:tc>
        <w:tc>
          <w:tcPr>
            <w:tcW w:w="1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Company Positioning</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0" w:type="dxa"/>
            <w:vAlign w:val="bottom"/>
          </w:tcPr>
          <w:p>
            <w:pPr>
              <w:spacing w:after="0"/>
              <w:rPr>
                <w:sz w:val="1"/>
                <w:szCs w:val="1"/>
                <w:color w:val="auto"/>
              </w:rPr>
            </w:pPr>
          </w:p>
        </w:tc>
      </w:t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98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rPr>
              <w:t>$4,252 – $353</w:t>
            </w:r>
          </w:p>
        </w:tc>
        <w:tc>
          <w:tcPr>
            <w:tcW w:w="17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$4,527 – $188</w:t>
            </w:r>
          </w:p>
        </w:tc>
        <w:tc>
          <w:tcPr>
            <w:tcW w:w="17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employees</w:t>
            </w:r>
          </w:p>
        </w:tc>
        <w:tc>
          <w:tcPr>
            <w:tcW w:w="198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9"/>
              </w:rPr>
              <w:t>17,000 – 1,100</w:t>
            </w:r>
          </w:p>
        </w:tc>
        <w:tc>
          <w:tcPr>
            <w:tcW w:w="17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capitalization</w:t>
            </w:r>
          </w:p>
        </w:tc>
        <w:tc>
          <w:tcPr>
            <w:tcW w:w="19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$5,560 – $226</w:t>
            </w:r>
          </w:p>
        </w:tc>
        <w:tc>
          <w:tcPr>
            <w:tcW w:w="17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 supplement peer group data, Pearl Meyer also provided data from a review of published compensation surveys. Survey data reflected compensation rates across a broad group of general industry companies with revenues comparable to ours. Using a survey sample in combination with peer group data (along with the practice of reviewing market quartiles, as opposed to averages) mitigates the impact of outliers, year-over-year volatility of compensation levels and the risk of selection bias.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Observations from Pearl Meyer’s Fiscal 2020 Benchmarking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Pearl Meyer’s fiscal 2020 executive compensation review was substantially consistent with the previous year’s review and generally concluded:</w:t>
      </w:r>
    </w:p>
    <w:p>
      <w:pPr>
        <w:spacing w:after="0" w:line="171" w:lineRule="exact"/>
        <w:rPr>
          <w:sz w:val="20"/>
          <w:szCs w:val="20"/>
          <w:color w:val="auto"/>
        </w:rPr>
      </w:pPr>
    </w:p>
    <w:p>
      <w:pPr>
        <w:jc w:val="both"/>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generally aligned with the market 75th percentile and annual cash incentive opportunities are generally above the 75th percentile, but long-term incentive values fall below the market median, bringing total direct compensation for our executives, at target levels, within the 50th and 75th market percentiles overall (87% of the 75th percentile on average).</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mix of pay for our executives is more heavily weighted toward performance-based incentive pay than the market average, with CEO pay in particular being more heavily performance-based than peer company CEOs.</w:t>
      </w:r>
    </w:p>
    <w:p>
      <w:pPr>
        <w:spacing w:after="0" w:line="107"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short-term incentive opportunities as a percent of salary are generally above the market median, although the upside leverage in our short-term incentive programs is below typical market practice, resulting in a maximum total cash opportunity for our executives that falls just above the market 75th percentile.</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incentive program design is more conservative than market practice due to (a) use of 100% performance-based equity vs. a significant time-vested component at most peer companies and (b) payouts capped at 100% of target vs. typical practice of providing maximum opportunities of 150% to 200% of target.</w:t>
      </w:r>
    </w:p>
    <w:p>
      <w:pPr>
        <w:spacing w:after="0" w:line="12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total direct compensation for our CEO is more heavily performance-based than peers and more heavily weighted toward short-term cash compensation, which places a relatively greater emphasis on producing short-term success. Pearl Meyer observed, however, that the CEO’s overall compensation included a significant long-term component providing balance and longer-term retention value.</w:t>
      </w:r>
    </w:p>
    <w:p>
      <w:pPr>
        <w:spacing w:after="0" w:line="12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total direct compensation for our other executives is similar to the market average in terms of balance between short-term and long-term, but our programs place more emphasis on performance-based pay (short-term and long-term incentive opportunities) relative to the market average.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Compensation and Fiscal 2020 Executive Compensation Actions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consists of four main elements: base salaries, short-term cash incentive opportunities, long-term incentive opportunities (generally paid in the form of equity awards) and other benefits, including healthcare and retirement benefits. Each of these components is discussed in more detail below, along with the significant compensation actions that were taken during or immediately following fiscal 2020. To place those actions in context, it is necessary to understand how the COVID-19 pandemic adversely affected the Company’s business during fiscal 2020 and how that adverse effect impacted the Company’s executive compensation program, particularly the incentive compensation components.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Consideration of the Impact of COVID-19</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discussed in “Part II, Item 7 — Management’s Discussion and Analysis of Financial Condition and Results of Operations — Impact of COVID-19,” we began to see the impact of COVID-19 on our business operations in mid-March when governments started to implement various restrictive measures to contain and slow the spread of the virus. Those measures included mandated closures of non-essential businesses, travel advisories, cancellation of public events, shelter-in-place orders and social distancing and density restrictions. Those measures, and the general public response to the pandemic, created massive unemployment and other economic fallout. In response to that fallout, in late March, Congress enacted the CARES Act, which provided $2.2 trillion of economic stimulus.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we have been successful in keeping most of our stores open through the pandemic, operating as essential businesses, the adverse impact of the global pandemic, including customer behavior in response to the government stimulus actions, has been severe. That impact started in mid-March when we began to see a decline in pawn loan originations and associated loan balances in both the U.S. and Latin America. In the early weeks of the pandemic, the financial impact of the decline in pawn loans outstanding (PLO) was largely offset by a strong increase in merchandise sales, but the precipitous decline in PLO continued through May 2020. PLO balances remained relatively flat at depressed levels until July 2020 and then started to rebuild in August 2020. Increases in pawn service charge (PSC) revenue generally lags the growth in the loan portfolio, with the result that PSC revenue (and related profitability) was significantly depressed through the end of the year.</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Consequently, fiscal 2020 can best be described as a financial year that consisted of two distinct halves: a first half (from October through March) that was largely on track to achieve the financial plan for the year; and a second half (from March through September) defined by actions developed to manage the impact of the COVID-19 pandemic and position the Company for success once the pandemic subsided. The actions taken by management demonstrated the Company’s resilience, while negative financial results in the second half, principally due to the unprecedented decline in PLO balances, overwhelmed the positive results of the first half and resulted in the Company’s significantly missing all of its financial targets for the year. It is important to note that fiscal 2020 financial performance has an impact on all incentive programs that include fiscal 2020 as one of the performance years. These programs include not only the fiscal 2020 short-term incentive bonus program, but also the following outstanding long-term incentive awards:</w:t>
      </w:r>
    </w:p>
    <w:p>
      <w:pPr>
        <w:spacing w:after="0" w:line="133" w:lineRule="exact"/>
        <w:rPr>
          <w:sz w:val="20"/>
          <w:szCs w:val="20"/>
          <w:color w:val="auto"/>
        </w:rPr>
      </w:pPr>
    </w:p>
    <w:p>
      <w:pPr>
        <w:jc w:val="both"/>
        <w:ind w:left="660" w:right="120" w:hanging="328"/>
        <w:spacing w:after="0" w:line="26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Fiscal 2014 award </w:t>
      </w:r>
      <w:r>
        <w:rPr>
          <w:rFonts w:ascii="Times New Roman" w:cs="Times New Roman" w:eastAsia="Times New Roman" w:hAnsi="Times New Roman"/>
          <w:sz w:val="18"/>
          <w:szCs w:val="18"/>
          <w:color w:val="auto"/>
        </w:rPr>
        <w:t>— A six-year award that was granted to Mr. Given in fiscal 2014 in connection with his joining the Company as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last 25% of the award (75,000 shares) was scheduled to vest on September 30, 2020, subject to achievement of cumulative EBITDA growth targets. Fiscal 2020 was the last year of the six-year performance period.</w:t>
      </w:r>
    </w:p>
    <w:p>
      <w:pPr>
        <w:spacing w:after="0" w:line="119" w:lineRule="exact"/>
        <w:rPr>
          <w:rFonts w:ascii="Times New Roman" w:cs="Times New Roman" w:eastAsia="Times New Roman" w:hAnsi="Times New Roman"/>
          <w:sz w:val="18"/>
          <w:szCs w:val="18"/>
          <w:color w:val="auto"/>
        </w:rPr>
      </w:pPr>
    </w:p>
    <w:p>
      <w:pPr>
        <w:ind w:left="660" w:right="440" w:hanging="328"/>
        <w:spacing w:after="0" w:line="26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Fiscal 2018 awards </w:t>
      </w:r>
      <w:r>
        <w:rPr>
          <w:rFonts w:ascii="Times New Roman" w:cs="Times New Roman" w:eastAsia="Times New Roman" w:hAnsi="Times New Roman"/>
          <w:sz w:val="18"/>
          <w:szCs w:val="18"/>
          <w:color w:val="auto"/>
        </w:rPr>
        <w:t>— Three-year awards that were granted to executive officers and key employees in December 2017. The awards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to vest on September 30, 2020, subject to achievement of cumulative EBITDA growth targets. Fiscal 2020 was the last year of the three-year performance period.</w:t>
      </w:r>
    </w:p>
    <w:p>
      <w:pPr>
        <w:spacing w:after="0" w:line="119" w:lineRule="exact"/>
        <w:rPr>
          <w:rFonts w:ascii="Times New Roman" w:cs="Times New Roman" w:eastAsia="Times New Roman" w:hAnsi="Times New Roman"/>
          <w:sz w:val="18"/>
          <w:szCs w:val="18"/>
          <w:color w:val="auto"/>
        </w:rPr>
      </w:pPr>
    </w:p>
    <w:p>
      <w:pPr>
        <w:ind w:left="660" w:right="220" w:hanging="328"/>
        <w:spacing w:after="0" w:line="26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Fiscal 2019 awards </w:t>
      </w:r>
      <w:r>
        <w:rPr>
          <w:rFonts w:ascii="Times New Roman" w:cs="Times New Roman" w:eastAsia="Times New Roman" w:hAnsi="Times New Roman"/>
          <w:sz w:val="18"/>
          <w:szCs w:val="18"/>
          <w:color w:val="auto"/>
        </w:rPr>
        <w:t>— Three-year awards that were granted to executive officers and key employees in December 2018. These awards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to vest on September 30, 2021, subject to achievement of cumulative net income and EPS growth targets. Fiscal 2020 was the second year of the three-year performance period.</w:t>
      </w:r>
    </w:p>
    <w:p>
      <w:pPr>
        <w:spacing w:after="0" w:line="119" w:lineRule="exact"/>
        <w:rPr>
          <w:rFonts w:ascii="Times New Roman" w:cs="Times New Roman" w:eastAsia="Times New Roman" w:hAnsi="Times New Roman"/>
          <w:sz w:val="18"/>
          <w:szCs w:val="18"/>
          <w:color w:val="auto"/>
        </w:rPr>
      </w:pPr>
    </w:p>
    <w:p>
      <w:pPr>
        <w:ind w:left="660" w:right="300" w:hanging="328"/>
        <w:spacing w:after="0" w:line="26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Fiscal 2020 awards </w:t>
      </w:r>
      <w:r>
        <w:rPr>
          <w:rFonts w:ascii="Times New Roman" w:cs="Times New Roman" w:eastAsia="Times New Roman" w:hAnsi="Times New Roman"/>
          <w:sz w:val="18"/>
          <w:szCs w:val="18"/>
          <w:color w:val="auto"/>
        </w:rPr>
        <w:t>— Intended to be three-year awards that vest on September 30, 2022, with fiscal 2020 being the first year of the three-year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As discussed below, the terms of these awards were not finalized before the onset of the global pandemic, and they were never issued.</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the adverse impact of the COVID-19 pandemic, the specified financial performance targets for fiscal 2020 were not achieved, and due to the severity of the impact, the specified financial performance targets for any performance period that includes fiscal 2020 were negatively impacted. Nevertheless, the Committee considered it to be fair and equitable to consider the exogenous nature of the COVID-19 pandemic and the effectiveness of management’s response. In evaluating management’s overall performance during fiscal 2020, the Committee noted the following:</w:t>
      </w:r>
    </w:p>
    <w:p>
      <w:pPr>
        <w:spacing w:after="0" w:line="126" w:lineRule="exact"/>
        <w:rPr>
          <w:sz w:val="20"/>
          <w:szCs w:val="20"/>
          <w:color w:val="auto"/>
        </w:rPr>
      </w:pPr>
    </w:p>
    <w:p>
      <w:pPr>
        <w:ind w:left="660" w:right="60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onset of the COVID-19 pandemic (i.e., through the first half of fiscal 2020), the Company was on track to achieve the EBITDA performance target specified in the fiscal 2020 STI plan and the EBITDA growth targets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660"/>
        <w:spacing w:after="0" w:line="282" w:lineRule="auto"/>
        <w:rPr>
          <w:sz w:val="20"/>
          <w:szCs w:val="20"/>
          <w:color w:val="auto"/>
        </w:rPr>
      </w:pPr>
      <w:r>
        <w:rPr>
          <w:rFonts w:ascii="Times New Roman" w:cs="Times New Roman" w:eastAsia="Times New Roman" w:hAnsi="Times New Roman"/>
          <w:sz w:val="18"/>
          <w:szCs w:val="18"/>
          <w:color w:val="auto"/>
        </w:rPr>
        <w:t>specified in the fiscal 2014 LTI award and the fiscal 2018 awards, and was within 97% of the on-track net income and EPS growth targets specified in the fiscal 2019 LTI awards.</w:t>
      </w:r>
    </w:p>
    <w:p>
      <w:pPr>
        <w:spacing w:after="0" w:line="108" w:lineRule="exact"/>
        <w:rPr>
          <w:sz w:val="20"/>
          <w:szCs w:val="20"/>
          <w:color w:val="auto"/>
        </w:rPr>
      </w:pPr>
    </w:p>
    <w:p>
      <w:pPr>
        <w:ind w:left="660" w:right="34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half of the performance year, management implemented and executed a number of initiatives, some of which were in direct response to the COVID-19 pandemic. Those initiatives and accomplishments included the following:</w:t>
      </w:r>
    </w:p>
    <w:p>
      <w:pPr>
        <w:spacing w:after="0" w:line="10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was successful in having our business deemed an “essential business,” which resulted in our being able to keep virtually all of our U.S. and Mexico stores open throughout the pandemic.</w:t>
      </w:r>
    </w:p>
    <w:p>
      <w:pPr>
        <w:spacing w:after="0" w:line="108"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implemented a comprehensive COVID-19 response framework designed to protect the health and safety of our customers and Team Members.</w:t>
      </w:r>
    </w:p>
    <w:p>
      <w:pPr>
        <w:spacing w:after="0" w:line="108" w:lineRule="exact"/>
        <w:rPr>
          <w:rFonts w:ascii="Times New Roman" w:cs="Times New Roman" w:eastAsia="Times New Roman" w:hAnsi="Times New Roman"/>
          <w:sz w:val="18"/>
          <w:szCs w:val="18"/>
          <w:color w:val="auto"/>
        </w:rPr>
      </w:pPr>
    </w:p>
    <w:p>
      <w:pPr>
        <w:ind w:left="1300" w:right="480" w:hanging="320"/>
        <w:spacing w:after="0" w:line="245"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tested innovative solutions to counter the impact of the pandemic, including curbside pawn to address in-store density restrictions and provide a more convenient alternative for customers and digital marketing strategies to attract more customers. In addition, we made progress toward tests for online shopping to provide customers a shopping experience with a reduced physical interaction and for Buy Now-Pay Later to promote sales.</w:t>
      </w:r>
    </w:p>
    <w:p>
      <w:pPr>
        <w:spacing w:after="0" w:line="126" w:lineRule="exact"/>
        <w:rPr>
          <w:rFonts w:ascii="Times New Roman" w:cs="Times New Roman" w:eastAsia="Times New Roman" w:hAnsi="Times New Roman"/>
          <w:sz w:val="18"/>
          <w:szCs w:val="18"/>
          <w:color w:val="auto"/>
        </w:rPr>
      </w:pPr>
    </w:p>
    <w:p>
      <w:pPr>
        <w:ind w:left="1300" w:right="30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refocused our corporate strategy on our core pawn businesses in the U.S. and Latin America, with an emphasis on store-level operating performance and return on invested capital.</w:t>
      </w:r>
    </w:p>
    <w:p>
      <w:pPr>
        <w:spacing w:after="0" w:line="108" w:lineRule="exact"/>
        <w:rPr>
          <w:rFonts w:ascii="Times New Roman" w:cs="Times New Roman" w:eastAsia="Times New Roman" w:hAnsi="Times New Roman"/>
          <w:sz w:val="18"/>
          <w:szCs w:val="18"/>
          <w:color w:val="auto"/>
        </w:rPr>
      </w:pPr>
    </w:p>
    <w:p>
      <w:pPr>
        <w:ind w:left="1300" w:right="6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July and continuing to date, management has significantly right-sized the Company’s cost base, with particular focus on the Executive Committee and Corporate Support Office, where more than $12 million in annualized costs have been eliminated.</w:t>
      </w:r>
    </w:p>
    <w:p>
      <w:pPr>
        <w:spacing w:after="0" w:line="108"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strengthened the overall effectiveness of the team by restructuring positions, reducing overall size and ensuring that the right people are in the right roles at all levels of the Company.</w:t>
      </w:r>
    </w:p>
    <w:p>
      <w:pPr>
        <w:spacing w:after="0" w:line="108" w:lineRule="exact"/>
        <w:rPr>
          <w:rFonts w:ascii="Times New Roman" w:cs="Times New Roman" w:eastAsia="Times New Roman" w:hAnsi="Times New Roman"/>
          <w:sz w:val="18"/>
          <w:szCs w:val="18"/>
          <w:color w:val="auto"/>
        </w:rPr>
      </w:pPr>
    </w:p>
    <w:p>
      <w:pPr>
        <w:ind w:left="1300" w:hanging="320"/>
        <w:spacing w:after="0" w:line="245"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rolled out a new pawn operating model, which seeks to provide a better balance of assets by improving the overall return on earning assets (ROEA) and net revenue across the U.S. and Latin America. This new model is designed to significantly improve lending practices at the loan counter and increase inventory turns, which will yield benefits in cash flow, net revenue, earnings and ROEA across the store base.</w:t>
      </w:r>
    </w:p>
    <w:p>
      <w:pPr>
        <w:spacing w:after="0" w:line="1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pursue attractive acquisition opportunities in both the U.S. and Mexico.</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strong balance sheet and liquidity position.</w:t>
      </w:r>
    </w:p>
    <w:p>
      <w:pPr>
        <w:spacing w:after="0" w:line="157"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established a fiscal 2021 budget within a business recovery framework, which the Company will execute with a right-sized organization.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primary objective with respect to base salary levels is to provide sufficient fixed cash income to retain and attract experienced leaders in a competitive market for executive talent. The base salaries of our executive officers are reviewed and adjusted (if appropriate) annually to reflect, among other things, individual performance, base salaries for comparable positions from a review of market data discussed previously, experience in role, economic conditions and internal equity.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for each Named Executive Officer, the base salaries that were in effect for fiscal 2020 and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580" w:type="dxa"/>
            <w:vAlign w:val="bottom"/>
          </w:tcPr>
          <w:p>
            <w:pPr>
              <w:spacing w:after="0"/>
              <w:rPr>
                <w:sz w:val="13"/>
                <w:szCs w:val="13"/>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2020 Base</w:t>
            </w:r>
          </w:p>
        </w:tc>
        <w:tc>
          <w:tcPr>
            <w:tcW w:w="340" w:type="dxa"/>
            <w:vAlign w:val="bottom"/>
          </w:tcPr>
          <w:p>
            <w:pPr>
              <w:spacing w:after="0"/>
              <w:rPr>
                <w:sz w:val="13"/>
                <w:szCs w:val="13"/>
                <w:color w:val="auto"/>
              </w:rPr>
            </w:pPr>
          </w:p>
        </w:tc>
        <w:tc>
          <w:tcPr>
            <w:tcW w:w="14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Fiscal 2019 Base</w:t>
            </w:r>
          </w:p>
        </w:tc>
        <w:tc>
          <w:tcPr>
            <w:tcW w:w="130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vMerge w:val="continue"/>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 (1)</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850,000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 (2)</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228,769</w:t>
            </w: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62%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1,500,000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1,500,000</w:t>
            </w:r>
          </w:p>
        </w:tc>
        <w:tc>
          <w:tcPr>
            <w:tcW w:w="13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600,000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600,000</w:t>
            </w: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410,000</w:t>
            </w:r>
          </w:p>
        </w:tc>
        <w:tc>
          <w:tcPr>
            <w:tcW w:w="13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I. Grimshaw (3)</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1,000,000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1,000,000</w:t>
            </w: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 (4)</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450,000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450,000</w:t>
            </w:r>
          </w:p>
        </w:tc>
        <w:tc>
          <w:tcPr>
            <w:tcW w:w="130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300" w:hanging="332"/>
        <w:spacing w:after="0" w:line="282" w:lineRule="auto"/>
        <w:tabs>
          <w:tab w:leader="none" w:pos="3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shown represents the annualized base salary paid to Mr. Kulas in his role as Chief Executive Officer. Mr. Kulas joined the Company as President and Chief Financial Officer on February 28, 2020 and was paid an annualized base salary of $700,000 in that role. He was promoted to Chief Executive Officer effective July 6,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340" w:hanging="332"/>
        <w:spacing w:after="0" w:line="261" w:lineRule="auto"/>
        <w:tabs>
          <w:tab w:leader="none" w:pos="32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Jugmans was appointed Interim Chief Financial Officer effective September 1, 2020, and the fiscal 2020 amount shown represents the annualized base salary paid to Mr. Jugmans in that role. Prior to such appointment, Mr. Jugmans was Vice President of Finance, Treasury and M&amp;A, and the fiscal 2019 amount shown represents the annualized base salary paid to him in that role.</w:t>
      </w:r>
    </w:p>
    <w:p>
      <w:pPr>
        <w:spacing w:after="0" w:line="68" w:lineRule="exact"/>
        <w:rPr>
          <w:rFonts w:ascii="Times New Roman" w:cs="Times New Roman" w:eastAsia="Times New Roman" w:hAnsi="Times New Roman"/>
          <w:sz w:val="14"/>
          <w:szCs w:val="14"/>
          <w:color w:val="auto"/>
        </w:rPr>
      </w:pPr>
    </w:p>
    <w:p>
      <w:pPr>
        <w:ind w:left="340" w:right="100" w:hanging="332"/>
        <w:spacing w:after="0" w:line="282" w:lineRule="auto"/>
        <w:tabs>
          <w:tab w:leader="none" w:pos="32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Grimshaw relinquished his position as Chief Executive Officer effective July 6, 2020. The fiscal 2020 amount shown represents the annualized base salary being paid to Mr. Grimshaw at that time.</w:t>
      </w:r>
    </w:p>
    <w:p>
      <w:pPr>
        <w:spacing w:after="0" w:line="53" w:lineRule="exact"/>
        <w:rPr>
          <w:rFonts w:ascii="Times New Roman" w:cs="Times New Roman" w:eastAsia="Times New Roman" w:hAnsi="Times New Roman"/>
          <w:sz w:val="14"/>
          <w:szCs w:val="14"/>
          <w:color w:val="auto"/>
        </w:rPr>
      </w:pPr>
    </w:p>
    <w:p>
      <w:pPr>
        <w:ind w:left="340" w:right="20" w:hanging="332"/>
        <w:spacing w:after="0" w:line="282" w:lineRule="auto"/>
        <w:tabs>
          <w:tab w:leader="none" w:pos="32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Chism’s employment with the Company was terminated effective February 28, 2020. The fiscal 2020 amount show represents the annualized base salary being paid to Mr. Chism at that time.</w:t>
      </w:r>
    </w:p>
    <w:p>
      <w:pPr>
        <w:spacing w:after="0" w:line="16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Committee, in December 2019, determined that the base salaries for all executive officers, including the Named Executive Officers, should be held flat for fiscal 2020, and no base salary increases were approved at that time.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Mr. Kulas joined the Company as President and Chief Financial Officer in February 2020, management recommended, and the Committee approved, a base salary of $700,000. This amount was the product of the negotiations with Mr. Kulas and reflected Mr. Kulas’ public company executive experience and the broader role he was expected to have within the Company. When Mr. Kulas was promoted to Chief Executive Officer in July 2020, the Committee approved a base salary increase to $850,000, a 21% increase over his base salary as President and Chief Financial Officer. The Committee considered this increase to be an appropriate reflection of the increase in duties and responsibilities inherent in the Chief Executive Officer role.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Mr. Jugmans was appointed Interim Chief Financial Officer effective September 1, 2020. At that time, the Company promoted certain individuals into executive officer positions. In each case, management recommended, and the Committee approved, base salary increases that reflected the increased roles and responsibilities and were aligned with the market.</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November 2020, the Committee determined that the base salaries for all executive officers, including the continuing Named Executive Officers, would be held flat for fiscal 2021. Consequently, the fiscal 2021 base salary for each of the continuing Named Executive Officers (Mr. Kulas, Mr. Jugmans, Mr. Cohen, Mr. Given and Mr. Welch) will be the same as the base salary for fiscal 2020 as shown in the table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Short-Term Incentive</w:t>
      </w:r>
    </w:p>
    <w:p>
      <w:pPr>
        <w:spacing w:after="0" w:line="17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executive officers, as well as other key Team Members, are eligible to participate in our annual Short-Term Incentive Compensation Plan, which is designed to provide a powerful performance incentive contingent upon participants' contributions toward achievement of annual corporate and business unit financial results, as well as personal objectives that are tied to our strategic goals.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2019, the Committee approved a short-term incentive (STI) incentive compensation plan for fiscal 2020 that was substantially identical to the fiscal 2019 plan (i.e., payouts of 0% to 150% based on achievement of specified levels of EBITDA), believing that EBITDA performance continues to align with the objectives of our long-term strategic plan and correlates strongly with total shareholder return. The incentive opportunity for each executive officer was a function of a designated target amount (stated as a percentage of base salary) and a business performance modifier ranging from 0% to 150% based on the achievement of specified EBITDA-based performance goals.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participants in a specific business unit, the performance goal was based on that business unit’s achievement of specified levels of EBITDA. For other corporate-level participants, the performance goal was based on the Company’s achievement of specified levels of consolidated EBITDA (excluding the impact of our investments in Cash Converters International and RDC) ranging from $86.6 million to $112.1 million. The overall plan was subject to a “Company Performance Gate,” such that no participant would receive a payment if the Company did not achieve the minimum level of EBITDA required for a corporate-level payout, regardless of the EBITDA achieved by specific business units. This calculation provided the maximum payout opportunity for each executive, with the final payout amount subject to an evaluation of the executive’s individual performance. Individual performance is evaluated in terms of achievement of individual goals and specific accomplishments, but individual performance modifiers cannot exceed 100%. In calculating EBITDA, the Committee is permitted to make adjustments for special or extraordinary events or circumstances if the Committee, in its discretion, considers it appropriate to do so.</w:t>
      </w:r>
    </w:p>
    <w:p>
      <w:pPr>
        <w:spacing w:after="0" w:line="13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fiscal 2020 STI target (stated as a percentage of base salary) for each of the Named Executive Officers, all of whom were subject to the corporate-level performance goal based on consolidated EBITDA: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2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0" w:type="dxa"/>
            <w:vAlign w:val="bottom"/>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Fiscal 2020 Target Amount</w:t>
            </w:r>
          </w:p>
        </w:tc>
        <w:tc>
          <w:tcPr>
            <w:tcW w:w="0" w:type="dxa"/>
            <w:vAlign w:val="bottom"/>
          </w:tcPr>
          <w:p>
            <w:pPr>
              <w:spacing w:after="0"/>
              <w:rPr>
                <w:sz w:val="1"/>
                <w:szCs w:val="1"/>
                <w:color w:val="auto"/>
              </w:rPr>
            </w:pPr>
          </w:p>
        </w:tc>
      </w:tr>
      <w:tr>
        <w:trPr>
          <w:trHeight w:val="189"/>
        </w:trPr>
        <w:tc>
          <w:tcPr>
            <w:tcW w:w="20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(as a % of base salary)</w:t>
            </w:r>
          </w:p>
        </w:tc>
        <w:tc>
          <w:tcPr>
            <w:tcW w:w="0" w:type="dxa"/>
            <w:vAlign w:val="bottom"/>
          </w:tcPr>
          <w:p>
            <w:pPr>
              <w:spacing w:after="0"/>
              <w:rPr>
                <w:sz w:val="1"/>
                <w:szCs w:val="1"/>
                <w:color w:val="auto"/>
              </w:rPr>
            </w:pPr>
          </w:p>
        </w:tc>
      </w:tr>
      <w:tr>
        <w:trPr>
          <w:trHeight w:val="34"/>
        </w:trPr>
        <w:tc>
          <w:tcPr>
            <w:tcW w:w="2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 (1)</w:t>
            </w:r>
          </w:p>
        </w:tc>
        <w:tc>
          <w:tcPr>
            <w:tcW w:w="200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 (2)</w:t>
            </w:r>
          </w:p>
        </w:tc>
        <w:tc>
          <w:tcPr>
            <w:tcW w:w="200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Phillip E. Cohen (3)</w:t>
            </w:r>
          </w:p>
        </w:tc>
        <w:tc>
          <w:tcPr>
            <w:tcW w:w="200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 (4)</w:t>
            </w:r>
          </w:p>
        </w:tc>
        <w:tc>
          <w:tcPr>
            <w:tcW w:w="2000" w:type="dxa"/>
            <w:vAlign w:val="bottom"/>
          </w:tcPr>
          <w:p>
            <w:pPr>
              <w:jc w:val="center"/>
              <w:ind w:left="114"/>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200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Grimshaw</w:t>
            </w:r>
          </w:p>
        </w:tc>
        <w:tc>
          <w:tcPr>
            <w:tcW w:w="200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9"/>
              </w:rPr>
              <w:t>225%</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w:t>
            </w:r>
          </w:p>
        </w:tc>
        <w:tc>
          <w:tcPr>
            <w:tcW w:w="200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40" w:hanging="332"/>
        <w:spacing w:after="0" w:line="251" w:lineRule="auto"/>
        <w:tabs>
          <w:tab w:leader="none" w:pos="32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shown represents Mr. Kulas’ STI target in his role as Chief Executive Officer. When Mr. Kulas joined the Company as President and Chief Financial Officer in February 2020, the terms of his offer set his STI target percentage at 125% and guaranteed a minimum payout of $875,000. Half of that guaranteed amount was delivered in the form of a restricted stock award (90,768 shares) that vests on the one-year anniversary of Mr. Kulas’ start date (February 28, 2021). When Mr. Kulas was promoted to Chief Executive Officer in July 2020, his STI target percentage was increased to 150%, although the guaranteed minimum was not changed. The actual target amount for fiscal 2020 will be the product of proration reflecting his time spent in each role.</w:t>
      </w:r>
    </w:p>
    <w:p>
      <w:pPr>
        <w:spacing w:after="0" w:line="76" w:lineRule="exact"/>
        <w:rPr>
          <w:rFonts w:ascii="Times New Roman" w:cs="Times New Roman" w:eastAsia="Times New Roman" w:hAnsi="Times New Roman"/>
          <w:sz w:val="14"/>
          <w:szCs w:val="14"/>
          <w:color w:val="auto"/>
        </w:rPr>
      </w:pPr>
    </w:p>
    <w:p>
      <w:pPr>
        <w:ind w:left="340" w:right="120" w:hanging="332"/>
        <w:spacing w:after="0" w:line="282" w:lineRule="auto"/>
        <w:tabs>
          <w:tab w:leader="none" w:pos="32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shown represents Mr. Jugmans’ STI target in his role as Interim Chief Financial Officer. Prior to his appointment as Interim Chief Financial Officer effective September 1, 2020, Mr. Jugmans STI target percentage was 50%. The actual target amount for fiscal 2020 will be the product of proration reflecting his time spent in each role.</w:t>
      </w:r>
    </w:p>
    <w:p>
      <w:pPr>
        <w:spacing w:after="0" w:line="53" w:lineRule="exact"/>
        <w:rPr>
          <w:rFonts w:ascii="Times New Roman" w:cs="Times New Roman" w:eastAsia="Times New Roman" w:hAnsi="Times New Roman"/>
          <w:sz w:val="14"/>
          <w:szCs w:val="14"/>
          <w:color w:val="auto"/>
        </w:rPr>
      </w:pPr>
    </w:p>
    <w:p>
      <w:pPr>
        <w:ind w:left="340" w:right="220" w:hanging="332"/>
        <w:spacing w:after="0" w:line="282" w:lineRule="auto"/>
        <w:tabs>
          <w:tab w:leader="none" w:pos="32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Cohen, in his role as Executive Chairman, is not a participant in the STI plan, but is subject to a separate incentive opportunity specified in the terms of his employment. Pursuant to those terms, he has the opportunity to earn a bonus payout of up to 100% of his base salary. See “Executive Chairman Incentive Award” below.</w:t>
      </w:r>
    </w:p>
    <w:p>
      <w:pPr>
        <w:spacing w:after="0" w:line="53" w:lineRule="exact"/>
        <w:rPr>
          <w:rFonts w:ascii="Times New Roman" w:cs="Times New Roman" w:eastAsia="Times New Roman" w:hAnsi="Times New Roman"/>
          <w:sz w:val="14"/>
          <w:szCs w:val="14"/>
          <w:color w:val="auto"/>
        </w:rPr>
      </w:pPr>
    </w:p>
    <w:p>
      <w:pPr>
        <w:ind w:left="340" w:hanging="332"/>
        <w:spacing w:after="0" w:line="261" w:lineRule="auto"/>
        <w:tabs>
          <w:tab w:leader="none" w:pos="32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shown represents the STI target approved for Mr. Given at the beginning of the year. Effective September 1, 2020, Mr. Given was promoted to Chief Strategy, M&amp;A and Funding Officer, assuming additional responsibilities principally related to Company strategy, and his STI target was increased to 100%. The actual target amount for fiscal 2020 will be the product of proration reflecting his time spent in each role.</w:t>
      </w:r>
    </w:p>
    <w:p>
      <w:pPr>
        <w:spacing w:after="0" w:line="2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Due to the severe impact of the COVID-19 pandemic during the second half of the performance period, the “Company Performance Gate” under the fiscal 2020 STI plan was not achieved, and therefore, no payouts under that plan were earned (other than the guaranteed minimum amount for Mr. Kulas). However, in light of management’s COVID-response initiatives taken to position the Company for future success as the COVID crisis subsides, as described above, the Committee approved discretionary cash bonuses that were significantly reduced from the original plan for eligible participants. The amount of the discretionary bonus for each executive officer was based on an evaluation of that executive’s individual performance and ranged from 40% to 60% of the original STI target amounts. The following table sets forth, for each Named Executive Officer, the amount of the discretionary bonus approved, compared with the amount that would have been received had the fiscal 2020 STI plan paid out at target:</w:t>
      </w:r>
    </w:p>
    <w:p>
      <w:pPr>
        <w:spacing w:after="0" w:line="181"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880" w:type="dxa"/>
            <w:vAlign w:val="bottom"/>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Discretionary Bonus</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80" w:type="dxa"/>
            <w:vAlign w:val="bottom"/>
          </w:tcPr>
          <w:p>
            <w:pPr>
              <w:jc w:val="center"/>
              <w:ind w:left="717"/>
              <w:spacing w:after="0" w:line="135"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Target STI Payout</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Modifier</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 Kulas (1)</w:t>
            </w:r>
          </w:p>
        </w:tc>
        <w:tc>
          <w:tcPr>
            <w:tcW w:w="188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970,086</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88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Phillip E. Cohen (2)</w:t>
            </w:r>
          </w:p>
        </w:tc>
        <w:tc>
          <w:tcPr>
            <w:tcW w:w="188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1,167,956</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88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462,295</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88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40" w:hanging="332"/>
        <w:spacing w:after="0" w:line="261" w:lineRule="auto"/>
        <w:tabs>
          <w:tab w:leader="none" w:pos="32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Mr. Kulas joined the Company as President and Chief Financial Officer in February 2020, the terms of his offer guaranteed a minimum payout of $875,000. Half of that guaranteed amount was delivered in the form of a restricted stock award (90,768 shares) that vests on the one-year anniversary of Mr. Kulas’ start date (February 28, 2021). The remaining half ($437,500) will be paid in cash at the time the discretionary bonuses are paid to the other executive officers.</w:t>
      </w:r>
    </w:p>
    <w:p>
      <w:pPr>
        <w:spacing w:after="0" w:line="68" w:lineRule="exact"/>
        <w:rPr>
          <w:rFonts w:ascii="Times New Roman" w:cs="Times New Roman" w:eastAsia="Times New Roman" w:hAnsi="Times New Roman"/>
          <w:sz w:val="14"/>
          <w:szCs w:val="14"/>
          <w:color w:val="auto"/>
        </w:rPr>
      </w:pPr>
    </w:p>
    <w:p>
      <w:pPr>
        <w:jc w:val="both"/>
        <w:ind w:left="340" w:right="80" w:hanging="332"/>
        <w:spacing w:after="0" w:line="261" w:lineRule="auto"/>
        <w:tabs>
          <w:tab w:leader="none" w:pos="32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Cohen’s bonus payout was calculated as described below under “Executive Chairman Incentive Award.” One-half of the amount shown ($350,390) will be paid in cash at the time the discretionary bonuses are paid to the other executive officers. The remaining one-half ($350,385) represents an estimate of the amount that will be paid on September 30, 2021. The actual amount paid on that date may be more or less than $350,385, depending on the trading price of the Class A Common Stock at the time. See “Executive Chairman Incentive Award” below.</w:t>
      </w:r>
    </w:p>
    <w:p>
      <w:pPr>
        <w:spacing w:after="0" w:line="18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Committee continues to consider the design framework for the fiscal 2021 STI plan, which will likely retain many design elements from the fiscal 2020 plan, such as payouts ranging from 0% to 150% depending on the achievement of specified levels of EBITDA. The target amount percentages for each of the continuing Named Executive Officers will remain unchanged from fiscal 2020 as follows: Mr. Kulas, 150%; Mr. Jugmans, 60%; Mr. Given, 100%; and Mr. Welch, 60%.</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incentive (LTI) compensation, in the form of performance-based equity awards, is a key component in our executive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helping to encourage long-term commitment, shareholder alignment and long-term performance orientation. The value of equity awards over time bears a direct relationship to the price of our shares and the returns experienced by our stockholders.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All of our executive officers are eligible to receive equity incentive awards. We structure our LTI compensation program to place greater emphasis on long-term performance that enhances stockholder value. Unlike many of our peers that have a significant time-based vesting component to their long-term awards, 100% of our LTI awards are subject to performance-based vesting. To further emphasize the long-term nature of these awards, 100% of the LTI awards vest at the end of a three-year performance period, rather than a prorated vesting each year during the performance period. The Committee believes this structure incentivizes and rewards longer-term vision and strategies, and provides a balance to our short-term programs, which are focused on annual performance.</w:t>
      </w:r>
    </w:p>
    <w:p>
      <w:pPr>
        <w:spacing w:after="0" w:line="1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Grant frequency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considers new LTI grants for all executives each year. LTI awards may be made at any time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the grant price for accounting purposes is generally the closing trading price on the date the award is approved. The annual LTI awards, however, are intended to incentivize performance over the full designated performance period. Therefore, the Committee considers it appropriate to use the stock price at the beginning of the performance period in determining the number of shares or units to be granted, even though the awards may be approved by the Committee at a later date. In the Committee’s view, this methodology, consistently applied, neutralizes the stock price as a factor impacting the timing of awards.</w:t>
      </w:r>
    </w:p>
    <w:p>
      <w:pPr>
        <w:spacing w:after="0" w:line="13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Fiscal 2020 LTI awards </w:t>
      </w:r>
      <w:r>
        <w:rPr>
          <w:rFonts w:ascii="Times New Roman" w:cs="Times New Roman" w:eastAsia="Times New Roman" w:hAnsi="Times New Roman"/>
          <w:sz w:val="18"/>
          <w:szCs w:val="18"/>
          <w:color w:val="auto"/>
        </w:rPr>
        <w:t>— At the beginning of fiscal 2020, the Committee considered a number of plan design changes for the fiscal 2020 LTI awards,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decided to use an award design that was substantially similar to the fiscal 2019 awards (i.e., 0%, 50% or 100% vesting based on achievement of specified levels of net income and EPS growth). Before the fiscal 2020 awards were finalized, however, both management and the Committee recognized that further consideration of the terms of the awards was appropriate in light of the onset of the COVID-19 pandemic and the potential impact to our business performance. Accordingly, no LTI awards were issued in fiscal 2020. See “Replacement of Fiscal 2020 LTI Awards” below for a discussion of replacement awards that were granted after the close of fiscal 2020.</w:t>
      </w:r>
    </w:p>
    <w:p>
      <w:pPr>
        <w:spacing w:after="0" w:line="12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Vesting of fiscal 2014 and fiscal 2018 LTI awards </w:t>
      </w:r>
      <w:r>
        <w:rPr>
          <w:rFonts w:ascii="Times New Roman" w:cs="Times New Roman" w:eastAsia="Times New Roman" w:hAnsi="Times New Roman"/>
          <w:sz w:val="18"/>
          <w:szCs w:val="18"/>
          <w:color w:val="auto"/>
        </w:rPr>
        <w:t>— The outstanding fiscal 2014 and fiscal 2018 awards were scheduled to vest on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achievement of specified EBITDA growth rates over the designated performance period (six years, in the case of the fiscal 2014 awards, and three years in the case of the fiscal 2018 awards). These awards were on track to achieve the specified performance target as of March 30, 2020 (11/12ths of the performance period, in the case of the fiscal 2014 awards, and 5/6ths of the performance period, in the case of the fiscal 2018 awards). In addition, the award agreements governing these awards permit certain specified discretionary adjustments in determining whether the EBITDA growth performance targets have been achieved.</w:t>
      </w:r>
    </w:p>
    <w:p>
      <w:pPr>
        <w:spacing w:after="0" w:line="13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Because these awards had substantially achieved their stated performance targets and in light of the strong performance of management in response to the COVID-19 pandemic and the substantial actions taken to position the Company for future success as the COVID crisis subsides, as described above, the Committee, in November 2020, acknowledged the level of achievement of the specified performance targets prior to the global pandemic and used its permitted discretion to approve the vesting of a portion of these awards (11/12ths in the case of the fiscal 2014 awards, and 5/6ths in the case of the fiscal 2018 awards). This decision resulted in the vesting of the following number of shares for the Named Executive Officers:</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195"/>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 (1)</w:t>
            </w:r>
          </w:p>
        </w:tc>
        <w:tc>
          <w:tcPr>
            <w:tcW w:w="218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w w:val="98"/>
              </w:rPr>
              <w:t>LTI Award</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 Award</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Units Vested</w:t>
            </w:r>
          </w:p>
        </w:tc>
      </w:tr>
      <w:tr>
        <w:trPr>
          <w:trHeight w:val="228"/>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K. Jugmans</w:t>
            </w:r>
          </w:p>
        </w:tc>
        <w:tc>
          <w:tcPr>
            <w:tcW w:w="21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Fiscal 2018</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13,926</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11,605</w:t>
            </w:r>
          </w:p>
        </w:tc>
      </w:tr>
      <w:tr>
        <w:trPr>
          <w:trHeight w:val="225"/>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Lachlan P. Given</w:t>
            </w:r>
          </w:p>
        </w:tc>
        <w:tc>
          <w:tcPr>
            <w:tcW w:w="21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Fiscal 2014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68,750</w:t>
            </w:r>
          </w:p>
        </w:tc>
      </w:tr>
      <w:tr>
        <w:trPr>
          <w:trHeight w:val="234"/>
        </w:trPr>
        <w:tc>
          <w:tcPr>
            <w:tcW w:w="2520" w:type="dxa"/>
            <w:vAlign w:val="bottom"/>
          </w:tcPr>
          <w:p>
            <w:pPr>
              <w:spacing w:after="0"/>
              <w:rPr>
                <w:sz w:val="20"/>
                <w:szCs w:val="20"/>
                <w:color w:val="auto"/>
              </w:rPr>
            </w:pPr>
          </w:p>
        </w:tc>
        <w:tc>
          <w:tcPr>
            <w:tcW w:w="218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rPr>
              <w:t>Fiscal 2018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94,737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78,948</w:t>
            </w:r>
          </w:p>
        </w:tc>
      </w:tr>
      <w:tr>
        <w:trPr>
          <w:trHeight w:val="23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Welch, Jr.</w:t>
            </w:r>
          </w:p>
        </w:tc>
        <w:tc>
          <w:tcPr>
            <w:tcW w:w="21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Fiscal 2018</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43,158</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35,965</w:t>
            </w:r>
          </w:p>
        </w:tc>
      </w:tr>
    </w:tbl>
    <w:p>
      <w:pPr>
        <w:spacing w:after="0" w:line="126" w:lineRule="exact"/>
        <w:rPr>
          <w:sz w:val="20"/>
          <w:szCs w:val="20"/>
          <w:color w:val="auto"/>
        </w:rPr>
      </w:pPr>
    </w:p>
    <w:p>
      <w:pPr>
        <w:ind w:left="340" w:right="100" w:hanging="332"/>
        <w:spacing w:after="0" w:line="255" w:lineRule="auto"/>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he relinquished his position as Chief Executive Officer in July 2020, Mr. Grimshaw held a fiscal 2014 award covering 100,000 shares and a fiscal 2018 award covering 315,789 units. Those awards were forfeited and terminated under the terms of his Transition Employment Agreement. See “Exit Arrangements for Former Chief Executive Officer” below. At the time of the termination of his employment in February 2020, Mr. Chism held a fiscal 2018 award covering 47,368 units. That award was forfeited and terminated in connection with his termination of employment.</w:t>
      </w:r>
    </w:p>
    <w:p>
      <w:pPr>
        <w:spacing w:after="0" w:line="12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Modification of Fiscal 2019 LTI Awards </w:t>
      </w:r>
      <w:r>
        <w:rPr>
          <w:rFonts w:ascii="Times New Roman" w:cs="Times New Roman" w:eastAsia="Times New Roman" w:hAnsi="Times New Roman"/>
          <w:sz w:val="18"/>
          <w:szCs w:val="18"/>
          <w:color w:val="auto"/>
        </w:rPr>
        <w:t>— As noted above, the negative fiscal 2020 financial results caused by the COVID-19 pandemic also impacted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fiscal 2019 LTI awards. These three-year awards were issued in December 2018 and are scheduled to vest on September 30, 2021, subject to the achievement of specified net income and EPS growth targets. At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end of fiscal 2019 (the first year of the three-year performance period), these awards were within 95% of the on-track net income target and 99% of the on-track EPS target. With the impact of the COVID-19 pandemic beginning in March 2020, however, the on-track targets for fiscal 2020 were not met and the impact on fiscal 2021 financial results is expected to be even more severe. Consequently, it is now clear that the three-year performance targets will not be met by the end of fiscal 2021.</w:t>
      </w:r>
    </w:p>
    <w:p>
      <w:pPr>
        <w:spacing w:after="0" w:line="1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Because these awards had substantially achieved their stated performance targets through the first 18 months of the performance period and in light of the strong COVID-response performance through the second year of the performance period, the Committee decided in November 2020 to modify the terms of these awards as follows:</w:t>
      </w:r>
    </w:p>
    <w:p>
      <w:pPr>
        <w:spacing w:after="0" w:line="123" w:lineRule="exact"/>
        <w:rPr>
          <w:sz w:val="20"/>
          <w:szCs w:val="20"/>
          <w:color w:val="auto"/>
        </w:rPr>
      </w:pPr>
    </w:p>
    <w:p>
      <w:pPr>
        <w:ind w:left="660" w:right="26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award, only 5/6ths of the total units will be available to be earned, which acknowledges the fact that, through the first two years of the three-year performance period, these awards were on track for 18 months and off-track for six months.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the awards will be subject to achieving a new performance target based on fiscal 2021 bottom line performance, as follows:</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specified base target is achieved, then 60% of the available units will vest;</w:t>
      </w:r>
    </w:p>
    <w:p>
      <w:pPr>
        <w:spacing w:after="0" w:line="157" w:lineRule="exact"/>
        <w:rPr>
          <w:rFonts w:ascii="Times New Roman" w:cs="Times New Roman" w:eastAsia="Times New Roman" w:hAnsi="Times New Roman"/>
          <w:sz w:val="18"/>
          <w:szCs w:val="18"/>
          <w:color w:val="auto"/>
        </w:rPr>
      </w:pPr>
    </w:p>
    <w:p>
      <w:pPr>
        <w:ind w:left="1300" w:right="260" w:hanging="320"/>
        <w:spacing w:after="0" w:line="266" w:lineRule="auto"/>
        <w:tabs>
          <w:tab w:leader="none" w:pos="129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bottom line performance equals or exceeds a more challenging “stretch” target, then the remaining 40% of the available units will vest; and</w:t>
      </w:r>
    </w:p>
    <w:p>
      <w:pPr>
        <w:spacing w:after="0" w:line="108" w:lineRule="exact"/>
        <w:rPr>
          <w:rFonts w:ascii="Times New Roman" w:cs="Times New Roman" w:eastAsia="Times New Roman" w:hAnsi="Times New Roman"/>
          <w:sz w:val="18"/>
          <w:szCs w:val="18"/>
          <w:color w:val="auto"/>
        </w:rPr>
      </w:pPr>
    </w:p>
    <w:p>
      <w:pPr>
        <w:ind w:left="1300" w:right="240" w:hanging="320"/>
        <w:spacing w:after="0" w:line="266" w:lineRule="auto"/>
        <w:tabs>
          <w:tab w:leader="none" w:pos="129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performance falls between the base target and the stretch target, then the vesting percentage will be interpolated between 60% and 100% of the available units.</w:t>
      </w:r>
    </w:p>
    <w:p>
      <w:pPr>
        <w:spacing w:after="0" w:line="1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Because the vesting of these awards in accordance with their original terms was made impossible by the COVID-19 pandemic, the Committee believes that it is fair and equitable to give management an opportunity to earn some portion of the awards through future performance measured against challenging goals. Consequently, the Committee believes that this modification is appropriate and will serve to motivate the management team to exceed fiscal 2021 performance targets, which will position the Company to achieve a robust three-year plan.</w:t>
      </w:r>
    </w:p>
    <w:p>
      <w:pPr>
        <w:spacing w:after="0" w:line="1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Due to the difficulty in forecasting the business and setting appropriate performance targets in the current challenging environment, the Committee will retain the discretionary authority to adjust the specified base and stretch targets, up or down, based on macro conditions and economic outlook.</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shows, for each continuing Named Executive Officer, the number of fiscal 2019 units originally awarded in December 2018, as well as the number of units that will be available for vesting subject to achievement of the performance targets described above.</w:t>
      </w:r>
    </w:p>
    <w:p>
      <w:pPr>
        <w:spacing w:after="0" w:line="142" w:lineRule="exact"/>
        <w:rPr>
          <w:sz w:val="20"/>
          <w:szCs w:val="20"/>
          <w:color w:val="auto"/>
        </w:rPr>
      </w:pPr>
    </w:p>
    <w:tbl>
      <w:tblPr>
        <w:tblLayout w:type="fixed"/>
        <w:tblInd w:w="1280" w:type="dxa"/>
        <w:tblCellMar>
          <w:top w:w="0" w:type="dxa"/>
          <w:left w:w="0" w:type="dxa"/>
          <w:bottom w:w="0" w:type="dxa"/>
          <w:right w:w="0" w:type="dxa"/>
        </w:tblCellMar>
      </w:tblPr>
      <w:tr>
        <w:trPr>
          <w:trHeight w:val="195"/>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 (1)</w:t>
            </w:r>
          </w:p>
        </w:tc>
        <w:tc>
          <w:tcPr>
            <w:tcW w:w="294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Original Award</w:t>
            </w: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Vesting</w:t>
            </w:r>
          </w:p>
        </w:tc>
      </w:tr>
      <w:tr>
        <w:trPr>
          <w:trHeight w:val="22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K. Jugmans</w:t>
            </w:r>
          </w:p>
        </w:tc>
        <w:tc>
          <w:tcPr>
            <w:tcW w:w="29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12,828</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10,690</w:t>
            </w:r>
          </w:p>
        </w:tc>
      </w:tr>
      <w:tr>
        <w:trPr>
          <w:trHeight w:val="22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Lachlan P. Given</w:t>
            </w:r>
          </w:p>
        </w:tc>
        <w:tc>
          <w:tcPr>
            <w:tcW w:w="294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84,111</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70,093</w:t>
            </w:r>
          </w:p>
        </w:tc>
      </w:tr>
      <w:tr>
        <w:trPr>
          <w:trHeight w:val="23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H. Welch, Jr.</w:t>
            </w:r>
          </w:p>
        </w:tc>
        <w:tc>
          <w:tcPr>
            <w:tcW w:w="294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38,317</w:t>
            </w:r>
          </w:p>
        </w:tc>
        <w:tc>
          <w:tcPr>
            <w:tcW w:w="2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31,932</w:t>
            </w:r>
          </w:p>
        </w:tc>
      </w:tr>
    </w:tbl>
    <w:p>
      <w:pPr>
        <w:spacing w:after="0" w:line="126" w:lineRule="exact"/>
        <w:rPr>
          <w:sz w:val="20"/>
          <w:szCs w:val="20"/>
          <w:color w:val="auto"/>
        </w:rPr>
      </w:pPr>
    </w:p>
    <w:p>
      <w:pPr>
        <w:ind w:left="340" w:right="200" w:hanging="332"/>
        <w:spacing w:after="0" w:line="261" w:lineRule="auto"/>
        <w:tabs>
          <w:tab w:leader="none" w:pos="3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he relinquished his position as Chief Executive Officer in July 2020, Mr. Grimshaw held a fiscal 2019 award covering 280,373 units. That award was forfeited and terminated under the terms of his Transition Employment Agreement. See “Exit Arrangements for Former Chief Executive Officer” below. At the time of the termination of his employment in February 2020, Mr. Chism held a fiscal 2019 award covering 42,056 units. That award was forfeited and terminated in connection with his termination of employment.</w:t>
      </w:r>
    </w:p>
    <w:p>
      <w:pPr>
        <w:spacing w:after="0" w:line="12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Replacement of Fiscal 2020 LTI Awards </w:t>
      </w:r>
      <w:r>
        <w:rPr>
          <w:rFonts w:ascii="Times New Roman" w:cs="Times New Roman" w:eastAsia="Times New Roman" w:hAnsi="Times New Roman"/>
          <w:sz w:val="18"/>
          <w:szCs w:val="18"/>
          <w:color w:val="auto"/>
        </w:rPr>
        <w:t>— As noted above, the terms of the fiscal 2020 LTI awards were not finalized prior to the onset of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and thus, no LTI awards were issued in fiscal 2020. With the current practice of issuing awards that have a three-year vesting cycle, the fiscal 2020 awards would have been available for vesting at the end of fiscal 2022. The Committee considers long-term incentive awards to be an integral part of the Company’s overall executive compensation program, and realizes that, without an LTI opportunity that potentially vests at the end of fiscal 2022, we would have a gap in the long-term incentive award structure. Consequently, the Committee has determined that it is appropriate to grant new LTI awards that, in effect, replace the fiscal 2020 awards but that are available for vesting at the end of fiscal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2020, the Committee approved the issuance of fiscal 2020 replacement awards on the following terms:</w:t>
      </w:r>
    </w:p>
    <w:p>
      <w:pPr>
        <w:spacing w:after="0" w:line="158" w:lineRule="exact"/>
        <w:rPr>
          <w:sz w:val="20"/>
          <w:szCs w:val="20"/>
          <w:color w:val="auto"/>
        </w:rPr>
      </w:pPr>
    </w:p>
    <w:p>
      <w:pPr>
        <w:ind w:left="660" w:right="180" w:hanging="328"/>
        <w:spacing w:after="0" w:line="25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units granted to each participant was equal to the number of units the participant would have received had the fiscal 2020 awards been granted. That number was determined by dividing the participant’s LTI target amount (based on a percentage of base salary) by $6.46, the trading price of our Class A Non-Voting Common Stock at the beginning of fiscal 2020.</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80" w:hanging="328"/>
        <w:spacing w:after="0" w:line="24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is subject to performance measured against specified net income targets. The Committee considers net income to be the long-term shareholder value metric against which management should be measured, as it reflects the scaling of profitability in a fiscally robust way. Net income takes into account the full bottom-line performance and growth of the Company, including a prudent capital structure; it is the metric that primarily drives our stock price, closely aligning management’s interests with those of our shareholders; it is one of the three primary financial goals in the Company’s new “Strategic Goals and Measures” framework; and it is less susceptible to manipulation, as EPS often is with debt-financed share buybacks that potentially put financial position at risk.</w:t>
      </w:r>
    </w:p>
    <w:p>
      <w:pPr>
        <w:spacing w:after="0" w:line="129"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will be measured over the next two years (fiscal 2021 and fiscal 2022). The number of units awarded are allocated equally between the two years, with each year measured separately. Vesting for each year will be determined as follows:</w:t>
      </w:r>
    </w:p>
    <w:p>
      <w:pPr>
        <w:spacing w:after="0" w:line="10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performance is 80% of the performance target for the year, then 50% of the units allocated to that year will be “banked”;</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performance is 100% or more of the performance target, then 100% of the units allocated to that year will be “banked”; and</w:t>
      </w:r>
    </w:p>
    <w:p>
      <w:pPr>
        <w:spacing w:after="0" w:line="157" w:lineRule="exact"/>
        <w:rPr>
          <w:rFonts w:ascii="Times New Roman" w:cs="Times New Roman" w:eastAsia="Times New Roman" w:hAnsi="Times New Roman"/>
          <w:sz w:val="18"/>
          <w:szCs w:val="18"/>
          <w:color w:val="auto"/>
        </w:rPr>
      </w:pPr>
    </w:p>
    <w:p>
      <w:pPr>
        <w:ind w:left="1300" w:right="160" w:hanging="320"/>
        <w:spacing w:after="0" w:line="266" w:lineRule="auto"/>
        <w:tabs>
          <w:tab w:leader="none" w:pos="129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actual performance that falls between 80% and 100% of the performance target, the percentage of units banked will be interpolated between 50% and 100%.</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year will stand on its own, and any units allocated to a year that are not banked at the end of the year will be forfeited.</w:t>
      </w:r>
    </w:p>
    <w:p>
      <w:pPr>
        <w:spacing w:after="0" w:line="158" w:lineRule="exact"/>
        <w:rPr>
          <w:sz w:val="20"/>
          <w:szCs w:val="20"/>
          <w:color w:val="auto"/>
        </w:rPr>
      </w:pPr>
    </w:p>
    <w:p>
      <w:pPr>
        <w:ind w:left="660" w:right="460" w:hanging="328"/>
        <w:spacing w:after="0" w:line="266"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performance period (i.e., the end of fiscal 2022), the aggregate number of banked units will vest for those participants who remain employed at that time.</w:t>
      </w:r>
    </w:p>
    <w:p>
      <w:pPr>
        <w:spacing w:after="0" w:line="108"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 reflecting the difficulty in forecasting the business and setting appropriate performance targets in the current challenging environment, the Committee will retain discretionary authority to adjust the performance target for fiscal 2021, up or down, based on macro conditions and economic outlook.</w:t>
      </w:r>
    </w:p>
    <w:p>
      <w:pPr>
        <w:spacing w:after="0" w:line="12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shows the approved fiscal 2020 replacement LTI awards for the continuing Named Executive Officers (other than Mr. Cohen, who is subject to a separate incentive program and is not eligible for LTI awards):</w:t>
      </w:r>
    </w:p>
    <w:p>
      <w:pPr>
        <w:spacing w:after="0" w:line="127"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520" w:type="dxa"/>
            <w:vAlign w:val="bottom"/>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rPr>
              <w:t>Percent of Base</w:t>
            </w:r>
          </w:p>
        </w:tc>
        <w:tc>
          <w:tcPr>
            <w:tcW w:w="13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tcPr>
          <w:p>
            <w:pPr>
              <w:jc w:val="center"/>
              <w:ind w:left="1156"/>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 (1)</w:t>
            </w:r>
          </w:p>
        </w:tc>
        <w:tc>
          <w:tcPr>
            <w:tcW w:w="2520" w:type="dxa"/>
            <w:vAlign w:val="bottom"/>
            <w:shd w:val="clear" w:color="auto" w:fill="CCEEFF"/>
          </w:tcPr>
          <w:p>
            <w:pPr>
              <w:jc w:val="center"/>
              <w:ind w:left="1176"/>
              <w:spacing w:after="0"/>
              <w:rPr>
                <w:sz w:val="20"/>
                <w:szCs w:val="20"/>
                <w:color w:val="auto"/>
              </w:rPr>
            </w:pPr>
            <w:r>
              <w:rPr>
                <w:rFonts w:ascii="Times New Roman" w:cs="Times New Roman" w:eastAsia="Times New Roman" w:hAnsi="Times New Roman"/>
                <w:sz w:val="18"/>
                <w:szCs w:val="18"/>
                <w:color w:val="auto"/>
                <w:w w:val="99"/>
              </w:rPr>
              <w:t>150%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129,517</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 (2)</w:t>
            </w:r>
          </w:p>
        </w:tc>
        <w:tc>
          <w:tcPr>
            <w:tcW w:w="2520" w:type="dxa"/>
            <w:vAlign w:val="bottom"/>
          </w:tcPr>
          <w:p>
            <w:pPr>
              <w:jc w:val="center"/>
              <w:ind w:left="1156"/>
              <w:spacing w:after="0"/>
              <w:rPr>
                <w:sz w:val="20"/>
                <w:szCs w:val="20"/>
                <w:color w:val="auto"/>
              </w:rPr>
            </w:pPr>
            <w:r>
              <w:rPr>
                <w:rFonts w:ascii="Times New Roman" w:cs="Times New Roman" w:eastAsia="Times New Roman" w:hAnsi="Times New Roman"/>
                <w:sz w:val="18"/>
                <w:szCs w:val="18"/>
                <w:color w:val="auto"/>
                <w:w w:val="96"/>
              </w:rPr>
              <w:t>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Lachlan P. Given (2)</w:t>
            </w:r>
          </w:p>
        </w:tc>
        <w:tc>
          <w:tcPr>
            <w:tcW w:w="2520" w:type="dxa"/>
            <w:vAlign w:val="bottom"/>
            <w:shd w:val="clear" w:color="auto" w:fill="CCEEFF"/>
          </w:tcPr>
          <w:p>
            <w:pPr>
              <w:jc w:val="center"/>
              <w:ind w:left="1156"/>
              <w:spacing w:after="0"/>
              <w:rPr>
                <w:sz w:val="20"/>
                <w:szCs w:val="20"/>
                <w:color w:val="auto"/>
              </w:rPr>
            </w:pPr>
            <w:r>
              <w:rPr>
                <w:rFonts w:ascii="Times New Roman" w:cs="Times New Roman" w:eastAsia="Times New Roman" w:hAnsi="Times New Roman"/>
                <w:sz w:val="18"/>
                <w:szCs w:val="18"/>
                <w:color w:val="auto"/>
                <w:w w:val="96"/>
              </w:rPr>
              <w:t>80%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74,303</w:t>
            </w:r>
          </w:p>
        </w:tc>
        <w:tc>
          <w:tcPr>
            <w:tcW w:w="0" w:type="dxa"/>
            <w:vAlign w:val="bottom"/>
          </w:tcPr>
          <w:p>
            <w:pPr>
              <w:spacing w:after="0"/>
              <w:rPr>
                <w:sz w:val="1"/>
                <w:szCs w:val="1"/>
                <w:color w:val="auto"/>
              </w:rPr>
            </w:pP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 (2)</w:t>
            </w:r>
          </w:p>
        </w:tc>
        <w:tc>
          <w:tcPr>
            <w:tcW w:w="2520" w:type="dxa"/>
            <w:vAlign w:val="bottom"/>
          </w:tcPr>
          <w:p>
            <w:pPr>
              <w:jc w:val="center"/>
              <w:ind w:left="1156"/>
              <w:spacing w:after="0"/>
              <w:rPr>
                <w:sz w:val="20"/>
                <w:szCs w:val="20"/>
                <w:color w:val="auto"/>
              </w:rPr>
            </w:pPr>
            <w:r>
              <w:rPr>
                <w:rFonts w:ascii="Times New Roman" w:cs="Times New Roman" w:eastAsia="Times New Roman" w:hAnsi="Times New Roman"/>
                <w:sz w:val="18"/>
                <w:szCs w:val="18"/>
                <w:color w:val="auto"/>
                <w:w w:val="96"/>
              </w:rPr>
              <w:t>80%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line="261" w:lineRule="auto"/>
        <w:tabs>
          <w:tab w:leader="none" w:pos="32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Kulas’ LTI target percentage was 100% when he joined the Company as President and Chief Financial Officer in February 2020, and was increased to 150% when he was promoted to Chief Executive Officer in July 2020. The Number of Units awarded was calculated by prorating the target amounts based on time in each position (assuming an October 1, 2019 start date), and then dividing the result by $6.46, the closing trading price of our Class A Common Stock on September 30, 2019.</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 of Base Salary and Number of Units shown represent the amounts that would have been used at the beginning of fiscal 2020 had the fiscal 2020 awards been issued at that time.</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Fiscal 2021 LTI Awards — </w:t>
      </w:r>
      <w:r>
        <w:rPr>
          <w:rFonts w:ascii="Times New Roman" w:cs="Times New Roman" w:eastAsia="Times New Roman" w:hAnsi="Times New Roman"/>
          <w:sz w:val="18"/>
          <w:szCs w:val="18"/>
          <w:color w:val="auto"/>
        </w:rPr>
        <w:t>The Committee continues to consider the design framework for the fiscal 2021 LTI awards, and thus, no fiscal 2021 LTI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yet been issued. The Committee has determined, however, that number of units that will be awarded to each participant once the terms are finalized will be determined by dividing the participant’s LTI target amount (based on a percentage of base salary) by $5.03, the trading price of our Class A Non-Voting Common Stock on September 30, 2020. The following table shows the number of fiscal 2021 LTI awards for the continuing Named Executive Officers (other than Mr. Cohen, who is subject to a separate incentive program and is not eligible for LTI awards):</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640" w:type="dxa"/>
            <w:vAlign w:val="bottom"/>
          </w:tcPr>
          <w:p>
            <w:pPr>
              <w:jc w:val="center"/>
              <w:ind w:left="1276"/>
              <w:spacing w:after="0"/>
              <w:rPr>
                <w:sz w:val="20"/>
                <w:szCs w:val="20"/>
                <w:color w:val="auto"/>
              </w:rPr>
            </w:pPr>
            <w:r>
              <w:rPr>
                <w:rFonts w:ascii="Times New Roman" w:cs="Times New Roman" w:eastAsia="Times New Roman" w:hAnsi="Times New Roman"/>
                <w:sz w:val="14"/>
                <w:szCs w:val="14"/>
                <w:b w:val="1"/>
                <w:bCs w:val="1"/>
                <w:color w:val="auto"/>
              </w:rPr>
              <w:t>Percent of Base</w:t>
            </w:r>
          </w:p>
        </w:tc>
        <w:tc>
          <w:tcPr>
            <w:tcW w:w="13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0" w:type="dxa"/>
            <w:vAlign w:val="bottom"/>
          </w:tcPr>
          <w:p>
            <w:pPr>
              <w:spacing w:after="0"/>
              <w:rPr>
                <w:sz w:val="1"/>
                <w:szCs w:val="1"/>
                <w:color w:val="auto"/>
              </w:rPr>
            </w:pPr>
          </w:p>
        </w:tc>
      </w:tr>
      <w:tr>
        <w:trPr>
          <w:trHeight w:val="189"/>
        </w:trPr>
        <w:tc>
          <w:tcPr>
            <w:tcW w:w="3100" w:type="dxa"/>
            <w:vAlign w:val="bottom"/>
            <w:tcBorders>
              <w:bottom w:val="single" w:sz="8" w:color="auto"/>
            </w:tcBorders>
            <w:vMerge w:val="continue"/>
          </w:tcPr>
          <w:p>
            <w:pPr>
              <w:spacing w:after="0"/>
              <w:rPr>
                <w:sz w:val="16"/>
                <w:szCs w:val="16"/>
                <w:color w:val="auto"/>
              </w:rPr>
            </w:pPr>
          </w:p>
        </w:tc>
        <w:tc>
          <w:tcPr>
            <w:tcW w:w="2640" w:type="dxa"/>
            <w:vAlign w:val="bottom"/>
            <w:tcBorders>
              <w:bottom w:val="single" w:sz="8" w:color="auto"/>
            </w:tcBorders>
          </w:tcPr>
          <w:p>
            <w:pPr>
              <w:jc w:val="center"/>
              <w:ind w:left="1276"/>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2640" w:type="dxa"/>
            <w:vAlign w:val="bottom"/>
            <w:shd w:val="clear" w:color="auto" w:fill="CCEEFF"/>
          </w:tcPr>
          <w:p>
            <w:pPr>
              <w:jc w:val="center"/>
              <w:ind w:left="1296"/>
              <w:spacing w:after="0"/>
              <w:rPr>
                <w:sz w:val="20"/>
                <w:szCs w:val="20"/>
                <w:color w:val="auto"/>
              </w:rPr>
            </w:pPr>
            <w:r>
              <w:rPr>
                <w:rFonts w:ascii="Times New Roman" w:cs="Times New Roman" w:eastAsia="Times New Roman" w:hAnsi="Times New Roman"/>
                <w:sz w:val="18"/>
                <w:szCs w:val="18"/>
                <w:color w:val="auto"/>
                <w:w w:val="99"/>
              </w:rPr>
              <w:t>150%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253,479</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2640" w:type="dxa"/>
            <w:vAlign w:val="bottom"/>
          </w:tcPr>
          <w:p>
            <w:pPr>
              <w:jc w:val="center"/>
              <w:ind w:left="1276"/>
              <w:spacing w:after="0"/>
              <w:rPr>
                <w:sz w:val="20"/>
                <w:szCs w:val="20"/>
                <w:color w:val="auto"/>
              </w:rPr>
            </w:pPr>
            <w:r>
              <w:rPr>
                <w:rFonts w:ascii="Times New Roman" w:cs="Times New Roman" w:eastAsia="Times New Roman" w:hAnsi="Times New Roman"/>
                <w:sz w:val="18"/>
                <w:szCs w:val="18"/>
                <w:color w:val="auto"/>
                <w:w w:val="96"/>
              </w:rPr>
              <w:t>80%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2640" w:type="dxa"/>
            <w:vAlign w:val="bottom"/>
            <w:shd w:val="clear" w:color="auto" w:fill="CCEEFF"/>
          </w:tcPr>
          <w:p>
            <w:pPr>
              <w:jc w:val="center"/>
              <w:ind w:left="1296"/>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119,284</w:t>
            </w:r>
          </w:p>
        </w:tc>
        <w:tc>
          <w:tcPr>
            <w:tcW w:w="0" w:type="dxa"/>
            <w:vAlign w:val="bottom"/>
          </w:tcPr>
          <w:p>
            <w:pPr>
              <w:spacing w:after="0"/>
              <w:rPr>
                <w:sz w:val="1"/>
                <w:szCs w:val="1"/>
                <w:color w:val="auto"/>
              </w:rPr>
            </w:pP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2640" w:type="dxa"/>
            <w:vAlign w:val="bottom"/>
          </w:tcPr>
          <w:p>
            <w:pPr>
              <w:jc w:val="center"/>
              <w:ind w:left="1276"/>
              <w:spacing w:after="0"/>
              <w:rPr>
                <w:sz w:val="20"/>
                <w:szCs w:val="20"/>
                <w:color w:val="auto"/>
              </w:rPr>
            </w:pPr>
            <w:r>
              <w:rPr>
                <w:rFonts w:ascii="Times New Roman" w:cs="Times New Roman" w:eastAsia="Times New Roman" w:hAnsi="Times New Roman"/>
                <w:sz w:val="18"/>
                <w:szCs w:val="18"/>
                <w:color w:val="auto"/>
                <w:w w:val="96"/>
              </w:rPr>
              <w:t>80%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65,209</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Chairman Incentive Award</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Executive Chairman, Mr. Cohen has an incentive compensation opportunity of $1,500,000 per year (100% of base salary), awarded in the form of cash-settled phantom stock units (“Units”) tied to the trading price of the Company’s Class A Common Stock, as follows:</w:t>
      </w:r>
    </w:p>
    <w:p>
      <w:pPr>
        <w:spacing w:after="0" w:line="106" w:lineRule="exact"/>
        <w:rPr>
          <w:sz w:val="20"/>
          <w:szCs w:val="20"/>
          <w:color w:val="auto"/>
        </w:rPr>
      </w:pPr>
    </w:p>
    <w:p>
      <w:pPr>
        <w:ind w:left="660" w:right="120" w:hanging="328"/>
        <w:spacing w:after="0" w:line="284"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 At the beginning of a fiscal year (the “Performance Year”), the number of Units awarded will be determined by dividing $1,500,000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price at the close of the immediately preceding fiscal year.</w:t>
      </w:r>
    </w:p>
    <w:p>
      <w:pPr>
        <w:spacing w:after="0" w:line="104"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w:t>
      </w:r>
      <w:r>
        <w:rPr>
          <w:rFonts w:ascii="Times New Roman" w:cs="Times New Roman" w:eastAsia="Times New Roman" w:hAnsi="Times New Roman"/>
          <w:sz w:val="18"/>
          <w:szCs w:val="18"/>
          <w:color w:val="auto"/>
        </w:rPr>
        <w:t>— The awarded Units will vest at the end of the Performance Year so long as the “Company Performance Gate” under the Company’s STI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for the Performance Year has been achieved. The Company Performance Gate is the level of performance (generally measured in terms of adjusted EBITDA) needed to achieve any payout under the STI plan. Even if the Company Performance Gate is achieved, the Committee in its discretion may reduce the number of Units that vest based upon the Committee’s evaluation of Mr. Cohen’s performance during the Performance Year against Key Performance Indicators (KPIs). Conversely, if the Company Performance Gate is not achieved, the Committee in its discretion may choose to vest some or all of the Units based an evaluation of Mr. Cohen’s performance against the specified KPIs.</w:t>
      </w:r>
    </w:p>
    <w:p>
      <w:pPr>
        <w:spacing w:after="0" w:line="12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Payout </w:t>
      </w:r>
      <w:r>
        <w:rPr>
          <w:rFonts w:ascii="Times New Roman" w:cs="Times New Roman" w:eastAsia="Times New Roman" w:hAnsi="Times New Roman"/>
          <w:sz w:val="18"/>
          <w:szCs w:val="18"/>
          <w:color w:val="auto"/>
        </w:rPr>
        <w:t>— The vested Units will be paid out in two installments. The first installment will be paid as soon as practicable after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Year and will be an amount of cash equal to 50% of the vested Units multiplied by the stock price at the end of the Performance Year. The second installment will be paid out at the end of the next fiscal year and will be an amount of cash equal to 50% of the vested Units multiplied by the stock price at that time.</w:t>
      </w:r>
    </w:p>
    <w:p>
      <w:pPr>
        <w:spacing w:after="0" w:line="12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At the beginning of fiscal 2020, Mr. Cohen received 232,198 Units, which was calculated by dividing the bonus opportunity ($1,500,000) by $6.46, the closing price of the Class A Non-Voting Common Stock on September 30, 2019.</w:t>
      </w:r>
    </w:p>
    <w:p>
      <w:pPr>
        <w:spacing w:after="0" w:line="10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At the end of the year, the Committee noted that the Company Performance Gate under the fiscal 2020 STI plan was not achieved. However, the Committee reviewed Mr. Cohen’s accomplishments during the year (including his counsel, advice and contributions to the formulation and development of the Company’s strategic plan; his contributions to the identification and development of acquisition and investment opportunities; and his involvement in the formulation and execution of the Company’s financing strategy) and determined that vesting 60% of the Units would be an appropriate reward to recognize those accomplishments. This percentage also aligned with the discretionary bonus percentages that were approved for other members of management. See “Components of Compensation — Annual Short-Term Incentive” above.</w:t>
      </w:r>
    </w:p>
    <w:p>
      <w:pPr>
        <w:spacing w:after="0" w:line="13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Consequently, in November 2020, the Committee approved the vesting of 139,319 Units. Under the terms of Mr. Cohen’s incentive opportunity, 50% of those vested Units (or 69,660 Units) are to be paid out currently based on a per-Unit value of $5.03 (the closing price of the Class A Common Stock on September 30. 2020), which translates to a cash payout of $350,390. The remaining 50% of the Units (69,659 Units) will be paid out at September 30, 2021 based on the closing price of the Class A Non-Voting Common Stock at that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16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provide selected executives with a non-qualified Supplemental Executive Retirement Plan (“SERP”) to offset some of the negative impacts of the highly paid executive contribution limitations applicable to our 401(k) retirement savings plan. For fiscal 2020, the Committee approved contributions to the SERP for each of the executive officers equal to 10% of base salary. This resulted in the following contributions to the SERP for each of the Named Executive Officers: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80" w:type="dxa"/>
            <w:vAlign w:val="bottom"/>
          </w:tcPr>
          <w:p>
            <w:pPr>
              <w:spacing w:after="0"/>
              <w:rPr>
                <w:sz w:val="13"/>
                <w:szCs w:val="13"/>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Fiscal 2020 SERP</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0" w:type="dxa"/>
            <w:vAlign w:val="bottom"/>
          </w:tcPr>
          <w:p>
            <w:pPr>
              <w:spacing w:after="0"/>
              <w:rPr>
                <w:sz w:val="1"/>
                <w:szCs w:val="1"/>
                <w:color w:val="auto"/>
              </w:rPr>
            </w:pPr>
          </w:p>
        </w:tc>
      </w:tr>
      <w:tr>
        <w:trPr>
          <w:trHeight w:val="34"/>
        </w:trPr>
        <w:tc>
          <w:tcPr>
            <w:tcW w:w="3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14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480" w:type="dxa"/>
            <w:vAlign w:val="bottom"/>
          </w:tcPr>
          <w:p>
            <w:pPr>
              <w:spacing w:after="0"/>
              <w:rPr>
                <w:sz w:val="19"/>
                <w:szCs w:val="19"/>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14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I. Grimshaw (4)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 (5)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Kulas joined the Company as an executive in February 2020 and was not eligible for SERP contributions until October 1, 2020.</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Jugmans is not eligible for SERP at this time.</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Cohen is not eligible for SERP contributions.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became part of Mr. Grimshaw’s vested account balance, which will be available for distribution to Mr. Grimshaw following the termination of his employment.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along with other unvested amounts, was forfeited upon the termination of Mr. Chism’s employment in February 2020.</w:t>
      </w:r>
    </w:p>
    <w:p>
      <w:pPr>
        <w:spacing w:after="0" w:line="2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November 2020, the Committee approved fiscal 2021 contributions to the SERP equal to 10% of base salary for each of the continuing Named Executive Officers (other than Mr. Jugmans and Mr. Cohen). Those contributions were $85,000 for Mr. Kulas, $60,000 for Mr. Given and $41,000 for Mr. Welch.</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 and Perquisites</w:t>
      </w:r>
    </w:p>
    <w:p>
      <w:pPr>
        <w:spacing w:after="0" w:line="17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executive officers participate in other benefit plans on the same terms as other team members. These plans include medical, dental and life insurance benefits, and our 401(k) retirement savings plan. In addition, we provide supplemental healthcare benefits to our executive officers. The amount of that benefit for the Named Executive Officers is included in the “All Other Compensation” column of the Summary Compensation Table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Exit Arrangements for Former Chief Executive Officer</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14, 2020, we entered into a Transition Employment Agreement with Stuart I. Grimshaw, our former Chief Executive Officer. The agreement, which became effective on November 21, 2020, sets forth the terms and conditions of Mr. Grimshaw’s employment as special adviser and his ultimate separation from employment with the Company. The terms of the agreement were reviewed and approved by the Committee.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Mr. Grimshaw’s employment as special advisor will continue for three years unless earlier terminated pursuant to the provisions of the Agreement. As compensation for services as special advisor, we will pay Mr. Grimshaw an aggregate of $800,000 as follows: $200,000 was paid on the effective date of the Agreement; $225,000 was paid on November 30, 2020; $225,000 will be paid on December 31, 2020; and $50,000 per year will be paid over the three-year term of the agreement. In addition, we will pay Mr. Grimshaw $1 million in the form of salary continuation over the one-year period commencing on the effective date of the agreement. This amount represents the contractual severance arrangement that was part of Mr. Grimshaw’s terms of employment as Chief Executive Officer.</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agreement specifies that Mr. Grimshaw will not receive any other payout under the fiscal 2020 STI plan or any payments in lieu thereof (other than the payments described above) and that he will forfeit all of the LTI awards that were outstanding at the time he relinquished the position of Chief Executive Officer in July 2020 (covering 696,162 shares of Class A Non-Voting Common Stock in the aggregate).</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Agreement contains customary release provisions pursuant to which Mr. Grimshaw releases the Company from any and all claims and demands. It also specifies that Mr. Grimshaw will continue to be subject to non-competition and non-solicitation restrictions during the term of the Agreement (or, if terminated earlier, for at least one year following the effective date of the Agreement).</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Agreement may be terminated by Mr. Grimshaw for any reason, and may be terminated by us for cause or if Mr. Grimshaw accepts certain other employment or engagements.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Governance and Process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the People and Compensation Committee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People and Compensation Committee is comprised of three members — Mr. Lagos, Ms. Brown and Mr. Webb — each of whom is an independent director. See “Part III, Item 10 — Directors, Executive Officers and Corporate Governance — Board of Directors.”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Committee</w:t>
      </w:r>
    </w:p>
    <w:p>
      <w:pPr>
        <w:spacing w:after="0" w:line="17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and retains responsibility for ensuring that the plan administration is consistent with our policies.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Annually, the Committee sets the compensation for our executive officers, including objectives and awards under incentive plans. In addition to overseeing the compensation of our executive officers, the Committee approves all awards under long-term incentive plans for all other team members, and makes recommendations to the Board of Directors on appropriate compensation for the non-employee directors.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Committee also oversees development of succession plans and corresponding individual development in order to maintain the talent necessary to fulfill our operational and strategic objectives, assesses the effectiveness of our employee programs, and advises senior management with regard to the quality of the workforce to carry out our strategic goals and on overall human resources strategies. For more information on the Committee's role, see “Part III, Item 10 — Directors, Executive Officers and Corporate Governance — Corporate Governance — Committees of the Board — People and Compensation Committee,” as well as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Committee receives data regarding compensation trends, succession plans, issues and recommendations from management. Members of management, including our Chief Executive Officer, Chief Human Resources Officer and Chief Legal Officer, attend Committee meetings at the invitation of the Committee. In addition, our Chief Executive Officer provides input on individual performance and recommendations regarding compensation adjustments to the Committee for executive officer positions other than his own.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Independent Compensation Consultant</w:t>
      </w:r>
    </w:p>
    <w:p>
      <w:pPr>
        <w:spacing w:after="0" w:line="17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Under its charter, the Committee has sole authority to retain, terminate, obtain advice from, oversee and compensate its outside advisors, including its compensation consultant. We have provided appropriate funding to the Committee to do so.</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past several years, the Committee retained Pearl Meyer as its independent compensation consultant. In March 2020, following an RFP process in which the Committee received and reviewed proposals from a number of providers, the Committee selected and retained Mercer as its independent compensation consultant. None of our management participated in the Committee's decision to retain Mercer (other than our Chief Human Resources Officer, who, at the request of the Committee, helped facilitate the RFP process, and our Chief Legal Officer, who was present during the Committee’s deliberations). The Committee’s independent compensation consultant reports directly to the Committee, and the Committee may replace its independent compensation consultant or hire additional consultants at any time. The Committee’s independent compensation consultant communicates with, and attends meetings of, the Committee as requested.</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Committee monitors the independence of its consultants on a regular basis and believes that Pearl Meyer was, and Mercer is, independent in providing executive compensation consulting services to the Committee.</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During fiscal 2020, the Committee’s independent compensation consultant, among other things, advised the Committee on the principal aspects of our executive compensation program, updated the Committee on evolving best practices, and provided market information and analysis regarding the competitiveness of our program design and award values.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Risk</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Committee continually monitors our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risk-taking.</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provides a balance of short-term and long-term incentives that reward achievement of profitable, consistent and sustainable results.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38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compensation tied to achievement of profitable Company or business unit performance (as measured by consolidated and/or business unit EBITDA); and</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Meaningful long-term equity incentive opportunities that are 100% performance-based and provide an incentive to deliver long-term growth in stockholder value as a result of sustained earnings growth, prudent balance sheet management or other measures.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the following policies to mitigate compensation risk:</w:t>
      </w:r>
    </w:p>
    <w:p>
      <w:pPr>
        <w:spacing w:after="0" w:line="169" w:lineRule="exact"/>
        <w:rPr>
          <w:sz w:val="20"/>
          <w:szCs w:val="20"/>
          <w:color w:val="auto"/>
        </w:rPr>
      </w:pPr>
    </w:p>
    <w:p>
      <w:pPr>
        <w:ind w:left="660" w:hanging="328"/>
        <w:spacing w:after="0" w:line="267"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Policy — </w:t>
      </w:r>
      <w:r>
        <w:rPr>
          <w:rFonts w:ascii="Times New Roman" w:cs="Times New Roman" w:eastAsia="Times New Roman" w:hAnsi="Times New Roman"/>
          <w:sz w:val="18"/>
          <w:szCs w:val="18"/>
          <w:color w:val="auto"/>
        </w:rPr>
        <w:t>The Board of Directors retains the right to seek reimbursement (clawback) of incentive compensation (whether cash or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executive officer who has, in the Board’s determination, violated our policies or otherwise engaged in intentional misconduct that, in either case, caused a material restatement of financial results.</w:t>
      </w:r>
    </w:p>
    <w:p>
      <w:pPr>
        <w:spacing w:after="0" w:line="11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Anti-Hedging Policy — </w:t>
      </w:r>
      <w:r>
        <w:rPr>
          <w:rFonts w:ascii="Times New Roman" w:cs="Times New Roman" w:eastAsia="Times New Roman" w:hAnsi="Times New Roman"/>
          <w:sz w:val="18"/>
          <w:szCs w:val="18"/>
          <w:color w:val="auto"/>
        </w:rPr>
        <w:t>We maintain a policy prohibiting the trading of “derivative securities” related to, or engaging in “short sales” of, our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members of the Board of Directors, executive officers or any other persons associated or affiliated with the Company (through employment, contractual relationship or otherwise) who are designated from time to time by the Board of Directors. For purposes of the policy, a “derivative security” is any option, warrant, convertible security, stock appreciation right or similar right with an exercise or conversion privilege at a price related to our stock, or similar securities with a value derived from the value of our stock; and a “short sale” is any sale of stock that the seller does not own or any sale that is consummated by the delivery of stock borrowed by, or for the account of, the seller. The Board believes that this policy, by preventing the shifting of the risks of ownership of Company stock, helps to align the interests of management with the interests of the other Company stockholders.</w:t>
      </w:r>
    </w:p>
    <w:p>
      <w:pPr>
        <w:spacing w:after="0" w:line="130"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Share Retention Policy — </w:t>
      </w:r>
      <w:r>
        <w:rPr>
          <w:rFonts w:ascii="Times New Roman" w:cs="Times New Roman" w:eastAsia="Times New Roman" w:hAnsi="Times New Roman"/>
          <w:sz w:val="18"/>
          <w:szCs w:val="18"/>
          <w:color w:val="auto"/>
        </w:rPr>
        <w:t>The Board of Directors has adopted stock ownership requirements applicable to the members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executive officers. Pursuant to those requirements, each non-executive member of the Board of Directors and each executive officer is required to hold a number of shares of Class A Non-Voting Common Stock having a market value equal to the applicable “Required Multiple” of the annual retainer fee (in the case of the non-executive directors) or base salary (in the case of the executive officers). The Required Multiple is equity to 4X for the non-executive directors and the CEO, 2X for the Executive Chairman and 1X for the other executive officers. Each person subject to the stock ownership requirements is required to hold at least 50% (in the case of the non-executive directors) or 30% (in the case of the executive officers) of each vesting of restricted stock or restricted stock units until the required stock ownership amount is satisfied. Thereafter, such person can sell shares (subject to our trading window policy) as long as the required stock ownership amount is maintained. Because each share of Class B Voting Common Stock is convertible into a share of Class A Non-Voting Common Stock, the shares of Class B Voting Common Stock held by Mr. Cohen are treated as the equivalent number of shares of Class A Non-Voting Common Stock for purposes of applying the stock ownership requirements.</w:t>
      </w:r>
    </w:p>
    <w:p>
      <w:pPr>
        <w:spacing w:after="0" w:line="1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are currently in compliance with the stock ownership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Compensation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Severance </w:t>
      </w:r>
      <w:r>
        <w:rPr>
          <w:rFonts w:ascii="Times New Roman" w:cs="Times New Roman" w:eastAsia="Times New Roman" w:hAnsi="Times New Roman"/>
          <w:sz w:val="18"/>
          <w:szCs w:val="18"/>
          <w:color w:val="auto"/>
        </w:rPr>
        <w:t>— We provide the following severance benefits to our executive officers (other than Mr. Cohen):</w:t>
      </w:r>
    </w:p>
    <w:p>
      <w:pPr>
        <w:spacing w:after="0" w:line="173"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will receive salary continuation for one year if his or her employment is terminated by the Company without cause.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restricted stock awards, including those granted to the executive officers, provide for accelerated vesting of some or all of the unvested shares or units in the event of the holder's death or disability.</w:t>
      </w:r>
    </w:p>
    <w:p>
      <w:pPr>
        <w:spacing w:after="0" w:line="1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 xml:space="preserve">More information on severance arrangements can be found under “Other Benefit Plans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117"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our executive officers (other than Mr. Cohen), along with other key team members, has entered into a Restrictive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 Agreement under which the executive is subject to confidentiality and non-disclosure obligations with respect to various categories of proprietary, competitively sensitive and confidential information. In addition, each such executive has agreed that, for a period of one year following the termination of employment with the Company, he or she will not compete with the Company (within a defined area) and will not solicit the Company's team members or suppliers.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2020.</w:t>
      </w:r>
    </w:p>
    <w:p>
      <w:pPr>
        <w:spacing w:after="0" w:line="13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Pablo Lagos Espinosa (Chair)</w:t>
      </w:r>
    </w:p>
    <w:p>
      <w:pPr>
        <w:ind w:left="5060"/>
        <w:spacing w:after="0" w:line="203" w:lineRule="auto"/>
        <w:rPr>
          <w:sz w:val="20"/>
          <w:szCs w:val="20"/>
          <w:color w:val="auto"/>
        </w:rPr>
      </w:pPr>
      <w:r>
        <w:rPr>
          <w:rFonts w:ascii="Times New Roman" w:cs="Times New Roman" w:eastAsia="Times New Roman" w:hAnsi="Times New Roman"/>
          <w:sz w:val="18"/>
          <w:szCs w:val="18"/>
          <w:color w:val="auto"/>
        </w:rPr>
        <w:t>Shelaghmichael Brown</w:t>
      </w:r>
    </w:p>
    <w:p>
      <w:pPr>
        <w:ind w:left="5060"/>
        <w:spacing w:after="0"/>
        <w:rPr>
          <w:sz w:val="20"/>
          <w:szCs w:val="20"/>
          <w:color w:val="auto"/>
        </w:rPr>
      </w:pPr>
      <w:r>
        <w:rPr>
          <w:rFonts w:ascii="Times New Roman" w:cs="Times New Roman" w:eastAsia="Times New Roman" w:hAnsi="Times New Roman"/>
          <w:sz w:val="18"/>
          <w:szCs w:val="18"/>
          <w:color w:val="auto"/>
        </w:rPr>
        <w:t>Robert W.K. Webb</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persons who served as members of the Compensation Committee during fiscal 2020 (Ms. Brown, Mr. Lagos and Mr. Webb) are not and have never been an officer of or employed by the Company and do not have any relationship that requires disclosure under Item 404 of Regulation S-K, the SEC’s rules requiring disclosure of certain relationships and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compensation for fiscal 2020, 2019 and 2018 for the Named Executive Officers. See “Part III, Item 11 — Executive Compensation — Compensation Discussion and Analysis” for a description of how we determined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(2)</w:t>
            </w:r>
          </w:p>
        </w:tc>
        <w:tc>
          <w:tcPr>
            <w:tcW w:w="16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240" w:type="dxa"/>
            <w:vAlign w:val="bottom"/>
          </w:tcPr>
          <w:p>
            <w:pPr>
              <w:spacing w:after="0"/>
              <w:rPr>
                <w:sz w:val="13"/>
                <w:szCs w:val="13"/>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Plan Compensation (3)</w:t>
            </w:r>
          </w:p>
        </w:tc>
        <w:tc>
          <w:tcPr>
            <w:tcW w:w="420" w:type="dxa"/>
            <w:vAlign w:val="bottom"/>
          </w:tcPr>
          <w:p>
            <w:pPr>
              <w:spacing w:after="0"/>
              <w:rPr>
                <w:sz w:val="16"/>
                <w:szCs w:val="16"/>
                <w:color w:val="auto"/>
              </w:rPr>
            </w:pPr>
          </w:p>
        </w:tc>
        <w:tc>
          <w:tcPr>
            <w:tcW w:w="120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2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Jason A. Kulas </w:t>
            </w:r>
            <w:r>
              <w:rPr>
                <w:rFonts w:ascii="Times New Roman" w:cs="Times New Roman" w:eastAsia="Times New Roman" w:hAnsi="Times New Roman"/>
                <w:sz w:val="18"/>
                <w:szCs w:val="18"/>
                <w:color w:val="auto"/>
              </w:rPr>
              <w:t>(5)</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34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424,808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683,878</w:t>
            </w:r>
          </w:p>
        </w:tc>
        <w:tc>
          <w:tcPr>
            <w:tcW w:w="480" w:type="dxa"/>
            <w:vAlign w:val="bottom"/>
            <w:shd w:val="clear" w:color="auto" w:fill="CCEEFF"/>
          </w:tcPr>
          <w:p>
            <w:pPr>
              <w:jc w:val="right"/>
              <w:ind w:right="222"/>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437,500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9"/>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56,455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1,602,641</w:t>
            </w: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91,334</w:t>
            </w:r>
          </w:p>
        </w:tc>
        <w:tc>
          <w:tcPr>
            <w:tcW w:w="4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131,334</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Timothy K. Jugmans</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236,374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73,923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5"/>
                <w:szCs w:val="15"/>
                <w:color w:val="auto"/>
              </w:rPr>
            </w:pPr>
          </w:p>
        </w:tc>
        <w:tc>
          <w:tcPr>
            <w:tcW w:w="12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315,943</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117,761</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408,435</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220,096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307,950</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Philip E. Cohen</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350,390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21,028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1,871,418</w:t>
            </w:r>
          </w:p>
        </w:tc>
        <w:tc>
          <w:tcPr>
            <w:tcW w:w="0" w:type="dxa"/>
            <w:vAlign w:val="bottom"/>
          </w:tcPr>
          <w:p>
            <w:pPr>
              <w:spacing w:after="0"/>
              <w:rPr>
                <w:sz w:val="1"/>
                <w:szCs w:val="1"/>
                <w:color w:val="auto"/>
              </w:rPr>
            </w:pPr>
          </w:p>
        </w:tc>
      </w:tr>
      <w:tr>
        <w:trPr>
          <w:trHeight w:val="28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Lachlan P. Given </w:t>
            </w:r>
            <w:r>
              <w:rPr>
                <w:rFonts w:ascii="Times New Roman" w:cs="Times New Roman" w:eastAsia="Times New Roman" w:hAnsi="Times New Roman"/>
                <w:sz w:val="18"/>
                <w:szCs w:val="18"/>
                <w:color w:val="auto"/>
              </w:rPr>
              <w:t>(5)</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277,377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5"/>
                <w:szCs w:val="15"/>
                <w:color w:val="auto"/>
              </w:rPr>
            </w:pPr>
          </w:p>
        </w:tc>
        <w:tc>
          <w:tcPr>
            <w:tcW w:w="12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82,200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959,577</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Strategy, M&amp;A and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772,148</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1,973,054</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Officer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1,110,886</w:t>
            </w:r>
          </w:p>
        </w:tc>
        <w:tc>
          <w:tcPr>
            <w:tcW w:w="48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787,500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2,651,974</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Thomas H. Welch Jr.</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135,300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69,570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614,870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351,750</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1,023,958</w:t>
            </w:r>
          </w:p>
        </w:tc>
        <w:tc>
          <w:tcPr>
            <w:tcW w:w="0" w:type="dxa"/>
            <w:vAlign w:val="bottom"/>
          </w:tcPr>
          <w:p>
            <w:pPr>
              <w:spacing w:after="0"/>
              <w:rPr>
                <w:sz w:val="1"/>
                <w:szCs w:val="1"/>
                <w:color w:val="auto"/>
              </w:rPr>
            </w:pPr>
          </w:p>
        </w:tc>
      </w:tr>
      <w:tr>
        <w:trPr>
          <w:trHeight w:val="264"/>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762,108</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Stuart Grimshaw </w:t>
            </w:r>
            <w:r>
              <w:rPr>
                <w:rFonts w:ascii="Times New Roman" w:cs="Times New Roman" w:eastAsia="Times New Roman" w:hAnsi="Times New Roman"/>
                <w:sz w:val="18"/>
                <w:szCs w:val="18"/>
                <w:color w:val="auto"/>
              </w:rPr>
              <w:t>(5)</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4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5"/>
                <w:szCs w:val="15"/>
                <w:color w:val="auto"/>
              </w:rPr>
            </w:pPr>
          </w:p>
        </w:tc>
        <w:tc>
          <w:tcPr>
            <w:tcW w:w="12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121,538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1,121,538</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Chief Executive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2,573,824</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5,705,024</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3,702,943</w:t>
            </w:r>
          </w:p>
        </w:tc>
        <w:tc>
          <w:tcPr>
            <w:tcW w:w="48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7,503,754</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Daniel M. Chism</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192,115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506,623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698,738</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Chief Financial</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386,074</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1,032,571</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461,838</w:t>
            </w:r>
          </w:p>
        </w:tc>
        <w:tc>
          <w:tcPr>
            <w:tcW w:w="4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1,294,825</w:t>
            </w:r>
          </w:p>
        </w:tc>
        <w:tc>
          <w:tcPr>
            <w:tcW w:w="0" w:type="dxa"/>
            <w:vAlign w:val="bottom"/>
          </w:tcPr>
          <w:p>
            <w:pPr>
              <w:spacing w:after="0"/>
              <w:rPr>
                <w:sz w:val="1"/>
                <w:szCs w:val="1"/>
                <w:color w:val="auto"/>
              </w:rPr>
            </w:pPr>
          </w:p>
        </w:tc>
      </w:tr>
      <w:tr>
        <w:trPr>
          <w:trHeight w:val="54"/>
        </w:trPr>
        <w:tc>
          <w:tcPr>
            <w:tcW w:w="2280" w:type="dxa"/>
            <w:vAlign w:val="bottom"/>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60" w:type="dxa"/>
            <w:vAlign w:val="bottom"/>
            <w:gridSpan w:val="2"/>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120" w:hanging="332"/>
        <w:spacing w:after="0" w:line="282" w:lineRule="auto"/>
        <w:tabs>
          <w:tab w:leader="none" w:pos="33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under “Salary” reflect the gross amounts of base salary paid to each of the Named Executive Officers during the fiscal years so noted. The fiscal 2020 amounts for Mr. Kulas include amounts paid to him in the role of President and Chief Financial Officer (February 28, 2020 to July 6, 2020) and Chief Executive Officer (from July 6, 2020).</w:t>
      </w:r>
    </w:p>
    <w:p>
      <w:pPr>
        <w:spacing w:after="0" w:line="53"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3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restricted stock or restricted stock unit awards, computed in accordance with FASB ASC 718-10-25. See Note 10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fiscal 2020 amount shown for Mr. Kulas includes $112,116 related to a restricted stock award that he received as a director before joining the Company as an executive.</w:t>
      </w:r>
    </w:p>
    <w:p>
      <w:pPr>
        <w:spacing w:after="0" w:line="109" w:lineRule="exact"/>
        <w:rPr>
          <w:sz w:val="20"/>
          <w:szCs w:val="20"/>
          <w:color w:val="auto"/>
        </w:rPr>
      </w:pPr>
    </w:p>
    <w:p>
      <w:pPr>
        <w:ind w:left="340" w:right="700"/>
        <w:spacing w:after="0" w:line="282" w:lineRule="auto"/>
        <w:rPr>
          <w:sz w:val="20"/>
          <w:szCs w:val="20"/>
          <w:color w:val="auto"/>
        </w:rPr>
      </w:pPr>
      <w:r>
        <w:rPr>
          <w:rFonts w:ascii="Times New Roman" w:cs="Times New Roman" w:eastAsia="Times New Roman" w:hAnsi="Times New Roman"/>
          <w:sz w:val="14"/>
          <w:szCs w:val="14"/>
          <w:color w:val="auto"/>
        </w:rPr>
        <w:t>For a description of these awards, see the “Grant of Plan-Based Awards” table under “Incentive Plan Based Awards” below. See also “Compensation Discussion and Analysis — Components of Compensation — Long-Term Incentives” above.</w:t>
      </w:r>
    </w:p>
    <w:p>
      <w:pPr>
        <w:spacing w:after="0" w:line="54" w:lineRule="exact"/>
        <w:rPr>
          <w:sz w:val="20"/>
          <w:szCs w:val="20"/>
          <w:color w:val="auto"/>
        </w:rPr>
      </w:pPr>
    </w:p>
    <w:p>
      <w:pPr>
        <w:ind w:left="340" w:right="220" w:hanging="332"/>
        <w:spacing w:after="0" w:line="282"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bonuses paid pursuant to the Short-Term Incentive Compensation Plan. See “Compensation Discussion and Analysis — Components of Compensation — Annual Incentive Bonuses” above.</w:t>
      </w:r>
    </w:p>
    <w:p>
      <w:pPr>
        <w:spacing w:after="0" w:line="53" w:lineRule="exact"/>
        <w:rPr>
          <w:rFonts w:ascii="Times New Roman" w:cs="Times New Roman" w:eastAsia="Times New Roman" w:hAnsi="Times New Roman"/>
          <w:sz w:val="14"/>
          <w:szCs w:val="14"/>
          <w:color w:val="auto"/>
        </w:rPr>
      </w:pPr>
    </w:p>
    <w:p>
      <w:pPr>
        <w:ind w:left="340" w:right="10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2020 amount for Mr. Kulas represents the minimum fiscal 2020 STI payout that was guaranteed when Mr. Kulas joined the Company as President and Chief Financial Officer in February 2020.</w:t>
      </w:r>
    </w:p>
    <w:p>
      <w:pPr>
        <w:spacing w:after="0" w:line="53"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the cost of providing various perquisites and personal benefits, as well as the value of our contributions to the company-sponsored 401(k) plan and Supplemental Executive Retirement Plan. For Mr. Kulas, amounts include fees that were paid to him in his capacity as a non-employee director prior to his joining the Company as an executive in February 2020. For detail of the amounts shown for each Named Executive Officer, see the table under “Other Benefits and Perquisites — All Other Compensation” below.</w:t>
      </w:r>
    </w:p>
    <w:p>
      <w:pPr>
        <w:spacing w:after="0" w:line="68" w:lineRule="exact"/>
        <w:rPr>
          <w:rFonts w:ascii="Times New Roman" w:cs="Times New Roman" w:eastAsia="Times New Roman" w:hAnsi="Times New Roman"/>
          <w:sz w:val="14"/>
          <w:szCs w:val="14"/>
          <w:color w:val="auto"/>
        </w:rPr>
      </w:pPr>
    </w:p>
    <w:p>
      <w:pPr>
        <w:ind w:left="340" w:hanging="332"/>
        <w:spacing w:after="0" w:line="255"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Kulas and Mr. Given also serve on the board of directors of Cash Converters International Limited, with Mr. Kulas serving as non-executive chairman. Until August 28, 2020, Mr. Grimshaw served as non-executive chairman of Cash Converters International Limited, when he was replaced by Mr. Kulas. The director fees paid to each of them by Cash Converters International Limited were as follows: Mr. Given, approximately $70,000 each year; and Mr. Grimshaw, approximately $130,000 each year. These amounts are not included in the Summary Compensation Table, as they were paid by Cash Converters International Limited, which is not controlled by EZCORP.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our calculation of the ratio between the annual total compensation of Jason A. Kulas, our Chief Executive Officer, and the annual total compensation of our median Team Member (“CEO Pay Ratio”).</w:t>
      </w:r>
    </w:p>
    <w:p>
      <w:pPr>
        <w:spacing w:after="0" w:line="108" w:lineRule="exact"/>
        <w:rPr>
          <w:sz w:val="20"/>
          <w:szCs w:val="20"/>
          <w:color w:val="auto"/>
        </w:rPr>
      </w:pPr>
    </w:p>
    <w:p>
      <w:pPr>
        <w:ind w:left="660" w:right="30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Kulas’ total annual compensation for fiscal 2020 was $1,987,833. That number is derived from the numbers set forth in the Summary Compensation Table above, except that we annualized the the base salary to $850,000 and excluded the amount of director fees we paid to Mr. Kulas prior to his joining the Company as an executive in February 2020.</w:t>
      </w:r>
    </w:p>
    <w:p>
      <w:pPr>
        <w:spacing w:after="0" w:line="12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Team Member’s total annual compensation for fiscal 2020 was $13,878, consisting of gross annual wages, bonuses, retirement contributions and other benefits.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those numbers, our CEO Pay ratio for fiscal 2020 is 143:1.</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Because Mr. Kulas joined the Company four months into the fiscal year and then was promoted to CEO three-quarters through the fiscal year, the total compensation number shown in the Summary Compensation Table is not necessarily indicative of Mr. Kulas’ typical total annual compensation for a full year as CEO. Mr. Kulas’ total annual compensation, when considering base salary, short-term and long-term incentives at target levels and typical other compensation, is approximately $3,500,000. When using that number, our CEO Pay Ratio is 252:1.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CEO Pay Ratio is based on the following methodology:</w:t>
      </w:r>
    </w:p>
    <w:p>
      <w:pPr>
        <w:spacing w:after="0" w:line="171" w:lineRule="exact"/>
        <w:rPr>
          <w:sz w:val="20"/>
          <w:szCs w:val="20"/>
          <w:color w:val="auto"/>
        </w:rPr>
      </w:pPr>
    </w:p>
    <w:p>
      <w:pPr>
        <w:ind w:left="660" w:right="42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using the same median Team Member for our fiscal 2020 CEO Pay Ratio calculation as we used in fiscal 2019, as there have been no changes in employee population or compensation arrangements that would result in a significant change to our pay ratio disclosure.</w:t>
      </w:r>
    </w:p>
    <w:p>
      <w:pPr>
        <w:spacing w:after="0" w:line="107" w:lineRule="exact"/>
        <w:rPr>
          <w:rFonts w:ascii="Times New Roman" w:cs="Times New Roman" w:eastAsia="Times New Roman" w:hAnsi="Times New Roman"/>
          <w:sz w:val="18"/>
          <w:szCs w:val="18"/>
          <w:color w:val="auto"/>
        </w:rPr>
      </w:pPr>
    </w:p>
    <w:p>
      <w:pPr>
        <w:jc w:val="both"/>
        <w:ind w:left="660" w:right="220" w:hanging="328"/>
        <w:spacing w:after="0" w:line="261"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identified our median Team Member last year, we selected gross wages as the most appropriate measure of compensation and applied that measure consistently across our Team Member population. Gross wages generally include salary and wages (regular, hourly and overtime), commissions and bonuses. We annualized the compensation of all permanent full-time and part-time team members who were hired during the year.</w:t>
      </w:r>
    </w:p>
    <w:p>
      <w:pPr>
        <w:spacing w:after="0" w:line="1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calculated the median Team Member’s total annual compensation in accordance with the rules used to calculate the CEO’s compensation included in the Summary Compensation Table above.</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this methodology, we determined that our median Team Member was a full-time store manager located in Mexico where Team Member wages are significantly lower than in the U.S.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calculating CEO pay ratios, companies are permitted to adopt a variety of methodologies, apply certain exclusions and make reasonable estimates and assumptions reflecting their unique employee populations. Therefore,our CEO Pay Ratio, as described above, may not be comparable to CEO pay ratios reported by other companies due to differences in industries and geographical dispersion of employees, as well as the different estimates, assumptions and methodologies applied by other companies in calculating their CEO pay ratios.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Plan Based Awards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about plan-based awards that we made to the Named Executive Officers during fiscal 2020. For information about the plans under which these awards were granted, see “Compensation Discussion and Analysis — Components of Compensation — Annual Incentive Bonus” and “Compensation Discussion and Analysis — Components of Compensation — Long-Term Incentives” above.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80" w:type="dxa"/>
            <w:vAlign w:val="bottom"/>
          </w:tcPr>
          <w:p>
            <w:pPr>
              <w:spacing w:after="0"/>
              <w:rPr>
                <w:sz w:val="13"/>
                <w:szCs w:val="13"/>
                <w:color w:val="auto"/>
              </w:rPr>
            </w:pPr>
          </w:p>
        </w:tc>
        <w:tc>
          <w:tcPr>
            <w:tcW w:w="3080" w:type="dxa"/>
            <w:vAlign w:val="bottom"/>
            <w:gridSpan w:val="7"/>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Non-Equity Incentive Plan Awards (1)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 Incentive Plan Awards (2)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8"/>
                <w:szCs w:val="18"/>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8"/>
                <w:szCs w:val="18"/>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8"/>
                <w:szCs w:val="18"/>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80" w:type="dxa"/>
            <w:vAlign w:val="bottom"/>
          </w:tcPr>
          <w:p>
            <w:pPr>
              <w:spacing w:after="0"/>
              <w:rPr>
                <w:sz w:val="18"/>
                <w:szCs w:val="18"/>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6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18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(3)</w:t>
            </w:r>
          </w:p>
        </w:tc>
        <w:tc>
          <w:tcPr>
            <w:tcW w:w="0" w:type="dxa"/>
            <w:vAlign w:val="bottom"/>
          </w:tcPr>
          <w:p>
            <w:pPr>
              <w:spacing w:after="0"/>
              <w:rPr>
                <w:sz w:val="1"/>
                <w:szCs w:val="1"/>
                <w:color w:val="auto"/>
              </w:rPr>
            </w:pPr>
          </w:p>
        </w:tc>
      </w:tr>
      <w:tr>
        <w:trPr>
          <w:trHeight w:val="34"/>
        </w:trPr>
        <w:tc>
          <w:tcPr>
            <w:tcW w:w="18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2/28/2020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12/2/2019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12/2/2019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Grimshaw</w:t>
            </w: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12/2/2019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20" w:hanging="332"/>
        <w:spacing w:after="0" w:line="251"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potential payouts under the fiscal 2020 Short-Term Incentive Compensation Plan. See “Compensation Discussion and Analysis — Components of Compensation — Annual Incentive Bonuses” above. The “Target” amount is the amount that will be paid if the specified performance goals are achieved at the target level (although the Compensation Committee may reduce any award if it chooses to do so). The “Threshold” amount reflects the amount that would be paid if the minimum performance goals are achieved, while the “Maximum” amount represents the maximum amount that will be paid if the maximum performance goals are achieved or exceeded. See the “Non-Equity Incentive Plan Compensation” column in the Summary Compensation Table above for the amount of the actual payout for each of the Named Executive Officers.</w:t>
      </w:r>
    </w:p>
    <w:p>
      <w:pPr>
        <w:spacing w:after="0" w:line="76"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fiscal 2020 awards under the Long-Term Incentive Plan. The terms of the fiscal 2020 awards were never finalized, and thus, no fiscal 2020 awards were ever made. As discussed in “Compensation Discussion and Analysis — Components of Compensation — Long-Term Incentives” above, the People and Compensation Committee has approved replacement awards, and these awards will be shown as fiscal 2021 Equity Incentive Plan awards.</w:t>
      </w:r>
    </w:p>
    <w:p>
      <w:pPr>
        <w:spacing w:after="0" w:line="68" w:lineRule="exact"/>
        <w:rPr>
          <w:rFonts w:ascii="Times New Roman" w:cs="Times New Roman" w:eastAsia="Times New Roman" w:hAnsi="Times New Roman"/>
          <w:sz w:val="14"/>
          <w:szCs w:val="14"/>
          <w:color w:val="auto"/>
        </w:rPr>
      </w:pPr>
    </w:p>
    <w:p>
      <w:pPr>
        <w:jc w:val="both"/>
        <w:ind w:left="340" w:right="220" w:hanging="332"/>
        <w:spacing w:after="0" w:line="282"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grant date fair value of fiscal 2020 equity awards, assuming payout at “Target” level. This is the estimated amount of aggregate compensation cost we expect to recognize over the performance period, determined as of the grant date. See “Compensation Discussion and Analysis — Components of Compensation — Long-Term Incentives”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stock awards held by the Named Executive Officers as of the end of fiscal 2020. None of the Named Executive Officers holds any stock options.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Award Date</w:t>
            </w:r>
          </w:p>
        </w:tc>
        <w:tc>
          <w:tcPr>
            <w:tcW w:w="304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Number of Shares or Units of Stock That Have</w:t>
            </w:r>
          </w:p>
        </w:tc>
        <w:tc>
          <w:tcPr>
            <w:tcW w:w="620" w:type="dxa"/>
            <w:vAlign w:val="bottom"/>
          </w:tcPr>
          <w:p>
            <w:pPr>
              <w:spacing w:after="0"/>
              <w:rPr>
                <w:sz w:val="11"/>
                <w:szCs w:val="11"/>
                <w:color w:val="auto"/>
              </w:rPr>
            </w:pPr>
          </w:p>
        </w:tc>
        <w:tc>
          <w:tcPr>
            <w:tcW w:w="33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Market Value of Shares or Units of Stock That Have</w:t>
            </w:r>
          </w:p>
        </w:tc>
        <w:tc>
          <w:tcPr>
            <w:tcW w:w="0" w:type="dxa"/>
            <w:vAlign w:val="bottom"/>
          </w:tcPr>
          <w:p>
            <w:pPr>
              <w:spacing w:after="0"/>
              <w:rPr>
                <w:sz w:val="1"/>
                <w:szCs w:val="1"/>
                <w:color w:val="auto"/>
              </w:rPr>
            </w:pPr>
          </w:p>
        </w:tc>
      </w:tr>
      <w:tr>
        <w:trPr>
          <w:trHeight w:val="189"/>
        </w:trPr>
        <w:tc>
          <w:tcPr>
            <w:tcW w:w="294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040" w:type="dxa"/>
            <w:vAlign w:val="bottom"/>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Not Vested (1)</w:t>
            </w:r>
          </w:p>
        </w:tc>
        <w:tc>
          <w:tcPr>
            <w:tcW w:w="0" w:type="dxa"/>
            <w:vAlign w:val="bottom"/>
          </w:tcPr>
          <w:p>
            <w:pPr>
              <w:spacing w:after="0"/>
              <w:rPr>
                <w:sz w:val="1"/>
                <w:szCs w:val="1"/>
                <w:color w:val="auto"/>
              </w:rPr>
            </w:pPr>
          </w:p>
        </w:tc>
      </w:tr>
      <w:tr>
        <w:trPr>
          <w:trHeight w:val="34"/>
        </w:trPr>
        <w:tc>
          <w:tcPr>
            <w:tcW w:w="29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3/2/2020</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90,768</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456,563</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12/11/2018</w:t>
            </w:r>
          </w:p>
        </w:tc>
        <w:tc>
          <w:tcPr>
            <w:tcW w:w="10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64,525</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12/12/2017</w:t>
            </w:r>
          </w:p>
        </w:tc>
        <w:tc>
          <w:tcPr>
            <w:tcW w:w="10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70,048</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12/11/2018</w:t>
            </w:r>
          </w:p>
        </w:tc>
        <w:tc>
          <w:tcPr>
            <w:tcW w:w="10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84,112</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423,083</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12/12/2017</w:t>
            </w:r>
          </w:p>
        </w:tc>
        <w:tc>
          <w:tcPr>
            <w:tcW w:w="10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94,737</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476,527</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2/1/2016</w:t>
            </w:r>
          </w:p>
        </w:tc>
        <w:tc>
          <w:tcPr>
            <w:tcW w:w="10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377,250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12/11/2018</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192,735</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12/12/2017</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217,085</w:t>
            </w:r>
          </w:p>
        </w:tc>
        <w:tc>
          <w:tcPr>
            <w:tcW w:w="0" w:type="dxa"/>
            <w:vAlign w:val="bottom"/>
          </w:tcPr>
          <w:p>
            <w:pPr>
              <w:spacing w:after="0"/>
              <w:rPr>
                <w:sz w:val="1"/>
                <w:szCs w:val="1"/>
                <w:color w:val="auto"/>
              </w:rPr>
            </w:pP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Grimshaw</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12/11/2018</w:t>
            </w:r>
          </w:p>
        </w:tc>
        <w:tc>
          <w:tcPr>
            <w:tcW w:w="10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280,373</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1,410,276</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12/12/2017</w:t>
            </w:r>
          </w:p>
        </w:tc>
        <w:tc>
          <w:tcPr>
            <w:tcW w:w="100" w:type="dxa"/>
            <w:vAlign w:val="bottom"/>
          </w:tcPr>
          <w:p>
            <w:pPr>
              <w:spacing w:after="0"/>
              <w:rPr>
                <w:sz w:val="19"/>
                <w:szCs w:val="19"/>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315,789</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1,588,419</w:t>
            </w: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2/1/2016</w:t>
            </w:r>
          </w:p>
        </w:tc>
        <w:tc>
          <w:tcPr>
            <w:tcW w:w="10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503,000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is based on the closing price of our Class A Common Stock on September 30, 2020, the last market trading day of fiscal 2020 ($5.03).</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are scheduled to vest on February 28, 2021, the one-year anniversary of Mr. Kulas’ joining the Company as President and Chief Financial Officer.</w:t>
      </w:r>
    </w:p>
    <w:p>
      <w:pPr>
        <w:spacing w:after="0" w:line="55" w:lineRule="exact"/>
        <w:rPr>
          <w:rFonts w:ascii="Times New Roman" w:cs="Times New Roman" w:eastAsia="Times New Roman" w:hAnsi="Times New Roman"/>
          <w:sz w:val="14"/>
          <w:szCs w:val="14"/>
          <w:color w:val="auto"/>
        </w:rPr>
      </w:pPr>
    </w:p>
    <w:p>
      <w:pPr>
        <w:ind w:left="340" w:right="400" w:hanging="332"/>
        <w:spacing w:after="0" w:line="281"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are scheduled to vest on September 30, 2021 subject to the achievement of specified net income targets. See “Compensation Discussion and Analysis — Components of Compensation — Long-Term Incentives” above.</w:t>
      </w:r>
    </w:p>
    <w:p>
      <w:pPr>
        <w:spacing w:after="0" w:line="1" w:lineRule="exact"/>
        <w:rPr>
          <w:rFonts w:ascii="Times New Roman" w:cs="Times New Roman" w:eastAsia="Times New Roman" w:hAnsi="Times New Roman"/>
          <w:sz w:val="14"/>
          <w:szCs w:val="14"/>
          <w:color w:val="auto"/>
        </w:rPr>
      </w:pPr>
    </w:p>
    <w:p>
      <w:pPr>
        <w:jc w:val="both"/>
        <w:ind w:left="340" w:right="140" w:hanging="332"/>
        <w:spacing w:after="0" w:line="261" w:lineRule="auto"/>
        <w:tabs>
          <w:tab w:leader="none" w:pos="33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portion of these awards (5/6ths in the case of the awards granted in 2017, and 11/12ths in the case of the award granted in 2016) vested on December 14, 2020 following approval by the People and Compensation Committee. See “Compensation Discussion and Analysis — Components of Compensation — Long-Term Incentives — Vesting of Fiscal 2014 and Fiscal 2018 LTI Awards” above. The remainder of these awards were forfeited as of such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were forfeited upon execution of Mr. Grimshaw’s Transition Employment Agreement in November 2020.</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Mr. Chism’s outstanding awards were forfeited upon the termination of his employment in February 2020.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Vested</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following table sets forth, with respect to each of the Named Executive Officers, certain information about restricted stock vesting during fiscal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9"/>
        </w:trPr>
        <w:tc>
          <w:tcPr>
            <w:tcW w:w="6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Acquired on Vesting</w:t>
            </w:r>
          </w:p>
        </w:tc>
        <w:tc>
          <w:tcPr>
            <w:tcW w:w="460" w:type="dxa"/>
            <w:vAlign w:val="bottom"/>
          </w:tcPr>
          <w:p>
            <w:pPr>
              <w:spacing w:after="0"/>
              <w:rPr>
                <w:sz w:val="16"/>
                <w:szCs w:val="16"/>
                <w:color w:val="auto"/>
              </w:rPr>
            </w:pPr>
          </w:p>
        </w:tc>
        <w:tc>
          <w:tcPr>
            <w:tcW w:w="19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Value Realized on Vesting (1)</w:t>
            </w:r>
          </w:p>
        </w:tc>
      </w:tr>
      <w:tr>
        <w:trPr>
          <w:trHeight w:val="34"/>
        </w:trPr>
        <w:tc>
          <w:tcPr>
            <w:tcW w:w="6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124,583</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58,969</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81,374</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422,331</w:t>
            </w:r>
          </w:p>
        </w:tc>
      </w:tr>
      <w:tr>
        <w:trPr>
          <w:trHeight w:val="229"/>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192,398</w:t>
            </w: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 Grimshaw</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271,248</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1,407,777</w:t>
            </w: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0"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using the fair market value of the stock on the date of vesting.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award was made to Mr. Kulas on December 11, 2019 in his capacity as a non-employee director. It vested on September 30, 2019 (market value, $5.03 per share).</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vested on December 3, 2019 (market value, $5.19 per share) and are presented gross, exclusive of net shares withheld to satisfy individual tax withholding obligations.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and Perquisites</w:t>
      </w:r>
    </w:p>
    <w:p>
      <w:pPr>
        <w:spacing w:after="0" w:line="1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401(k) Retirement Plan </w:t>
      </w:r>
      <w:r>
        <w:rPr>
          <w:rFonts w:ascii="Times New Roman" w:cs="Times New Roman" w:eastAsia="Times New Roman" w:hAnsi="Times New Roman"/>
          <w:sz w:val="18"/>
          <w:szCs w:val="18"/>
          <w:color w:val="auto"/>
        </w:rPr>
        <w:t>— All team members are given an opportunity to participate in our 401(k) retirement savings plan (following a new-hire waiting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Subject to statutory limits of the IRS, this plan allows participants to have pre-tax amounts withheld from their pay and provides for a discretionary employer matching contribution (historically, 25% up to 6% of salary). Matching contributions are made in the form of cash. Participants may invest their contributions in various fund options, but are prohibited from investing their contributions in our common stock. A participant vests in the matching contributions pro rata over their first three years of service provided their hours worked requirement is met. All of a participant’s matching contributions vest 100% in the event of the participant’s death or disability or the termination of the plan due to a change in control.</w:t>
      </w:r>
    </w:p>
    <w:p>
      <w:pPr>
        <w:spacing w:after="0" w:line="1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Supplemental Executive Retirement Plan </w:t>
      </w:r>
      <w:r>
        <w:rPr>
          <w:rFonts w:ascii="Times New Roman" w:cs="Times New Roman" w:eastAsia="Times New Roman" w:hAnsi="Times New Roman"/>
          <w:sz w:val="18"/>
          <w:szCs w:val="18"/>
          <w:color w:val="auto"/>
        </w:rPr>
        <w:t>— The Internal Revenue Code limits the amount of pre-tax savings that highly paid executives can contribute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401(k) plan. To offset some of the negative impact of these limitations on retirement savings and to encourage retention of key executives, we provide selected executives with a non-qualified Supplemental Executive Retirement Plan (“SERP”), with similar investment alternatives as are available under the 401(k) retirement savings plan. Company contributions to the SERP are formula-based, reviewed and recommended by management and approved by the People and Compensation Committee each year. For fiscal 2020, our annual contributions to the SERP were calculated as a percentage of base salary as of October 1, 2019, with that percentage being 10% for executive officers and 6% for one other employee. For fiscal 2021, the Company contributions to the SERP will continue at the same rates for continuing Executive Officers. Under the terms of the SERP, participants are also allowed to voluntarily defer all or a portion of their salary and bonus payments into the SERP. There were ten participants in the SERP during fiscal 2020.</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Company contributed SERP funds have a vesting schedule as an additional retention tool. Generally, the funds vest over three years from the contribution date, with one-third vesting each year. All of a participant’s Company contributed SERP funds vest 100% in the event of the participant’s death or disability or the termination of the plan due to a change in control. In addition, all Company contributed SERP funds are 100% vested when a participant attains normal retirement age (generally 60 years old and five years of active service) while actively employed by us. All Company contributed SERP funds are forfeited, regardless of vesting status, if the participant’s employment is terminated for cause.</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SERP contributions, earnings and balance at the end of fiscal 2020 for each of the Named Executive Officers: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540" w:type="dxa"/>
            <w:vAlign w:val="bottom"/>
            <w:gridSpan w:val="3"/>
            <w:vMerge w:val="restart"/>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Company Contributions</w:t>
            </w:r>
          </w:p>
        </w:tc>
        <w:tc>
          <w:tcPr>
            <w:tcW w:w="15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Aggregate Earnings in</w:t>
            </w:r>
          </w:p>
        </w:tc>
        <w:tc>
          <w:tcPr>
            <w:tcW w:w="28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Forfeitures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135"/>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540" w:type="dxa"/>
            <w:vAlign w:val="bottom"/>
            <w:gridSpan w:val="3"/>
            <w:vMerge w:val="continue"/>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8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500" w:type="dxa"/>
            <w:vAlign w:val="bottom"/>
            <w:gridSpan w:val="3"/>
            <w:vMerge w:val="continue"/>
          </w:tcPr>
          <w:p>
            <w:pPr>
              <w:spacing w:after="0"/>
              <w:rPr>
                <w:sz w:val="11"/>
                <w:szCs w:val="11"/>
                <w:color w:val="auto"/>
              </w:rPr>
            </w:pPr>
          </w:p>
        </w:tc>
        <w:tc>
          <w:tcPr>
            <w:tcW w:w="14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89"/>
        </w:trPr>
        <w:tc>
          <w:tcPr>
            <w:tcW w:w="236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Fiscal 2020 (1)</w:t>
            </w: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2020 (2)</w:t>
            </w:r>
          </w:p>
        </w:tc>
        <w:tc>
          <w:tcPr>
            <w:tcW w:w="28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Fiscal 2020</w:t>
            </w:r>
          </w:p>
        </w:tc>
        <w:tc>
          <w:tcPr>
            <w:tcW w:w="2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Fiscal 2020</w:t>
            </w:r>
          </w:p>
        </w:tc>
        <w:tc>
          <w:tcPr>
            <w:tcW w:w="360" w:type="dxa"/>
            <w:vAlign w:val="bottom"/>
          </w:tcPr>
          <w:p>
            <w:pPr>
              <w:spacing w:after="0"/>
              <w:rPr>
                <w:sz w:val="16"/>
                <w:szCs w:val="16"/>
                <w:color w:val="auto"/>
              </w:rPr>
            </w:pPr>
          </w:p>
        </w:tc>
        <w:tc>
          <w:tcPr>
            <w:tcW w:w="104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0" w:type="dxa"/>
            <w:vAlign w:val="bottom"/>
          </w:tcPr>
          <w:p>
            <w:pPr>
              <w:spacing w:after="0"/>
              <w:rPr>
                <w:sz w:val="1"/>
                <w:szCs w:val="1"/>
                <w:color w:val="auto"/>
              </w:rPr>
            </w:pPr>
          </w:p>
        </w:tc>
      </w:tr>
      <w:tr>
        <w:trPr>
          <w:trHeight w:val="34"/>
        </w:trPr>
        <w:tc>
          <w:tcPr>
            <w:tcW w:w="23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9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9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492,012</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819,999</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Grimshaw</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941,210</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(173,140)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were included in the Summary Compensation Table above in the column labeled “All Other Compensation.”</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were not included in the Summary Compensation Table as the earnings were not in excess of market rates.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100" w:hanging="332"/>
        <w:spacing w:after="0" w:line="282" w:lineRule="auto"/>
        <w:tabs>
          <w:tab w:leader="none" w:pos="33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Aggregate Balance at September 30, 2020, the following amounts were previously reported as compensation in the Summary Compensation Tables for prior years: $300,000 for Mr. Given, $523,504 for Mr. Welch, $500,000 for Mr. Grimshaw, $90,000 for Mr. Chism,.</w:t>
      </w:r>
    </w:p>
    <w:p>
      <w:pPr>
        <w:spacing w:after="0" w:line="11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Other Compensation </w:t>
      </w:r>
      <w:r>
        <w:rPr>
          <w:rFonts w:ascii="Times New Roman" w:cs="Times New Roman" w:eastAsia="Times New Roman" w:hAnsi="Times New Roman"/>
          <w:sz w:val="18"/>
          <w:szCs w:val="18"/>
          <w:color w:val="auto"/>
        </w:rPr>
        <w:t>— The following table describes each component of the amounts shown in the “All Other Compensation” column in the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Table above.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Health Care</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Contributions to</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Supplemental Life</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Defined</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Housing</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6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Supplemental</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 Benefits (4)</w:t>
            </w:r>
          </w:p>
        </w:tc>
        <w:tc>
          <w:tcPr>
            <w:tcW w:w="260" w:type="dxa"/>
            <w:vAlign w:val="bottom"/>
          </w:tcPr>
          <w:p>
            <w:pPr>
              <w:spacing w:after="0"/>
              <w:rPr>
                <w:sz w:val="11"/>
                <w:szCs w:val="11"/>
                <w:color w:val="auto"/>
              </w:rPr>
            </w:pP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 (1)</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Premiums (2)</w:t>
            </w: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 (3)</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3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0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56,455</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82,200</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81,372</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153,588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77,664</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Stuart Grimshaw</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121,538</w:t>
            </w:r>
          </w:p>
        </w:tc>
        <w:tc>
          <w:tcPr>
            <w:tcW w:w="0" w:type="dxa"/>
            <w:vAlign w:val="bottom"/>
          </w:tcPr>
          <w:p>
            <w:pPr>
              <w:spacing w:after="0"/>
              <w:rPr>
                <w:sz w:val="1"/>
                <w:szCs w:val="1"/>
                <w:color w:val="auto"/>
              </w:rPr>
            </w:pPr>
          </w:p>
        </w:tc>
      </w:tr>
      <w:tr>
        <w:trPr>
          <w:trHeight w:val="229"/>
        </w:trPr>
        <w:tc>
          <w:tcPr>
            <w:tcW w:w="3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381,200</w:t>
            </w: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M. Chism</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80,587</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251" w:lineRule="auto"/>
        <w:tabs>
          <w:tab w:leader="none" w:pos="33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a fully insured supplemental executive medical plan to certain executives, including all of the Named Executive Officers, to cover most healthcare costs in excess of amounts covered by our health insurance plans. The amounts shown represent the total premiums paid for the supplemental executive medical plan for each of the Named Executive Officers during each of the years presented. Additionally, in fiscal 2018, from January 1, 2018 through April 30, 2018, we carried a fully insured International Medical Plan for certain executives, including all of the Named Executive Officers, and canceled their participation in the group health plan during that time. The amount shown in 2018 includes these additional premiums paid on behalf of the Named Executive Officers.</w:t>
      </w:r>
    </w:p>
    <w:p>
      <w:pPr>
        <w:spacing w:after="0" w:line="22" w:lineRule="exact"/>
        <w:rPr>
          <w:rFonts w:ascii="Times New Roman" w:cs="Times New Roman" w:eastAsia="Times New Roman" w:hAnsi="Times New Roman"/>
          <w:sz w:val="14"/>
          <w:szCs w:val="14"/>
          <w:color w:val="auto"/>
        </w:rPr>
      </w:pPr>
    </w:p>
    <w:p>
      <w:pPr>
        <w:ind w:left="340" w:right="360" w:hanging="332"/>
        <w:spacing w:after="0" w:line="281" w:lineRule="auto"/>
        <w:tabs>
          <w:tab w:leader="none" w:pos="33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group life insurance premiums paid on behalf of the Named Executive Officers. The benefit provides life and accidental death and dismemberment coverage for the Named Executive Officers at three times annual salary up to a maximum of $1 million.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Company contributions to the 401(k) plan and the Supplemental Executive Retirement Plan.</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as Other Benefits include the following:</w:t>
      </w:r>
    </w:p>
    <w:p>
      <w:pPr>
        <w:spacing w:after="0" w:line="55" w:lineRule="exact"/>
        <w:rPr>
          <w:rFonts w:ascii="Times New Roman" w:cs="Times New Roman" w:eastAsia="Times New Roman" w:hAnsi="Times New Roman"/>
          <w:sz w:val="14"/>
          <w:szCs w:val="14"/>
          <w:color w:val="auto"/>
        </w:rPr>
      </w:pPr>
    </w:p>
    <w:p>
      <w:pPr>
        <w:ind w:left="340" w:right="180"/>
        <w:spacing w:after="0" w:line="32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Kulas — The amounts shown represent directors fees paid to Mr. Kulas in his capacity as a non-employee director prior to his joining the Company as an executive in February 2020. Mr. Welch — The amounts shown represent Company-paid subsidy for health club membership.</w:t>
      </w:r>
    </w:p>
    <w:p>
      <w:pPr>
        <w:ind w:left="340" w:right="14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Grimshaw — The amounts shown represent perquisites and other personal benefits, including relocation benefits and reimbursement of U.S. taxes incurred in connection with the sale of his principal residence in Sydney, Australia, spousal travel for business-related meetings and Company-paid subsidy for health club membership.</w:t>
      </w:r>
    </w:p>
    <w:p>
      <w:pPr>
        <w:spacing w:after="0" w:line="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Chism — The amount shown represents severance paid to Mr. Chism in connection with his termination of employment in February 2020.</w:t>
      </w:r>
    </w:p>
    <w:p>
      <w:pPr>
        <w:spacing w:after="0" w:line="165"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Certain Termination and Change-in-Control Benefits </w:t>
      </w:r>
      <w:r>
        <w:rPr>
          <w:rFonts w:ascii="Times New Roman" w:cs="Times New Roman" w:eastAsia="Times New Roman" w:hAnsi="Times New Roman"/>
          <w:sz w:val="18"/>
          <w:szCs w:val="18"/>
          <w:color w:val="auto"/>
        </w:rPr>
        <w:t>— The following is a summary of various agreements that provide for benefits to the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upon termination of employment or a change-in-control:</w:t>
      </w:r>
    </w:p>
    <w:p>
      <w:pPr>
        <w:spacing w:after="0" w:line="104" w:lineRule="exact"/>
        <w:rPr>
          <w:sz w:val="20"/>
          <w:szCs w:val="20"/>
          <w:color w:val="auto"/>
        </w:rPr>
      </w:pPr>
    </w:p>
    <w:p>
      <w:pPr>
        <w:ind w:left="660" w:right="360" w:hanging="328"/>
        <w:spacing w:after="0" w:line="284"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Award Agreements </w:t>
      </w:r>
      <w:r>
        <w:rPr>
          <w:rFonts w:ascii="Times New Roman" w:cs="Times New Roman" w:eastAsia="Times New Roman" w:hAnsi="Times New Roman"/>
          <w:sz w:val="18"/>
          <w:szCs w:val="18"/>
          <w:color w:val="auto"/>
        </w:rPr>
        <w:t>— The standard restricted stock award agreement pursuant to which we grant restricted stock or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to our team members generally provides that vesting is accelerated in the event of the holder’s death or disability.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600" w:hanging="328"/>
        <w:spacing w:after="0" w:line="284" w:lineRule="auto"/>
        <w:tabs>
          <w:tab w:leader="none" w:pos="655" w:val="left"/>
        </w:tabs>
        <w:numPr>
          <w:ilvl w:val="0"/>
          <w:numId w:val="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SERP Contributions </w:t>
      </w:r>
      <w:r>
        <w:rPr>
          <w:rFonts w:ascii="Times New Roman" w:cs="Times New Roman" w:eastAsia="Times New Roman" w:hAnsi="Times New Roman"/>
          <w:sz w:val="18"/>
          <w:szCs w:val="18"/>
          <w:color w:val="auto"/>
        </w:rPr>
        <w:t>— For all executives who participate in the SERP (including the Named Executive Officers), any unvested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to the SERP will vest in the case of death or disability of the participant or a change-in-control.</w:t>
      </w:r>
    </w:p>
    <w:p>
      <w:pPr>
        <w:spacing w:after="0" w:line="104" w:lineRule="exact"/>
        <w:rPr>
          <w:rFonts w:ascii="Times New Roman" w:cs="Times New Roman" w:eastAsia="Times New Roman" w:hAnsi="Times New Roman"/>
          <w:sz w:val="18"/>
          <w:szCs w:val="18"/>
          <w:i w:val="1"/>
          <w:iCs w:val="1"/>
          <w:color w:val="auto"/>
        </w:rPr>
      </w:pPr>
    </w:p>
    <w:p>
      <w:pPr>
        <w:ind w:left="660" w:right="40" w:hanging="328"/>
        <w:spacing w:after="0" w:line="284"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severance benefits </w:t>
      </w:r>
      <w:r>
        <w:rPr>
          <w:rFonts w:ascii="Times New Roman" w:cs="Times New Roman" w:eastAsia="Times New Roman" w:hAnsi="Times New Roman"/>
          <w:sz w:val="18"/>
          <w:szCs w:val="18"/>
          <w:color w:val="auto"/>
        </w:rPr>
        <w:t>— We currently provide each of our executive officers (other than Mr. Cohen) with one-year salary continuation if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her employment is terminated by the Company without cause.</w:t>
      </w:r>
    </w:p>
    <w:p>
      <w:pPr>
        <w:spacing w:after="0" w:line="106"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2020:</w:t>
      </w:r>
    </w:p>
    <w:tbl>
      <w:tblPr>
        <w:tblLayout w:type="fixed"/>
        <w:tblInd w:w="0" w:type="dxa"/>
        <w:tblCellMar>
          <w:top w:w="0" w:type="dxa"/>
          <w:left w:w="0" w:type="dxa"/>
          <w:bottom w:w="0" w:type="dxa"/>
          <w:right w:w="0" w:type="dxa"/>
        </w:tblCellMar>
      </w:tblPr>
      <w:tr>
        <w:trPr>
          <w:trHeight w:val="147"/>
        </w:trPr>
        <w:tc>
          <w:tcPr>
            <w:tcW w:w="3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Accelerated Vesting</w:t>
            </w:r>
          </w:p>
        </w:tc>
        <w:tc>
          <w:tcPr>
            <w:tcW w:w="120" w:type="dxa"/>
            <w:vAlign w:val="bottom"/>
          </w:tcPr>
          <w:p>
            <w:pPr>
              <w:spacing w:after="0"/>
              <w:rPr>
                <w:sz w:val="12"/>
                <w:szCs w:val="12"/>
                <w:color w:val="auto"/>
              </w:rPr>
            </w:pPr>
          </w:p>
        </w:tc>
        <w:tc>
          <w:tcPr>
            <w:tcW w:w="1380" w:type="dxa"/>
            <w:vAlign w:val="bottom"/>
            <w:vMerge w:val="restart"/>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8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1380" w:type="dxa"/>
            <w:vAlign w:val="bottom"/>
          </w:tcPr>
          <w:p>
            <w:pPr>
              <w:jc w:val="center"/>
              <w:ind w:right="373"/>
              <w:spacing w:after="0" w:line="135" w:lineRule="exact"/>
              <w:rPr>
                <w:sz w:val="20"/>
                <w:szCs w:val="20"/>
                <w:color w:val="auto"/>
              </w:rPr>
            </w:pPr>
            <w:r>
              <w:rPr>
                <w:rFonts w:ascii="Times New Roman" w:cs="Times New Roman" w:eastAsia="Times New Roman" w:hAnsi="Times New Roman"/>
                <w:sz w:val="14"/>
                <w:szCs w:val="14"/>
                <w:b w:val="1"/>
                <w:bCs w:val="1"/>
                <w:color w:val="auto"/>
                <w:w w:val="99"/>
              </w:rPr>
              <w:t>Vesting of</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20" w:type="dxa"/>
            <w:vAlign w:val="bottom"/>
          </w:tcPr>
          <w:p>
            <w:pPr>
              <w:spacing w:after="0"/>
              <w:rPr>
                <w:sz w:val="16"/>
                <w:szCs w:val="16"/>
                <w:color w:val="auto"/>
              </w:rPr>
            </w:pPr>
          </w:p>
        </w:tc>
        <w:tc>
          <w:tcPr>
            <w:tcW w:w="138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SERP Balance</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00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Resignation for Good Reason:</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$850,000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 Without Cause:</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Death or Disability:</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E. Cohen</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120,000</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 (2)</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subject to accelerated vesting (as described above), multiplied by the closing sales price of the Class A Common Stock on September 30, 2020 ($5.03).</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Welch was fully vested in his SERP account at September 30, 2020.</w:t>
      </w:r>
    </w:p>
    <w:p>
      <w:pPr>
        <w:spacing w:after="0" w:line="1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People and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non-employee director receives a basic annual retainer fee, with the Lead Independent Director, the chair of the Audit Committee and the chair of the People and Compensation Committee each receiving an additional amount. During fiscal 2020, the basic annual retainer fee was $80,000, and additional amounts paid to the Lead Independent Director, the chair of the Audit Committee and the chair of the People and Compensation Committee were $40,000, $27,500 and $15,000, respectively. Annual retainer fees are paid in cash on a quarterly basis.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termination provisions), are determined by the Board of Directors upon the recommendation of the People and Compensation Committee.</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non-employee directors for fiscal 2020. Mr. Cohen and Mr. Kulas are executive officers of the Company and do not receive any additional compensation for serving on the Board of Directors.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840" w:type="dxa"/>
            <w:vAlign w:val="bottom"/>
            <w:gridSpan w:val="3"/>
          </w:tcPr>
          <w:p>
            <w:pPr>
              <w:jc w:val="center"/>
              <w:ind w:left="2059"/>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340" w:type="dxa"/>
            <w:vAlign w:val="bottom"/>
          </w:tcPr>
          <w:p>
            <w:pPr>
              <w:spacing w:after="0"/>
              <w:rPr>
                <w:sz w:val="13"/>
                <w:szCs w:val="13"/>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vMerge w:val="continue"/>
          </w:tcPr>
          <w:p>
            <w:pPr>
              <w:spacing w:after="0"/>
              <w:rPr>
                <w:sz w:val="16"/>
                <w:szCs w:val="16"/>
                <w:color w:val="auto"/>
              </w:rPr>
            </w:pPr>
          </w:p>
        </w:tc>
        <w:tc>
          <w:tcPr>
            <w:tcW w:w="26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Awards (1)</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260" w:type="dxa"/>
            <w:vAlign w:val="bottom"/>
            <w:tcBorders>
              <w:top w:val="single" w:sz="8" w:color="auto"/>
            </w:tcBorders>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W. Appel</w:t>
            </w:r>
          </w:p>
        </w:tc>
        <w:tc>
          <w:tcPr>
            <w:tcW w:w="2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Zena Srivatsa Arnold</w:t>
            </w:r>
          </w:p>
        </w:tc>
        <w:tc>
          <w:tcPr>
            <w:tcW w:w="2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192,116</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Shelagmichael Brown</w:t>
            </w:r>
          </w:p>
        </w:tc>
        <w:tc>
          <w:tcPr>
            <w:tcW w:w="2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Hugo R. Dooner</w:t>
            </w:r>
          </w:p>
        </w:tc>
        <w:tc>
          <w:tcPr>
            <w:tcW w:w="2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 (2)</w:t>
            </w:r>
          </w:p>
        </w:tc>
        <w:tc>
          <w:tcPr>
            <w:tcW w:w="2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Pablo Lagos Espinosa</w:t>
            </w:r>
          </w:p>
        </w:tc>
        <w:tc>
          <w:tcPr>
            <w:tcW w:w="2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 V. Stone</w:t>
            </w:r>
          </w:p>
        </w:tc>
        <w:tc>
          <w:tcPr>
            <w:tcW w:w="2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192,116</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L. Tillett</w:t>
            </w:r>
          </w:p>
        </w:tc>
        <w:tc>
          <w:tcPr>
            <w:tcW w:w="2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192,116</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K. (Robb) Webb</w:t>
            </w:r>
          </w:p>
        </w:tc>
        <w:tc>
          <w:tcPr>
            <w:tcW w:w="2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192,116</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Rosa Zeegers</w:t>
            </w:r>
          </w:p>
        </w:tc>
        <w:tc>
          <w:tcPr>
            <w:tcW w:w="2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right="140" w:hanging="332"/>
        <w:spacing w:after="0" w:line="261" w:lineRule="auto"/>
        <w:tabs>
          <w:tab w:leader="none" w:pos="33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restricted stock awards, computed in accordance with FASB ASC 718-10-25. See Note 10 of Notes to Consolidated Financial Statements included in “Part II, Item 8 — Financial Statements and Supplementary Data.” The actual value realized by the director with respect to stock awards will depend on the market value of our stock on the date the stock is sold.</w:t>
      </w:r>
    </w:p>
    <w:p>
      <w:pPr>
        <w:spacing w:after="0" w:line="68" w:lineRule="exact"/>
        <w:rPr>
          <w:rFonts w:ascii="Times New Roman" w:cs="Times New Roman" w:eastAsia="Times New Roman" w:hAnsi="Times New Roman"/>
          <w:sz w:val="14"/>
          <w:szCs w:val="14"/>
          <w:color w:val="auto"/>
        </w:rPr>
      </w:pPr>
    </w:p>
    <w:p>
      <w:pPr>
        <w:ind w:left="340" w:right="10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non-employee directors received a grant of 24,768 shares of restricted stock in December 2019. That amount was determined by dividing $160,000 (200% times the annual director fee) by $6.46, the trading price of the Class A Common Stock at the beginning of fiscal 2020. All of these shares vested on September 30, 2020. The values shown were computed using the closing price of our Class A Common Stock on the date of grant, which differed from the amount used to determine the number of shares awarded.</w:t>
      </w:r>
    </w:p>
    <w:p>
      <w:pPr>
        <w:spacing w:after="0" w:line="68"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none of the non-employee directors held shares of unvested restricted stock.</w:t>
      </w:r>
    </w:p>
    <w:p>
      <w:pPr>
        <w:spacing w:after="0" w:line="109" w:lineRule="exact"/>
        <w:rPr>
          <w:rFonts w:ascii="Times New Roman" w:cs="Times New Roman" w:eastAsia="Times New Roman" w:hAnsi="Times New Roman"/>
          <w:sz w:val="14"/>
          <w:szCs w:val="14"/>
          <w:color w:val="auto"/>
        </w:rPr>
      </w:pPr>
    </w:p>
    <w:p>
      <w:pPr>
        <w:ind w:left="340" w:right="60" w:hanging="332"/>
        <w:spacing w:after="0" w:line="282" w:lineRule="auto"/>
        <w:tabs>
          <w:tab w:leader="none" w:pos="328"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Kulas served as a non-employee director until February 28, 2020, when he joined the Company as President and Chief Financial Officer. The amounts shown indicate the compensation paid to him in the capacity of non-employee director.</w:t>
      </w:r>
    </w:p>
    <w:p>
      <w:pPr>
        <w:spacing w:after="0" w:line="1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non-employee director compensation program for fiscal 2021 will generally be the same as the fiscal 2020 program described above, except that the annual equity award program will be transitioned to begin and end on annual stockholder meeting dates. To implement that, the non-employee directors will receive a grant of 15,905 share of restricted stock in December 2020. That amount was determined by dividing $80,000 (one-half of the normal equity grant) by $5.03, the trading price of the Class A Common Stock at the beginning of fiscal 2021. Those shares will vest on March 31, 2021. At the next annual meeting of stockholders (likely to be in March 2021), at which directors are elected to serve for a one-year term, the non-employee directors will receive a full annual award ($160,000, representing 200% times the annual director fee, divided by the closing trading price of the Class A Common Stock on the day immediately preceding the annual meeting), and those shares will vest on the date of the annual meeting of stockholders in 2022.</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12 — SECURITY OWNERSHIP OF CERTAIN BENEFICIAL OWNERS AND MANAGEMENT AND RELATED STOCKHOLDER MATTERS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2020:</w:t>
      </w:r>
    </w:p>
    <w:tbl>
      <w:tblPr>
        <w:tblLayout w:type="fixed"/>
        <w:tblInd w:w="0" w:type="dxa"/>
        <w:tblCellMar>
          <w:top w:w="0" w:type="dxa"/>
          <w:left w:w="0" w:type="dxa"/>
          <w:bottom w:w="0" w:type="dxa"/>
          <w:right w:w="0" w:type="dxa"/>
        </w:tblCellMar>
      </w:tblPr>
      <w:tr>
        <w:trPr>
          <w:trHeight w:val="147"/>
        </w:trPr>
        <w:tc>
          <w:tcPr>
            <w:tcW w:w="5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80" w:type="dxa"/>
            <w:vAlign w:val="bottom"/>
          </w:tcPr>
          <w:p>
            <w:pPr>
              <w:spacing w:after="0"/>
              <w:rPr>
                <w:sz w:val="11"/>
                <w:szCs w:val="11"/>
                <w:color w:val="auto"/>
              </w:rPr>
            </w:pPr>
          </w:p>
        </w:tc>
        <w:tc>
          <w:tcPr>
            <w:tcW w:w="16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80" w:type="dxa"/>
            <w:vAlign w:val="bottom"/>
          </w:tcPr>
          <w:p>
            <w:pPr>
              <w:spacing w:after="0"/>
              <w:rPr>
                <w:sz w:val="11"/>
                <w:szCs w:val="11"/>
                <w:color w:val="auto"/>
              </w:rPr>
            </w:pPr>
          </w:p>
        </w:tc>
        <w:tc>
          <w:tcPr>
            <w:tcW w:w="16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35"/>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80" w:type="dxa"/>
            <w:vAlign w:val="bottom"/>
          </w:tcPr>
          <w:p>
            <w:pPr>
              <w:spacing w:after="0"/>
              <w:rPr>
                <w:sz w:val="11"/>
                <w:szCs w:val="11"/>
                <w:color w:val="auto"/>
              </w:rPr>
            </w:pPr>
          </w:p>
        </w:tc>
        <w:tc>
          <w:tcPr>
            <w:tcW w:w="16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 (1)</w:t>
            </w:r>
          </w:p>
        </w:tc>
        <w:tc>
          <w:tcPr>
            <w:tcW w:w="18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34"/>
        </w:trPr>
        <w:tc>
          <w:tcPr>
            <w:tcW w:w="5380" w:type="dxa"/>
            <w:vAlign w:val="bottom"/>
            <w:tcBorders>
              <w:top w:val="single" w:sz="8" w:color="auto"/>
            </w:tcBorders>
          </w:tcPr>
          <w:p>
            <w:pPr>
              <w:spacing w:after="0"/>
              <w:rPr>
                <w:sz w:val="2"/>
                <w:szCs w:val="2"/>
                <w:color w:val="auto"/>
              </w:rPr>
            </w:pPr>
          </w:p>
        </w:tc>
        <w:tc>
          <w:tcPr>
            <w:tcW w:w="1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6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1,344,115</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top w:val="single" w:sz="8" w:color="auto"/>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1,344,115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1,108,920 shares of unvested restricted stock that were outstanding as of September 30, 2020.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December 1, 2020 (except as noted below) for (i) each person known to us to be the beneficial owner of more than 5% of the total number of shares outstanding, (ii) each of our directors, (iii) each of the Named Executive Officers, and (iv) all directors and executive officers as a group. Unless otherwise indicated, each person named below holds sole voting and investment power over the shares shown, subject to community property laws where applicable.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Non-voting</w:t>
            </w: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 Voting</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2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0" w:type="dxa"/>
            <w:vAlign w:val="bottom"/>
          </w:tcPr>
          <w:p>
            <w:pPr>
              <w:spacing w:after="0"/>
              <w:rPr>
                <w:sz w:val="15"/>
                <w:szCs w:val="15"/>
                <w:color w:val="auto"/>
              </w:rPr>
            </w:pPr>
          </w:p>
        </w:tc>
        <w:tc>
          <w:tcPr>
            <w:tcW w:w="132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4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5"/>
                <w:szCs w:val="15"/>
                <w:color w:val="auto"/>
              </w:rPr>
            </w:pPr>
          </w:p>
        </w:tc>
        <w:tc>
          <w:tcPr>
            <w:tcW w:w="13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Voting Percent</w:t>
            </w:r>
          </w:p>
        </w:tc>
        <w:tc>
          <w:tcPr>
            <w:tcW w:w="0" w:type="dxa"/>
            <w:vAlign w:val="bottom"/>
          </w:tcPr>
          <w:p>
            <w:pPr>
              <w:spacing w:after="0"/>
              <w:rPr>
                <w:sz w:val="1"/>
                <w:szCs w:val="1"/>
                <w:color w:val="auto"/>
              </w:rPr>
            </w:pPr>
          </w:p>
        </w:tc>
      </w:tr>
      <w:tr>
        <w:trPr>
          <w:trHeight w:val="34"/>
        </w:trPr>
        <w:tc>
          <w:tcPr>
            <w:tcW w:w="310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MS Pawn Limited Partnership (a)</w:t>
            </w: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MS Pawn Corporation</w:t>
            </w: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Phillip Ean Cohen</w:t>
            </w: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2500 Bee Cave Road</w:t>
            </w: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Bldg One, Suite 200</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2,974,047</w:t>
            </w:r>
          </w:p>
        </w:tc>
        <w:tc>
          <w:tcPr>
            <w:tcW w:w="116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(b)</w:t>
            </w:r>
          </w:p>
        </w:tc>
        <w:tc>
          <w:tcPr>
            <w:tcW w:w="166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5.38 %   (b)</w:t>
            </w:r>
          </w:p>
        </w:tc>
        <w:tc>
          <w:tcPr>
            <w:tcW w:w="1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2,970,171</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Rollingwood, Texas 78746</w:t>
            </w:r>
          </w:p>
        </w:tc>
        <w:tc>
          <w:tcPr>
            <w:tcW w:w="1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Blackrock, Inc.</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Times New Roman" w:cs="Times New Roman" w:eastAsia="Times New Roman" w:hAnsi="Times New Roman"/>
                <w:sz w:val="14"/>
                <w:szCs w:val="14"/>
                <w:color w:val="auto"/>
              </w:rPr>
              <w:t>55 East 52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color w:val="auto"/>
              </w:rPr>
              <w:t xml:space="preserve"> Street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7,397,511</w:t>
            </w:r>
          </w:p>
        </w:tc>
        <w:tc>
          <w:tcPr>
            <w:tcW w:w="116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(c)</w:t>
            </w:r>
          </w:p>
        </w:tc>
        <w:tc>
          <w:tcPr>
            <w:tcW w:w="10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14.14 %</w:t>
            </w:r>
          </w:p>
        </w:tc>
        <w:tc>
          <w:tcPr>
            <w:tcW w:w="60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New York 10055</w:t>
            </w:r>
          </w:p>
        </w:tc>
        <w:tc>
          <w:tcPr>
            <w:tcW w:w="1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Lafitte Capital Management LP</w:t>
            </w: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13505 Fitzhugh Road, Bldg 1</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4,479,139</w:t>
            </w:r>
          </w:p>
        </w:tc>
        <w:tc>
          <w:tcPr>
            <w:tcW w:w="116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(c)</w:t>
            </w:r>
          </w:p>
        </w:tc>
        <w:tc>
          <w:tcPr>
            <w:tcW w:w="10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8.56 %</w:t>
            </w:r>
          </w:p>
        </w:tc>
        <w:tc>
          <w:tcPr>
            <w:tcW w:w="6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Austin, Texas 78737</w:t>
            </w:r>
          </w:p>
        </w:tc>
        <w:tc>
          <w:tcPr>
            <w:tcW w:w="1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Dimensional Fund Advisors LP</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6300 Bee Cave Road, Building One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4,310,876</w:t>
            </w:r>
          </w:p>
        </w:tc>
        <w:tc>
          <w:tcPr>
            <w:tcW w:w="116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(c)</w:t>
            </w:r>
          </w:p>
        </w:tc>
        <w:tc>
          <w:tcPr>
            <w:tcW w:w="10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8.24 %</w:t>
            </w:r>
          </w:p>
        </w:tc>
        <w:tc>
          <w:tcPr>
            <w:tcW w:w="60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Austin, Texas 78746</w:t>
            </w:r>
          </w:p>
        </w:tc>
        <w:tc>
          <w:tcPr>
            <w:tcW w:w="1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Vanguard Group, Inc.</w:t>
            </w: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P.O. Box 2600, V26</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3,513,202</w:t>
            </w:r>
          </w:p>
        </w:tc>
        <w:tc>
          <w:tcPr>
            <w:tcW w:w="116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(c)</w:t>
            </w:r>
          </w:p>
        </w:tc>
        <w:tc>
          <w:tcPr>
            <w:tcW w:w="10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6.71 %</w:t>
            </w:r>
          </w:p>
        </w:tc>
        <w:tc>
          <w:tcPr>
            <w:tcW w:w="6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Valley Forge, Pennsylvania 19482-2600</w:t>
            </w:r>
          </w:p>
        </w:tc>
        <w:tc>
          <w:tcPr>
            <w:tcW w:w="1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First Wilshire Securities Management, Inc.</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1214 East Green Street, Suite 104</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2,878,786</w:t>
            </w:r>
          </w:p>
        </w:tc>
        <w:tc>
          <w:tcPr>
            <w:tcW w:w="116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(c)</w:t>
            </w:r>
          </w:p>
        </w:tc>
        <w:tc>
          <w:tcPr>
            <w:tcW w:w="10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color w:val="auto"/>
              </w:rPr>
              <w:t>5.50 %</w:t>
            </w:r>
          </w:p>
        </w:tc>
        <w:tc>
          <w:tcPr>
            <w:tcW w:w="60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Pasadena, California 91106-3171</w:t>
            </w:r>
          </w:p>
        </w:tc>
        <w:tc>
          <w:tcPr>
            <w:tcW w:w="1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Renaissance Technologies LLC</w:t>
            </w:r>
          </w:p>
        </w:tc>
        <w:tc>
          <w:tcPr>
            <w:tcW w:w="1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800 Third Avenue</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2,713,059</w:t>
            </w:r>
          </w:p>
        </w:tc>
        <w:tc>
          <w:tcPr>
            <w:tcW w:w="116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(c)</w:t>
            </w:r>
          </w:p>
        </w:tc>
        <w:tc>
          <w:tcPr>
            <w:tcW w:w="10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5.18 %</w:t>
            </w:r>
          </w:p>
        </w:tc>
        <w:tc>
          <w:tcPr>
            <w:tcW w:w="6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New York, New York 10022</w:t>
            </w:r>
          </w:p>
        </w:tc>
        <w:tc>
          <w:tcPr>
            <w:tcW w:w="1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W. Appel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111,071</w:t>
            </w:r>
          </w:p>
        </w:tc>
        <w:tc>
          <w:tcPr>
            <w:tcW w:w="116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Zena Srivatsa Arnold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Shelagmichael Brown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16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Hugo R. Dooner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Pablo Lagos Espinosa</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140,771</w:t>
            </w:r>
          </w:p>
        </w:tc>
        <w:tc>
          <w:tcPr>
            <w:tcW w:w="116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Jason A. Kulas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40,352</w:t>
            </w: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Kent V. Stone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16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Gary L. Tillett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W. K. Webb</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16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Rosa Zeegers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33,352</w:t>
            </w: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Timothy K. Jugmans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(d)</w:t>
            </w: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Lachlan P. Given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443,058</w:t>
            </w:r>
          </w:p>
        </w:tc>
        <w:tc>
          <w:tcPr>
            <w:tcW w:w="11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(e)</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Thomas H. Welch, Jr.</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153,338</w:t>
            </w: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(f)</w:t>
            </w: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Directors and executive officers as a group (18</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4,237,171</w:t>
            </w:r>
          </w:p>
        </w:tc>
        <w:tc>
          <w:tcPr>
            <w:tcW w:w="116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4237171  (g)</w:t>
            </w:r>
          </w:p>
        </w:tc>
        <w:tc>
          <w:tcPr>
            <w:tcW w:w="106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8.10 %</w:t>
            </w:r>
          </w:p>
        </w:tc>
        <w:tc>
          <w:tcPr>
            <w:tcW w:w="6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2,970,171</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persons)</w:t>
            </w:r>
          </w:p>
        </w:tc>
        <w:tc>
          <w:tcPr>
            <w:tcW w:w="1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60" w:hanging="332"/>
        <w:spacing w:after="0" w:line="281" w:lineRule="auto"/>
        <w:tabs>
          <w:tab w:leader="none" w:pos="33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and percentage reflect Class A Common Stock, inclusive of Class B Common Stock, shares of which are convertible to Class A Common Stock on a one-to-one basis.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based on Form 13F.</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11,605 unvested restricted stock units expected to vest within 60 days of December 1, 2020..</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147,698 unvested restricted stock units expected to vest within 60 days of December 1, 2020.</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35,965 unvested restricted stock units expected to vest within 60 days of December 1, 2020 and 433 shares held through the Company’s 401(k) retirement savings plan.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220" w:hanging="332"/>
        <w:spacing w:after="0" w:line="281" w:lineRule="auto"/>
        <w:tabs>
          <w:tab w:leader="none" w:pos="33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Group includes those persons who were serving as directors and executive officers on December 1, 2020. Number shown includes 433 shares held through our 401(k) retirement savings plan and 249,780 unvested restricted stock units expected to vest within 60 days of December 1, 2020.</w:t>
      </w:r>
    </w:p>
    <w:p>
      <w:pPr>
        <w:spacing w:after="0" w:line="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Shares beneficially owned do not exceed one percent of Class A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Transactions with Related Persons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arrangement with Nicholas Cohen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Nicholas Cohen, the son of Phillip E. Cohen, the beneficial owner of all of our Class B Voting Common Stock and our Executive Chairman, has been an employee of the Company since May 2018. Effective October 1, 2020, Nicolas Cohen was promoted to the position of Senior Director, Business Optimization and Implementation with an annual base salary of $200,000, a target short-term incentive bonus of 30% of base salary ($60,000) and healthcare and other benefits typically provided to similarly positioned team members. The Company considers the employment relationship with Nicholas Cohen to be a related party transaction that is subject to the Company’s Policy for Review and Evaluation of Related Party Transactions. Accordingly, prior to promotion and compensation increase discussed above, the Audit Committee reviewed and approved the extension of the promotion and the terms of employment.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2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Board has evaluated all relationships between each the Company and each of the persons who served as a director during any portion of fiscal 2020 and has made the following determinations with respect to each director’s independence:</w:t>
      </w:r>
    </w:p>
    <w:tbl>
      <w:tblPr>
        <w:tblLayout w:type="fixed"/>
        <w:tblInd w:w="0" w:type="dxa"/>
        <w:tblCellMar>
          <w:top w:w="0" w:type="dxa"/>
          <w:left w:w="0" w:type="dxa"/>
          <w:bottom w:w="0" w:type="dxa"/>
          <w:right w:w="0" w:type="dxa"/>
        </w:tblCellMar>
      </w:tblPr>
      <w:tr>
        <w:trPr>
          <w:trHeight w:val="195"/>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Status (a)</w:t>
            </w:r>
          </w:p>
        </w:tc>
      </w:tr>
      <w:tr>
        <w:trPr>
          <w:trHeight w:val="39"/>
        </w:trPr>
        <w:tc>
          <w:tcPr>
            <w:tcW w:w="62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40" w:type="dxa"/>
            <w:vAlign w:val="bottom"/>
            <w:tcBorders>
              <w:top w:val="single" w:sz="8" w:color="auto"/>
            </w:tcBorders>
          </w:tcPr>
          <w:p>
            <w:pPr>
              <w:spacing w:after="0"/>
              <w:rPr>
                <w:sz w:val="3"/>
                <w:szCs w:val="3"/>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W. Appel</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Zena Srivatsa Arnold</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Shelaghmichael Brown</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Phillip E. Cohen</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independent (b)</w:t>
            </w: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Hugo R. Dooner</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 I. Grimshaw</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 independent (b)</w:t>
            </w: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A. Kulas</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independent (b)</w:t>
            </w: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Pablo Lagos Espinosa</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 V. Stone</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L. Tillett</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K. (Robb) Webb</w:t>
            </w: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Rosa Zeegers</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w:t>
            </w:r>
          </w:p>
        </w:tc>
      </w:tr>
    </w:tbl>
    <w:p>
      <w:pPr>
        <w:spacing w:after="0" w:line="184" w:lineRule="exact"/>
        <w:rPr>
          <w:sz w:val="20"/>
          <w:szCs w:val="20"/>
          <w:color w:val="auto"/>
        </w:rPr>
      </w:pPr>
    </w:p>
    <w:p>
      <w:pPr>
        <w:ind w:left="340" w:right="40" w:hanging="332"/>
        <w:spacing w:after="0" w:line="258" w:lineRule="auto"/>
        <w:tabs>
          <w:tab w:leader="none" w:pos="331"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72" w:lineRule="exact"/>
        <w:rPr>
          <w:rFonts w:ascii="Times New Roman" w:cs="Times New Roman" w:eastAsia="Times New Roman" w:hAnsi="Times New Roman"/>
          <w:sz w:val="16"/>
          <w:szCs w:val="16"/>
          <w:color w:val="auto"/>
        </w:rPr>
      </w:pPr>
    </w:p>
    <w:p>
      <w:pPr>
        <w:jc w:val="both"/>
        <w:ind w:left="340" w:right="80" w:hanging="332"/>
        <w:spacing w:after="0" w:line="263" w:lineRule="auto"/>
        <w:tabs>
          <w:tab w:leader="none" w:pos="3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Cohen and Mr. Grimshaw were executive officers of the Company during fiscal 2020 and, therefore, not independent in accordance with the standards set forth in the Nasdaq Listing Rules. Mr. Kulas because an executive officer of the Company on February 28, 2020, and from that date, is not independent in accordance with the standards set forth in the Nasdaq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 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all fees we incurred in connection with professional services provided by BDO USA, LLP for fiscal 2020 and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96"/>
        </w:trPr>
        <w:tc>
          <w:tcPr>
            <w:tcW w:w="8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9"/>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of financial statements and audit pursuant to section 404 of the Sarbanes-Oxley Act and quarterly reviews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1,695,400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1,870,875</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 related fees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fees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8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1,695,400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1,870,875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amounts shown for fiscal 2020 include our current estimated costs for the fiscal 2020 integrated audit, for which we have not yet received final billings. The amounts shown for fiscal 2019 include an increase of $163,500 in fees that were billed above our initial estimates for fiscal 2019 after we filed our Annual Report on Form 10-K for the year ended September 30, 2019.</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61" w:lineRule="exact"/>
        <w:rPr>
          <w:sz w:val="20"/>
          <w:szCs w:val="20"/>
          <w:color w:val="auto"/>
        </w:rPr>
      </w:pPr>
    </w:p>
    <w:p>
      <w:pPr>
        <w:ind w:right="5340"/>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ITEM 15 — EXHIBITS AND FINANCIAL STATEMENT SCHEDULES </w:t>
      </w:r>
      <w:r>
        <w:rPr>
          <w:rFonts w:ascii="Times New Roman" w:cs="Times New Roman" w:eastAsia="Times New Roman" w:hAnsi="Times New Roman"/>
          <w:sz w:val="18"/>
          <w:szCs w:val="18"/>
          <w:color w:val="auto"/>
        </w:rPr>
        <w:t>(a) The following documents are filed as a part of this 10-K: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EZCORP, Inc. are included in “Part II — Item 8 — Financial Statements and Supplementary Data”:</w:t>
      </w:r>
    </w:p>
    <w:p>
      <w:pPr>
        <w:spacing w:after="0" w:line="171" w:lineRule="exact"/>
        <w:rPr>
          <w:sz w:val="20"/>
          <w:szCs w:val="20"/>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(2020 and 2019) — BDO USA, LLP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September 30, 2020 and 2019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each of the three years in the period ended September 30, 2020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for each of the three years in the period ended September 30, 2020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September 30, 2020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each of the three years in the period ended September 30, 2020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3"/>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r>
      <w:tr>
        <w:trPr>
          <w:trHeight w:val="214"/>
        </w:trPr>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9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4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5100" w:type="dxa"/>
            <w:vAlign w:val="bottom"/>
            <w:gridSpan w:val="28"/>
          </w:tcPr>
          <w:p>
            <w:pPr>
              <w:spacing w:after="0"/>
              <w:rPr>
                <w:rFonts w:ascii="Times New Roman" w:cs="Times New Roman" w:eastAsia="Times New Roman" w:hAnsi="Times New Roman"/>
                <w:sz w:val="16"/>
                <w:szCs w:val="16"/>
                <w:u w:val="single" w:color="auto"/>
                <w:color w:val="0000FF"/>
              </w:rPr>
            </w:pPr>
            <w:hyperlink r:id="rId137">
              <w:r>
                <w:rPr>
                  <w:rFonts w:ascii="Times New Roman" w:cs="Times New Roman" w:eastAsia="Times New Roman" w:hAnsi="Times New Roman"/>
                  <w:sz w:val="16"/>
                  <w:szCs w:val="16"/>
                  <w:u w:val="single" w:color="auto"/>
                  <w:color w:val="0000FF"/>
                </w:rPr>
                <w:t>Amended and Restated Certificate of Incorporation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3, 2013</w:t>
            </w:r>
          </w:p>
        </w:tc>
      </w:tr>
      <w:tr>
        <w:trPr>
          <w:trHeight w:val="181"/>
        </w:trPr>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3.2</w:t>
            </w:r>
          </w:p>
        </w:tc>
        <w:tc>
          <w:tcPr>
            <w:tcW w:w="5100" w:type="dxa"/>
            <w:vAlign w:val="bottom"/>
            <w:gridSpan w:val="28"/>
          </w:tcPr>
          <w:p>
            <w:pPr>
              <w:spacing w:after="0" w:line="181"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Certificate of Amendment, dated March 25, 2014, to the Company’s</w:t>
              </w:r>
            </w:hyperlink>
          </w:p>
        </w:tc>
        <w:tc>
          <w:tcPr>
            <w:tcW w:w="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99.1</w:t>
            </w:r>
          </w:p>
        </w:tc>
        <w:tc>
          <w:tcPr>
            <w:tcW w:w="1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March 25, 2014</w:t>
            </w:r>
          </w:p>
        </w:tc>
      </w:tr>
      <w:tr>
        <w:trPr>
          <w:trHeight w:val="142"/>
        </w:trPr>
        <w:tc>
          <w:tcPr>
            <w:tcW w:w="800" w:type="dxa"/>
            <w:vAlign w:val="bottom"/>
          </w:tcPr>
          <w:p>
            <w:pPr>
              <w:spacing w:after="0"/>
              <w:rPr>
                <w:sz w:val="12"/>
                <w:szCs w:val="12"/>
                <w:color w:val="auto"/>
              </w:rPr>
            </w:pPr>
          </w:p>
        </w:tc>
        <w:tc>
          <w:tcPr>
            <w:tcW w:w="442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Amended and Restated Certificate of Incorporation</w:t>
              </w:r>
            </w:hyperlink>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1"/>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5100" w:type="dxa"/>
            <w:vAlign w:val="bottom"/>
            <w:gridSpan w:val="28"/>
          </w:tcPr>
          <w:p>
            <w:pPr>
              <w:spacing w:after="0"/>
              <w:rPr>
                <w:rFonts w:ascii="Times New Roman" w:cs="Times New Roman" w:eastAsia="Times New Roman" w:hAnsi="Times New Roman"/>
                <w:sz w:val="16"/>
                <w:szCs w:val="16"/>
                <w:u w:val="single" w:color="auto"/>
                <w:color w:val="0000FF"/>
              </w:rPr>
            </w:pPr>
            <w:hyperlink r:id="rId139">
              <w:r>
                <w:rPr>
                  <w:rFonts w:ascii="Times New Roman" w:cs="Times New Roman" w:eastAsia="Times New Roman" w:hAnsi="Times New Roman"/>
                  <w:sz w:val="16"/>
                  <w:szCs w:val="16"/>
                  <w:u w:val="single" w:color="auto"/>
                  <w:color w:val="0000FF"/>
                </w:rPr>
                <w:t>Amended and Restated By-Laws, effective July 20, 2014</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2014</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510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Specimen of Class A Non-voting Common Stock Certificate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33-41317</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23, 1991</w:t>
            </w: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5100" w:type="dxa"/>
            <w:vAlign w:val="bottom"/>
            <w:gridSpan w:val="28"/>
          </w:tcPr>
          <w:p>
            <w:pPr>
              <w:spacing w:after="0"/>
              <w:rPr>
                <w:rFonts w:ascii="Times New Roman" w:cs="Times New Roman" w:eastAsia="Times New Roman" w:hAnsi="Times New Roman"/>
                <w:sz w:val="16"/>
                <w:szCs w:val="16"/>
                <w:u w:val="single" w:color="auto"/>
                <w:color w:val="0000FF"/>
              </w:rPr>
            </w:pPr>
            <w:hyperlink r:id="rId140">
              <w:r>
                <w:rPr>
                  <w:rFonts w:ascii="Times New Roman" w:cs="Times New Roman" w:eastAsia="Times New Roman" w:hAnsi="Times New Roman"/>
                  <w:sz w:val="16"/>
                  <w:szCs w:val="16"/>
                  <w:u w:val="single" w:color="auto"/>
                  <w:color w:val="0000FF"/>
                </w:rPr>
                <w:t>Description of EZCORP, Inc. Class A Non-voting Common Stock</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3, 2013</w:t>
            </w:r>
          </w:p>
        </w:tc>
      </w:tr>
      <w:tr>
        <w:trPr>
          <w:trHeight w:val="181"/>
        </w:trPr>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4.3</w:t>
            </w:r>
          </w:p>
        </w:tc>
        <w:tc>
          <w:tcPr>
            <w:tcW w:w="5100" w:type="dxa"/>
            <w:vAlign w:val="bottom"/>
            <w:gridSpan w:val="28"/>
          </w:tcPr>
          <w:p>
            <w:pPr>
              <w:spacing w:after="0" w:line="181"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Indenture, dated July 5, 2017, between EZCORP, Inc., and Wells Fargo</w:t>
              </w:r>
            </w:hyperlink>
          </w:p>
        </w:tc>
        <w:tc>
          <w:tcPr>
            <w:tcW w:w="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4.1</w:t>
            </w:r>
          </w:p>
        </w:tc>
        <w:tc>
          <w:tcPr>
            <w:tcW w:w="1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July 6, 2017</w:t>
            </w:r>
          </w:p>
        </w:tc>
      </w:tr>
      <w:tr>
        <w:trPr>
          <w:trHeight w:val="142"/>
        </w:trPr>
        <w:tc>
          <w:tcPr>
            <w:tcW w:w="80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Bank, National Association, as trustee</w:t>
              </w:r>
            </w:hyperlink>
          </w:p>
        </w:tc>
        <w:tc>
          <w:tcPr>
            <w:tcW w:w="214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5100" w:type="dxa"/>
            <w:vAlign w:val="bottom"/>
            <w:gridSpan w:val="28"/>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Indenture, dated May 14, 2018, between EZCORP, Inc., and Wells Fargo</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15, 2018</w:t>
            </w:r>
          </w:p>
        </w:tc>
      </w:tr>
      <w:tr>
        <w:trPr>
          <w:trHeight w:val="142"/>
        </w:trPr>
        <w:tc>
          <w:tcPr>
            <w:tcW w:w="800" w:type="dxa"/>
            <w:vAlign w:val="bottom"/>
          </w:tcPr>
          <w:p>
            <w:pPr>
              <w:spacing w:after="0"/>
              <w:rPr>
                <w:sz w:val="12"/>
                <w:szCs w:val="12"/>
                <w:color w:val="auto"/>
              </w:rPr>
            </w:pPr>
          </w:p>
        </w:tc>
        <w:tc>
          <w:tcPr>
            <w:tcW w:w="248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Bank, National Association, as trustee</w:t>
              </w:r>
            </w:hyperlink>
          </w:p>
        </w:tc>
        <w:tc>
          <w:tcPr>
            <w:tcW w:w="224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436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Successor Trustee Agreement, dated September 12, 2019, Between</w:t>
              </w:r>
            </w:hyperlink>
          </w:p>
        </w:tc>
        <w:tc>
          <w:tcPr>
            <w:tcW w:w="740" w:type="dxa"/>
            <w:vAlign w:val="bottom"/>
            <w:gridSpan w:val="12"/>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7, 2019</w:t>
            </w:r>
          </w:p>
        </w:tc>
      </w:tr>
      <w:tr>
        <w:trPr>
          <w:trHeight w:val="142"/>
        </w:trPr>
        <w:tc>
          <w:tcPr>
            <w:tcW w:w="800" w:type="dxa"/>
            <w:vAlign w:val="bottom"/>
          </w:tcPr>
          <w:p>
            <w:pPr>
              <w:spacing w:after="0"/>
              <w:rPr>
                <w:sz w:val="12"/>
                <w:szCs w:val="12"/>
                <w:color w:val="auto"/>
              </w:rPr>
            </w:pPr>
          </w:p>
        </w:tc>
        <w:tc>
          <w:tcPr>
            <w:tcW w:w="5100" w:type="dxa"/>
            <w:vAlign w:val="bottom"/>
            <w:gridSpan w:val="28"/>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EZCORP, Inc., and Wells Fargo Bank, National Association, as prior</w:t>
              </w:r>
            </w:hyperlink>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2"/>
        </w:trPr>
        <w:tc>
          <w:tcPr>
            <w:tcW w:w="800" w:type="dxa"/>
            <w:vAlign w:val="bottom"/>
          </w:tcPr>
          <w:p>
            <w:pPr>
              <w:spacing w:after="0"/>
              <w:rPr>
                <w:sz w:val="15"/>
                <w:szCs w:val="15"/>
                <w:color w:val="auto"/>
              </w:rPr>
            </w:pPr>
          </w:p>
        </w:tc>
        <w:tc>
          <w:tcPr>
            <w:tcW w:w="4460" w:type="dxa"/>
            <w:vAlign w:val="bottom"/>
            <w:tcBorders>
              <w:top w:val="single" w:sz="8" w:color="0000FF"/>
            </w:tcBorders>
            <w:gridSpan w:val="18"/>
          </w:tcPr>
          <w:p>
            <w:pPr>
              <w:spacing w:after="0" w:line="182" w:lineRule="exact"/>
              <w:rPr>
                <w:rFonts w:ascii="Times New Roman" w:cs="Times New Roman" w:eastAsia="Times New Roman" w:hAnsi="Times New Roman"/>
                <w:sz w:val="16"/>
                <w:szCs w:val="16"/>
                <w:u w:val="single" w:color="auto"/>
                <w:color w:val="0000FF"/>
                <w:w w:val="99"/>
              </w:rPr>
            </w:pPr>
            <w:hyperlink r:id="rId143">
              <w:r>
                <w:rPr>
                  <w:rFonts w:ascii="Times New Roman" w:cs="Times New Roman" w:eastAsia="Times New Roman" w:hAnsi="Times New Roman"/>
                  <w:sz w:val="16"/>
                  <w:szCs w:val="16"/>
                  <w:u w:val="single" w:color="auto"/>
                  <w:color w:val="0000FF"/>
                  <w:w w:val="99"/>
                </w:rPr>
                <w:t>trustee, and Branch Banking and Trust Company, as successor trustee</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10.1*</w:t>
            </w:r>
          </w:p>
        </w:tc>
        <w:tc>
          <w:tcPr>
            <w:tcW w:w="5100" w:type="dxa"/>
            <w:vAlign w:val="bottom"/>
            <w:gridSpan w:val="28"/>
          </w:tcPr>
          <w:p>
            <w:pPr>
              <w:spacing w:after="0" w:line="176"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EZCORP, Inc. Supplemental Executive Retirement Plan effective</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10.94</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December 1, 2005</w:t>
            </w:r>
          </w:p>
        </w:tc>
      </w:tr>
      <w:tr>
        <w:trPr>
          <w:trHeight w:val="142"/>
        </w:trPr>
        <w:tc>
          <w:tcPr>
            <w:tcW w:w="800" w:type="dxa"/>
            <w:vAlign w:val="bottom"/>
          </w:tcPr>
          <w:p>
            <w:pPr>
              <w:spacing w:after="0"/>
              <w:rPr>
                <w:sz w:val="12"/>
                <w:szCs w:val="12"/>
                <w:color w:val="auto"/>
              </w:rPr>
            </w:pPr>
          </w:p>
        </w:tc>
        <w:tc>
          <w:tcPr>
            <w:tcW w:w="4240" w:type="dxa"/>
            <w:vAlign w:val="bottom"/>
            <w:tcBorders>
              <w:top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December 1, 2005</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8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10.2*</w:t>
            </w:r>
          </w:p>
        </w:tc>
        <w:tc>
          <w:tcPr>
            <w:tcW w:w="5100" w:type="dxa"/>
            <w:vAlign w:val="bottom"/>
            <w:gridSpan w:val="28"/>
          </w:tcPr>
          <w:p>
            <w:pPr>
              <w:spacing w:after="0" w:line="183"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u w:val="single" w:color="auto"/>
                  <w:color w:val="0000FF"/>
                </w:rPr>
                <w:t>Amended and Restated EZCORP, Inc. 2010 Long-Term Incentive</w:t>
              </w:r>
              <w:r>
                <w:rPr>
                  <w:rFonts w:ascii="Times New Roman" w:cs="Times New Roman" w:eastAsia="Times New Roman" w:hAnsi="Times New Roman"/>
                  <w:sz w:val="16"/>
                  <w:szCs w:val="16"/>
                  <w:color w:val="0000FF"/>
                </w:rPr>
                <w:t xml:space="preserve"> Plan</w:t>
              </w:r>
              <w:r>
                <w:rPr>
                  <w:rFonts w:ascii="Times New Roman" w:cs="Times New Roman" w:eastAsia="Times New Roman" w:hAnsi="Times New Roman"/>
                  <w:sz w:val="16"/>
                  <w:szCs w:val="16"/>
                  <w:u w:val="single" w:color="auto"/>
                  <w:color w:val="0000FF"/>
                </w:rPr>
                <w:t>,</w:t>
              </w:r>
            </w:hyperlink>
          </w:p>
        </w:tc>
        <w:tc>
          <w:tcPr>
            <w:tcW w:w="68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w:t>
            </w:r>
          </w:p>
        </w:tc>
        <w:tc>
          <w:tcPr>
            <w:tcW w:w="17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November 29, 2018</w:t>
            </w:r>
          </w:p>
        </w:tc>
      </w:tr>
      <w:tr>
        <w:trPr>
          <w:trHeight w:val="175"/>
        </w:trPr>
        <w:tc>
          <w:tcPr>
            <w:tcW w:w="800" w:type="dxa"/>
            <w:vAlign w:val="bottom"/>
          </w:tcPr>
          <w:p>
            <w:pPr>
              <w:spacing w:after="0"/>
              <w:rPr>
                <w:sz w:val="15"/>
                <w:szCs w:val="15"/>
                <w:color w:val="auto"/>
              </w:rPr>
            </w:pPr>
          </w:p>
        </w:tc>
        <w:tc>
          <w:tcPr>
            <w:tcW w:w="1920" w:type="dxa"/>
            <w:vAlign w:val="bottom"/>
            <w:tcBorders>
              <w:bottom w:val="single" w:sz="8" w:color="0000FF"/>
            </w:tcBorders>
            <w:gridSpan w:val="3"/>
          </w:tcPr>
          <w:p>
            <w:pPr>
              <w:spacing w:after="0" w:line="175" w:lineRule="exact"/>
              <w:rPr>
                <w:rFonts w:ascii="Times New Roman" w:cs="Times New Roman" w:eastAsia="Times New Roman" w:hAnsi="Times New Roman"/>
                <w:sz w:val="16"/>
                <w:szCs w:val="16"/>
                <w:color w:val="0000FF"/>
                <w:w w:val="99"/>
              </w:rPr>
            </w:pPr>
            <w:hyperlink r:id="rId145">
              <w:r>
                <w:rPr>
                  <w:rFonts w:ascii="Times New Roman" w:cs="Times New Roman" w:eastAsia="Times New Roman" w:hAnsi="Times New Roman"/>
                  <w:sz w:val="16"/>
                  <w:szCs w:val="16"/>
                  <w:color w:val="0000FF"/>
                  <w:w w:val="99"/>
                </w:rPr>
                <w:t>Effective November 28, 2018</w:t>
              </w:r>
            </w:hyperlink>
          </w:p>
        </w:tc>
        <w:tc>
          <w:tcPr>
            <w:tcW w:w="3180" w:type="dxa"/>
            <w:vAlign w:val="bottom"/>
            <w:gridSpan w:val="25"/>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5100" w:type="dxa"/>
            <w:vAlign w:val="bottom"/>
            <w:gridSpan w:val="28"/>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Form of Protection of Sensitive Information, Noncompetition and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24, 2010</w:t>
            </w: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5100" w:type="dxa"/>
            <w:vAlign w:val="bottom"/>
            <w:gridSpan w:val="28"/>
          </w:tcPr>
          <w:p>
            <w:pPr>
              <w:spacing w:after="0" w:line="14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Nonsolicitation Agreement between the Company and certain employees,</w:t>
              </w:r>
            </w:hyperlink>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20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w w:val="99"/>
              </w:rPr>
            </w:pPr>
            <w:hyperlink r:id="rId146">
              <w:r>
                <w:rPr>
                  <w:rFonts w:ascii="Times New Roman" w:cs="Times New Roman" w:eastAsia="Times New Roman" w:hAnsi="Times New Roman"/>
                  <w:sz w:val="16"/>
                  <w:szCs w:val="16"/>
                  <w:color w:val="0000FF"/>
                  <w:w w:val="99"/>
                </w:rPr>
                <w:t>including the executive officers</w:t>
              </w:r>
            </w:hyperlink>
          </w:p>
        </w:tc>
        <w:tc>
          <w:tcPr>
            <w:tcW w:w="274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31"/>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5100" w:type="dxa"/>
            <w:vAlign w:val="bottom"/>
            <w:gridSpan w:val="28"/>
          </w:tcPr>
          <w:p>
            <w:pPr>
              <w:spacing w:after="0"/>
              <w:rPr>
                <w:rFonts w:ascii="Times New Roman" w:cs="Times New Roman" w:eastAsia="Times New Roman" w:hAnsi="Times New Roman"/>
                <w:sz w:val="16"/>
                <w:szCs w:val="16"/>
                <w:u w:val="single" w:color="auto"/>
                <w:color w:val="0000FF"/>
              </w:rPr>
            </w:pPr>
            <w:hyperlink r:id="rId147">
              <w:r>
                <w:rPr>
                  <w:rFonts w:ascii="Times New Roman" w:cs="Times New Roman" w:eastAsia="Times New Roman" w:hAnsi="Times New Roman"/>
                  <w:sz w:val="16"/>
                  <w:szCs w:val="16"/>
                  <w:u w:val="single" w:color="auto"/>
                  <w:color w:val="0000FF"/>
                </w:rPr>
                <w:t>Form of Restricted Stock Award for non-employee directors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24, 2010</w:t>
            </w:r>
          </w:p>
        </w:tc>
      </w:tr>
      <w:tr>
        <w:trPr>
          <w:trHeight w:val="182"/>
        </w:trPr>
        <w:tc>
          <w:tcPr>
            <w:tcW w:w="8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10.5</w:t>
            </w:r>
          </w:p>
        </w:tc>
        <w:tc>
          <w:tcPr>
            <w:tcW w:w="5100" w:type="dxa"/>
            <w:vAlign w:val="bottom"/>
            <w:gridSpan w:val="28"/>
          </w:tcPr>
          <w:p>
            <w:pPr>
              <w:spacing w:after="0" w:line="181"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Call Option Termination Agreement, dated June 29, 2017, between</w:t>
              </w:r>
            </w:hyperlink>
          </w:p>
        </w:tc>
        <w:tc>
          <w:tcPr>
            <w:tcW w:w="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10-Q</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10.2</w:t>
            </w:r>
          </w:p>
        </w:tc>
        <w:tc>
          <w:tcPr>
            <w:tcW w:w="1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July 31, 2017</w:t>
            </w:r>
          </w:p>
        </w:tc>
      </w:tr>
      <w:tr>
        <w:trPr>
          <w:trHeight w:val="142"/>
        </w:trPr>
        <w:tc>
          <w:tcPr>
            <w:tcW w:w="800" w:type="dxa"/>
            <w:vAlign w:val="bottom"/>
          </w:tcPr>
          <w:p>
            <w:pPr>
              <w:spacing w:after="0"/>
              <w:rPr>
                <w:sz w:val="12"/>
                <w:szCs w:val="12"/>
                <w:color w:val="auto"/>
              </w:rPr>
            </w:pPr>
          </w:p>
        </w:tc>
        <w:tc>
          <w:tcPr>
            <w:tcW w:w="434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EZCORP, Inc., and UBS AG, London Branch</w:t>
              </w:r>
            </w:hyperlink>
          </w:p>
        </w:tc>
        <w:tc>
          <w:tcPr>
            <w:tcW w:w="2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5100" w:type="dxa"/>
            <w:vAlign w:val="bottom"/>
            <w:gridSpan w:val="28"/>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Warrant Termination Agreement, dated June 29, 2017, between EZCORP,</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2017</w:t>
            </w:r>
          </w:p>
        </w:tc>
      </w:tr>
      <w:tr>
        <w:trPr>
          <w:trHeight w:val="142"/>
        </w:trPr>
        <w:tc>
          <w:tcPr>
            <w:tcW w:w="800" w:type="dxa"/>
            <w:vAlign w:val="bottom"/>
          </w:tcPr>
          <w:p>
            <w:pPr>
              <w:spacing w:after="0"/>
              <w:rPr>
                <w:sz w:val="12"/>
                <w:szCs w:val="12"/>
                <w:color w:val="auto"/>
              </w:rPr>
            </w:pPr>
          </w:p>
        </w:tc>
        <w:tc>
          <w:tcPr>
            <w:tcW w:w="480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Inc., and UBS AG, London Branch</w:t>
              </w:r>
            </w:hyperlink>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5100" w:type="dxa"/>
            <w:vAlign w:val="bottom"/>
            <w:gridSpan w:val="28"/>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Call Option Termination Agreement, dated June 29, 2017, between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2017</w:t>
            </w:r>
          </w:p>
        </w:tc>
      </w:tr>
      <w:tr>
        <w:trPr>
          <w:trHeight w:val="142"/>
        </w:trPr>
        <w:tc>
          <w:tcPr>
            <w:tcW w:w="80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EZCORP, Inc., and Jefferies International Limited</w:t>
              </w:r>
            </w:hyperlink>
          </w:p>
        </w:tc>
        <w:tc>
          <w:tcPr>
            <w:tcW w:w="1020" w:type="dxa"/>
            <w:vAlign w:val="bottom"/>
            <w:tcBorders>
              <w:top w:val="single" w:sz="8" w:color="0000FF"/>
            </w:tcBorders>
            <w:gridSpan w:val="3"/>
          </w:tcPr>
          <w:p>
            <w:pPr>
              <w:spacing w:after="0"/>
              <w:rPr>
                <w:sz w:val="12"/>
                <w:szCs w:val="12"/>
                <w:color w:val="auto"/>
              </w:rPr>
            </w:pPr>
          </w:p>
        </w:tc>
        <w:tc>
          <w:tcPr>
            <w:tcW w:w="2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5"/>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5100" w:type="dxa"/>
            <w:vAlign w:val="bottom"/>
            <w:gridSpan w:val="28"/>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Warrant Termination Agreement, dated June 29, 2017, between EZCORP,</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2017</w:t>
            </w:r>
          </w:p>
        </w:tc>
      </w:tr>
      <w:tr>
        <w:trPr>
          <w:trHeight w:val="142"/>
        </w:trPr>
        <w:tc>
          <w:tcPr>
            <w:tcW w:w="800" w:type="dxa"/>
            <w:vAlign w:val="bottom"/>
          </w:tcPr>
          <w:p>
            <w:pPr>
              <w:spacing w:after="0"/>
              <w:rPr>
                <w:sz w:val="12"/>
                <w:szCs w:val="12"/>
                <w:color w:val="auto"/>
              </w:rPr>
            </w:pPr>
          </w:p>
        </w:tc>
        <w:tc>
          <w:tcPr>
            <w:tcW w:w="480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Inc., and Jefferies International Limited</w:t>
              </w:r>
            </w:hyperlink>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4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5100" w:type="dxa"/>
            <w:vAlign w:val="bottom"/>
            <w:gridSpan w:val="28"/>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Call Option Termination Agreement, dated June 29, 2017, between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31, 2017</w:t>
            </w:r>
          </w:p>
        </w:tc>
      </w:tr>
      <w:tr>
        <w:trPr>
          <w:trHeight w:val="182"/>
        </w:trPr>
        <w:tc>
          <w:tcPr>
            <w:tcW w:w="800" w:type="dxa"/>
            <w:vAlign w:val="bottom"/>
          </w:tcPr>
          <w:p>
            <w:pPr>
              <w:spacing w:after="0"/>
              <w:rPr>
                <w:sz w:val="15"/>
                <w:szCs w:val="15"/>
                <w:color w:val="auto"/>
              </w:rPr>
            </w:pPr>
          </w:p>
        </w:tc>
        <w:tc>
          <w:tcPr>
            <w:tcW w:w="4340" w:type="dxa"/>
            <w:vAlign w:val="bottom"/>
            <w:tcBorders>
              <w:top w:val="single" w:sz="8" w:color="0000FF"/>
            </w:tcBorders>
            <w:gridSpan w:val="15"/>
          </w:tcPr>
          <w:p>
            <w:pPr>
              <w:spacing w:after="0" w:line="182" w:lineRule="exact"/>
              <w:rPr>
                <w:rFonts w:ascii="Times New Roman" w:cs="Times New Roman" w:eastAsia="Times New Roman" w:hAnsi="Times New Roman"/>
                <w:sz w:val="16"/>
                <w:szCs w:val="16"/>
                <w:u w:val="single" w:color="auto"/>
                <w:color w:val="0000FF"/>
              </w:rPr>
            </w:pPr>
            <w:hyperlink r:id="rId152">
              <w:r>
                <w:rPr>
                  <w:rFonts w:ascii="Times New Roman" w:cs="Times New Roman" w:eastAsia="Times New Roman" w:hAnsi="Times New Roman"/>
                  <w:sz w:val="16"/>
                  <w:szCs w:val="16"/>
                  <w:u w:val="single" w:color="auto"/>
                  <w:color w:val="0000FF"/>
                </w:rPr>
                <w:t>EZCORP, Inc., and Morgan Stanley &amp; Co. International plc</w:t>
              </w:r>
            </w:hyperlink>
          </w:p>
        </w:tc>
        <w:tc>
          <w:tcPr>
            <w:tcW w:w="2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6"/>
        </w:trPr>
        <w:tc>
          <w:tcPr>
            <w:tcW w:w="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10.10</w:t>
            </w:r>
          </w:p>
        </w:tc>
        <w:tc>
          <w:tcPr>
            <w:tcW w:w="5100" w:type="dxa"/>
            <w:vAlign w:val="bottom"/>
            <w:gridSpan w:val="28"/>
          </w:tcPr>
          <w:p>
            <w:pPr>
              <w:spacing w:after="0" w:line="176"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Warrant Termination Agreement, dated June 29, 2017, between EZCORP,</w:t>
              </w:r>
            </w:hyperlink>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10-Q</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0-19424</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10.7</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July 31, 2017</w:t>
            </w:r>
          </w:p>
        </w:tc>
      </w:tr>
      <w:tr>
        <w:trPr>
          <w:trHeight w:val="142"/>
        </w:trPr>
        <w:tc>
          <w:tcPr>
            <w:tcW w:w="80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Inc., and Morgan Stanley &amp; Co. International plc</w:t>
              </w:r>
            </w:hyperlink>
          </w:p>
        </w:tc>
        <w:tc>
          <w:tcPr>
            <w:tcW w:w="1620" w:type="dxa"/>
            <w:vAlign w:val="bottom"/>
            <w:tcBorders>
              <w:top w:val="single" w:sz="8" w:color="0000FF"/>
            </w:tcBorders>
            <w:gridSpan w:val="15"/>
          </w:tcPr>
          <w:p>
            <w:pPr>
              <w:spacing w:after="0"/>
              <w:rPr>
                <w:sz w:val="12"/>
                <w:szCs w:val="12"/>
                <w:color w:val="auto"/>
              </w:rPr>
            </w:pPr>
          </w:p>
        </w:tc>
        <w:tc>
          <w:tcPr>
            <w:tcW w:w="3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3"/>
        </w:trPr>
        <w:tc>
          <w:tcPr>
            <w:tcW w:w="800" w:type="dxa"/>
            <w:vAlign w:val="bottom"/>
          </w:tcPr>
          <w:p>
            <w:pPr>
              <w:jc w:val="center"/>
              <w:spacing w:after="0" w:line="183" w:lineRule="exact"/>
              <w:rPr>
                <w:rFonts w:ascii="Times New Roman" w:cs="Times New Roman" w:eastAsia="Times New Roman" w:hAnsi="Times New Roman"/>
                <w:sz w:val="16"/>
                <w:szCs w:val="16"/>
                <w:u w:val="single" w:color="auto"/>
                <w:color w:val="0000FF"/>
                <w:w w:val="99"/>
              </w:rPr>
            </w:pPr>
            <w:hyperlink w:anchor="page119">
              <w:r>
                <w:rPr>
                  <w:rFonts w:ascii="Times New Roman" w:cs="Times New Roman" w:eastAsia="Times New Roman" w:hAnsi="Times New Roman"/>
                  <w:sz w:val="16"/>
                  <w:szCs w:val="16"/>
                  <w:u w:val="single" w:color="auto"/>
                  <w:color w:val="0000FF"/>
                  <w:w w:val="99"/>
                </w:rPr>
                <w:t>10.11</w:t>
              </w:r>
            </w:hyperlink>
          </w:p>
        </w:tc>
        <w:tc>
          <w:tcPr>
            <w:tcW w:w="5100" w:type="dxa"/>
            <w:vAlign w:val="bottom"/>
            <w:gridSpan w:val="28"/>
          </w:tcPr>
          <w:p>
            <w:pPr>
              <w:spacing w:after="0" w:line="183" w:lineRule="exact"/>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u w:val="single" w:color="auto"/>
                  <w:color w:val="0000FF"/>
                </w:rPr>
                <w:t>Transition Employment Agreement</w:t>
              </w:r>
              <w:r>
                <w:rPr>
                  <w:rFonts w:ascii="Times New Roman" w:cs="Times New Roman" w:eastAsia="Times New Roman" w:hAnsi="Times New Roman"/>
                  <w:sz w:val="16"/>
                  <w:szCs w:val="16"/>
                  <w:color w:val="0000FF"/>
                </w:rPr>
                <w:t xml:space="preserve"> </w:t>
              </w:r>
            </w:hyperlink>
            <w:r>
              <w:rPr>
                <w:rFonts w:ascii="Times New Roman" w:cs="Times New Roman" w:eastAsia="Times New Roman" w:hAnsi="Times New Roman"/>
                <w:sz w:val="16"/>
                <w:szCs w:val="16"/>
                <w:color w:val="000000"/>
              </w:rPr>
              <w:t>between</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the Company and Stuart I.</w:t>
            </w: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10"/>
        </w:trPr>
        <w:tc>
          <w:tcPr>
            <w:tcW w:w="800" w:type="dxa"/>
            <w:vAlign w:val="bottom"/>
          </w:tcPr>
          <w:p>
            <w:pPr>
              <w:spacing w:after="0"/>
              <w:rPr>
                <w:sz w:val="18"/>
                <w:szCs w:val="18"/>
                <w:color w:val="auto"/>
              </w:rPr>
            </w:pPr>
          </w:p>
        </w:tc>
        <w:tc>
          <w:tcPr>
            <w:tcW w:w="510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Grimshaw, dated November 14, 2020</w:t>
            </w: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80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120">
              <w:r>
                <w:rPr>
                  <w:rFonts w:ascii="Times New Roman" w:cs="Times New Roman" w:eastAsia="Times New Roman" w:hAnsi="Times New Roman"/>
                  <w:sz w:val="16"/>
                  <w:szCs w:val="16"/>
                  <w:u w:val="single" w:color="auto"/>
                  <w:color w:val="0000FF"/>
                  <w:w w:val="99"/>
                </w:rPr>
                <w:t>21.1</w:t>
              </w:r>
            </w:hyperlink>
          </w:p>
        </w:tc>
        <w:tc>
          <w:tcPr>
            <w:tcW w:w="5100" w:type="dxa"/>
            <w:vAlign w:val="bottom"/>
            <w:gridSpan w:val="28"/>
          </w:tcPr>
          <w:p>
            <w:pPr>
              <w:spacing w:after="0"/>
              <w:rPr>
                <w:rFonts w:ascii="Times New Roman" w:cs="Times New Roman" w:eastAsia="Times New Roman" w:hAnsi="Times New Roman"/>
                <w:sz w:val="16"/>
                <w:szCs w:val="16"/>
                <w:u w:val="single" w:color="auto"/>
                <w:color w:val="0000FF"/>
              </w:rPr>
            </w:pPr>
            <w:hyperlink w:anchor="page120">
              <w:r>
                <w:rPr>
                  <w:rFonts w:ascii="Times New Roman" w:cs="Times New Roman" w:eastAsia="Times New Roman" w:hAnsi="Times New Roman"/>
                  <w:sz w:val="16"/>
                  <w:szCs w:val="16"/>
                  <w:u w:val="single" w:color="auto"/>
                  <w:color w:val="0000FF"/>
                </w:rPr>
                <w:t>List of Subsidiaries of EZCORP, Inc.</w:t>
              </w:r>
            </w:hyperlink>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81"/>
        </w:trPr>
        <w:tc>
          <w:tcPr>
            <w:tcW w:w="800" w:type="dxa"/>
            <w:vAlign w:val="bottom"/>
          </w:tcPr>
          <w:p>
            <w:pPr>
              <w:jc w:val="center"/>
              <w:spacing w:after="0" w:line="181" w:lineRule="exact"/>
              <w:rPr>
                <w:rFonts w:ascii="Times New Roman" w:cs="Times New Roman" w:eastAsia="Times New Roman" w:hAnsi="Times New Roman"/>
                <w:sz w:val="16"/>
                <w:szCs w:val="16"/>
                <w:u w:val="single" w:color="auto"/>
                <w:color w:val="0000FF"/>
                <w:w w:val="99"/>
              </w:rPr>
            </w:pPr>
            <w:hyperlink w:anchor="page122">
              <w:r>
                <w:rPr>
                  <w:rFonts w:ascii="Times New Roman" w:cs="Times New Roman" w:eastAsia="Times New Roman" w:hAnsi="Times New Roman"/>
                  <w:sz w:val="16"/>
                  <w:szCs w:val="16"/>
                  <w:u w:val="single" w:color="auto"/>
                  <w:color w:val="0000FF"/>
                  <w:w w:val="99"/>
                </w:rPr>
                <w:t>23.1</w:t>
              </w:r>
            </w:hyperlink>
          </w:p>
        </w:tc>
        <w:tc>
          <w:tcPr>
            <w:tcW w:w="5100" w:type="dxa"/>
            <w:vAlign w:val="bottom"/>
            <w:gridSpan w:val="28"/>
          </w:tcPr>
          <w:p>
            <w:pPr>
              <w:spacing w:after="0" w:line="181" w:lineRule="exact"/>
              <w:rPr>
                <w:rFonts w:ascii="Times New Roman" w:cs="Times New Roman" w:eastAsia="Times New Roman" w:hAnsi="Times New Roman"/>
                <w:sz w:val="16"/>
                <w:szCs w:val="16"/>
                <w:color w:val="0000FF"/>
              </w:rPr>
            </w:pPr>
            <w:hyperlink w:anchor="page122">
              <w:r>
                <w:rPr>
                  <w:rFonts w:ascii="Times New Roman" w:cs="Times New Roman" w:eastAsia="Times New Roman" w:hAnsi="Times New Roman"/>
                  <w:sz w:val="16"/>
                  <w:szCs w:val="16"/>
                  <w:color w:val="0000FF"/>
                </w:rPr>
                <w:t>Consent of BDO USA, LLP, Independent Registered Public Accounting</w:t>
              </w:r>
            </w:hyperlink>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42"/>
        </w:trPr>
        <w:tc>
          <w:tcPr>
            <w:tcW w:w="80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6"/>
              </w:rPr>
            </w:pPr>
            <w:hyperlink w:anchor="page122">
              <w:r>
                <w:rPr>
                  <w:rFonts w:ascii="Times New Roman" w:cs="Times New Roman" w:eastAsia="Times New Roman" w:hAnsi="Times New Roman"/>
                  <w:sz w:val="16"/>
                  <w:szCs w:val="16"/>
                  <w:color w:val="0000FF"/>
                  <w:w w:val="96"/>
                </w:rPr>
                <w:t>Firm</w:t>
              </w:r>
            </w:hyperlink>
          </w:p>
        </w:tc>
        <w:tc>
          <w:tcPr>
            <w:tcW w:w="4340" w:type="dxa"/>
            <w:vAlign w:val="bottom"/>
            <w:tcBorders>
              <w:top w:val="single" w:sz="8" w:color="0000FF"/>
            </w:tcBorders>
            <w:gridSpan w:val="22"/>
          </w:tcPr>
          <w:p>
            <w:pPr>
              <w:spacing w:after="0"/>
              <w:rPr>
                <w:sz w:val="12"/>
                <w:szCs w:val="12"/>
                <w:color w:val="auto"/>
              </w:rPr>
            </w:pPr>
          </w:p>
        </w:tc>
        <w:tc>
          <w:tcPr>
            <w:tcW w:w="440" w:type="dxa"/>
            <w:vAlign w:val="bottom"/>
            <w:gridSpan w:val="5"/>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80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123">
              <w:r>
                <w:rPr>
                  <w:rFonts w:ascii="Times New Roman" w:cs="Times New Roman" w:eastAsia="Times New Roman" w:hAnsi="Times New Roman"/>
                  <w:sz w:val="16"/>
                  <w:szCs w:val="16"/>
                  <w:u w:val="single" w:color="auto"/>
                  <w:color w:val="0000FF"/>
                  <w:w w:val="99"/>
                </w:rPr>
                <w:t>31.1</w:t>
              </w:r>
            </w:hyperlink>
          </w:p>
        </w:tc>
        <w:tc>
          <w:tcPr>
            <w:tcW w:w="5100" w:type="dxa"/>
            <w:vAlign w:val="bottom"/>
            <w:gridSpan w:val="28"/>
          </w:tcPr>
          <w:p>
            <w:pPr>
              <w:spacing w:after="0"/>
              <w:rPr>
                <w:rFonts w:ascii="Times New Roman" w:cs="Times New Roman" w:eastAsia="Times New Roman" w:hAnsi="Times New Roman"/>
                <w:sz w:val="16"/>
                <w:szCs w:val="16"/>
                <w:color w:val="0000FF"/>
              </w:rPr>
            </w:pPr>
            <w:hyperlink w:anchor="page123">
              <w:r>
                <w:rPr>
                  <w:rFonts w:ascii="Times New Roman" w:cs="Times New Roman" w:eastAsia="Times New Roman" w:hAnsi="Times New Roman"/>
                  <w:sz w:val="16"/>
                  <w:szCs w:val="16"/>
                  <w:color w:val="0000FF"/>
                </w:rPr>
                <w:t>Certification of Principal Executive Officer, pursuant to Rule 13a-14(a)</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27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w:anchor="page123">
              <w:r>
                <w:rPr>
                  <w:rFonts w:ascii="Times New Roman" w:cs="Times New Roman" w:eastAsia="Times New Roman" w:hAnsi="Times New Roman"/>
                  <w:sz w:val="16"/>
                  <w:szCs w:val="16"/>
                  <w:color w:val="0000FF"/>
                </w:rPr>
                <w:t>under the Securities Exchange Act of 1934</w:t>
              </w:r>
            </w:hyperlink>
          </w:p>
        </w:tc>
        <w:tc>
          <w:tcPr>
            <w:tcW w:w="1860" w:type="dxa"/>
            <w:vAlign w:val="bottom"/>
            <w:tcBorders>
              <w:top w:val="single" w:sz="8" w:color="0000FF"/>
            </w:tcBorders>
            <w:gridSpan w:val="14"/>
          </w:tcPr>
          <w:p>
            <w:pPr>
              <w:spacing w:after="0"/>
              <w:rPr>
                <w:sz w:val="12"/>
                <w:szCs w:val="12"/>
                <w:color w:val="auto"/>
              </w:rPr>
            </w:pPr>
          </w:p>
        </w:tc>
        <w:tc>
          <w:tcPr>
            <w:tcW w:w="460" w:type="dxa"/>
            <w:vAlign w:val="bottom"/>
            <w:gridSpan w:val="6"/>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80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124">
              <w:r>
                <w:rPr>
                  <w:rFonts w:ascii="Times New Roman" w:cs="Times New Roman" w:eastAsia="Times New Roman" w:hAnsi="Times New Roman"/>
                  <w:sz w:val="16"/>
                  <w:szCs w:val="16"/>
                  <w:u w:val="single" w:color="auto"/>
                  <w:color w:val="0000FF"/>
                  <w:w w:val="99"/>
                </w:rPr>
                <w:t>31.2</w:t>
              </w:r>
            </w:hyperlink>
          </w:p>
        </w:tc>
        <w:tc>
          <w:tcPr>
            <w:tcW w:w="5100" w:type="dxa"/>
            <w:vAlign w:val="bottom"/>
            <w:gridSpan w:val="28"/>
          </w:tcPr>
          <w:p>
            <w:pPr>
              <w:spacing w:after="0"/>
              <w:rPr>
                <w:rFonts w:ascii="Times New Roman" w:cs="Times New Roman" w:eastAsia="Times New Roman" w:hAnsi="Times New Roman"/>
                <w:sz w:val="16"/>
                <w:szCs w:val="16"/>
                <w:color w:val="0000FF"/>
              </w:rPr>
            </w:pPr>
            <w:hyperlink w:anchor="page124">
              <w:r>
                <w:rPr>
                  <w:rFonts w:ascii="Times New Roman" w:cs="Times New Roman" w:eastAsia="Times New Roman" w:hAnsi="Times New Roman"/>
                  <w:sz w:val="16"/>
                  <w:szCs w:val="16"/>
                  <w:color w:val="0000FF"/>
                </w:rPr>
                <w:t>Certification of Principal Financial Officer, pursuant to Rule 13a-14(a)</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27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w:anchor="page124">
              <w:r>
                <w:rPr>
                  <w:rFonts w:ascii="Times New Roman" w:cs="Times New Roman" w:eastAsia="Times New Roman" w:hAnsi="Times New Roman"/>
                  <w:sz w:val="16"/>
                  <w:szCs w:val="16"/>
                  <w:color w:val="0000FF"/>
                </w:rPr>
                <w:t>under the Securities Exchange Act of 1934</w:t>
              </w:r>
            </w:hyperlink>
          </w:p>
        </w:tc>
        <w:tc>
          <w:tcPr>
            <w:tcW w:w="18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8"/>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800" w:type="dxa"/>
            <w:vAlign w:val="bottom"/>
          </w:tcPr>
          <w:p>
            <w:pPr>
              <w:jc w:val="center"/>
              <w:spacing w:after="0"/>
              <w:rPr>
                <w:rFonts w:ascii="Times New Roman" w:cs="Times New Roman" w:eastAsia="Times New Roman" w:hAnsi="Times New Roman"/>
                <w:sz w:val="16"/>
                <w:szCs w:val="16"/>
                <w:u w:val="single" w:color="auto"/>
                <w:color w:val="0000FF"/>
                <w:w w:val="99"/>
              </w:rPr>
            </w:pPr>
            <w:hyperlink w:anchor="page125">
              <w:r>
                <w:rPr>
                  <w:rFonts w:ascii="Times New Roman" w:cs="Times New Roman" w:eastAsia="Times New Roman" w:hAnsi="Times New Roman"/>
                  <w:sz w:val="16"/>
                  <w:szCs w:val="16"/>
                  <w:u w:val="single" w:color="auto"/>
                  <w:color w:val="0000FF"/>
                  <w:w w:val="99"/>
                </w:rPr>
                <w:t>32.1†</w:t>
              </w:r>
            </w:hyperlink>
          </w:p>
        </w:tc>
        <w:tc>
          <w:tcPr>
            <w:tcW w:w="5100" w:type="dxa"/>
            <w:vAlign w:val="bottom"/>
            <w:gridSpan w:val="28"/>
          </w:tcPr>
          <w:p>
            <w:pPr>
              <w:spacing w:after="0"/>
              <w:rPr>
                <w:rFonts w:ascii="Times New Roman" w:cs="Times New Roman" w:eastAsia="Times New Roman" w:hAnsi="Times New Roman"/>
                <w:sz w:val="16"/>
                <w:szCs w:val="16"/>
                <w:color w:val="0000FF"/>
              </w:rPr>
            </w:pPr>
            <w:hyperlink w:anchor="page125">
              <w:r>
                <w:rPr>
                  <w:rFonts w:ascii="Times New Roman" w:cs="Times New Roman" w:eastAsia="Times New Roman" w:hAnsi="Times New Roman"/>
                  <w:sz w:val="16"/>
                  <w:szCs w:val="16"/>
                  <w:color w:val="0000FF"/>
                </w:rPr>
                <w:t>Certification of the Principal Executive Officer and Principal Financial</w:t>
              </w:r>
            </w:hyperlink>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w:anchor="page125">
              <w:r>
                <w:rPr>
                  <w:rFonts w:ascii="Times New Roman" w:cs="Times New Roman" w:eastAsia="Times New Roman" w:hAnsi="Times New Roman"/>
                  <w:sz w:val="16"/>
                  <w:szCs w:val="16"/>
                  <w:color w:val="0000FF"/>
                </w:rPr>
                <w:t>Officer pursuant to 18 U.S.C. Section 1350</w:t>
              </w:r>
            </w:hyperlink>
          </w:p>
        </w:tc>
        <w:tc>
          <w:tcPr>
            <w:tcW w:w="1800" w:type="dxa"/>
            <w:vAlign w:val="bottom"/>
            <w:tcBorders>
              <w:top w:val="single" w:sz="8" w:color="0000FF"/>
            </w:tcBorders>
            <w:gridSpan w:val="11"/>
          </w:tcPr>
          <w:p>
            <w:pPr>
              <w:spacing w:after="0"/>
              <w:rPr>
                <w:sz w:val="12"/>
                <w:szCs w:val="12"/>
                <w:color w:val="auto"/>
              </w:rPr>
            </w:pPr>
          </w:p>
        </w:tc>
        <w:tc>
          <w:tcPr>
            <w:tcW w:w="500" w:type="dxa"/>
            <w:vAlign w:val="bottom"/>
            <w:gridSpan w:val="8"/>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-5331460</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-4302760</wp:posOffset>
            </wp:positionV>
            <wp:extent cx="713232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2400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-3239770</wp:posOffset>
            </wp:positionV>
            <wp:extent cx="7132320" cy="342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2400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7" w:lineRule="exact"/>
        <w:rPr>
          <w:sz w:val="20"/>
          <w:szCs w:val="20"/>
          <w:color w:val="auto"/>
        </w:rPr>
      </w:pPr>
    </w:p>
    <w:p>
      <w:pPr>
        <w:ind w:left="800" w:hanging="529"/>
        <w:spacing w:after="0"/>
        <w:tabs>
          <w:tab w:leader="none" w:pos="8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Interactive data files pursuant to Rule 405 of Regulation S-T:</w:t>
      </w:r>
    </w:p>
    <w:p>
      <w:pPr>
        <w:spacing w:after="0" w:line="32" w:lineRule="exact"/>
        <w:rPr>
          <w:rFonts w:ascii="Times New Roman" w:cs="Times New Roman" w:eastAsia="Times New Roman" w:hAnsi="Times New Roman"/>
          <w:sz w:val="16"/>
          <w:szCs w:val="16"/>
          <w:color w:val="auto"/>
        </w:rPr>
      </w:pPr>
    </w:p>
    <w:p>
      <w:pPr>
        <w:ind w:left="980" w:hanging="185"/>
        <w:spacing w:after="0"/>
        <w:tabs>
          <w:tab w:leader="none" w:pos="98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Balance Sheets,</w:t>
      </w:r>
    </w:p>
    <w:p>
      <w:pPr>
        <w:spacing w:after="0" w:line="32" w:lineRule="exact"/>
        <w:rPr>
          <w:rFonts w:ascii="Times New Roman" w:cs="Times New Roman" w:eastAsia="Times New Roman" w:hAnsi="Times New Roman"/>
          <w:sz w:val="16"/>
          <w:szCs w:val="16"/>
          <w:color w:val="auto"/>
        </w:rPr>
      </w:pPr>
    </w:p>
    <w:p>
      <w:pPr>
        <w:ind w:left="1040" w:hanging="245"/>
        <w:spacing w:after="0"/>
        <w:tabs>
          <w:tab w:leader="none" w:pos="104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Operations</w:t>
      </w:r>
    </w:p>
    <w:p>
      <w:pPr>
        <w:spacing w:after="0" w:line="32" w:lineRule="exact"/>
        <w:rPr>
          <w:rFonts w:ascii="Times New Roman" w:cs="Times New Roman" w:eastAsia="Times New Roman" w:hAnsi="Times New Roman"/>
          <w:sz w:val="16"/>
          <w:szCs w:val="16"/>
          <w:color w:val="auto"/>
        </w:rPr>
      </w:pPr>
    </w:p>
    <w:p>
      <w:pPr>
        <w:ind w:left="1080" w:hanging="285"/>
        <w:spacing w:after="0"/>
        <w:tabs>
          <w:tab w:leader="none" w:pos="108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Comprehensive (Loss) Income</w:t>
      </w:r>
    </w:p>
    <w:p>
      <w:pPr>
        <w:spacing w:after="0" w:line="32" w:lineRule="exact"/>
        <w:rPr>
          <w:rFonts w:ascii="Times New Roman" w:cs="Times New Roman" w:eastAsia="Times New Roman" w:hAnsi="Times New Roman"/>
          <w:sz w:val="16"/>
          <w:szCs w:val="16"/>
          <w:color w:val="auto"/>
        </w:rPr>
      </w:pPr>
    </w:p>
    <w:p>
      <w:pPr>
        <w:ind w:left="1060" w:hanging="265"/>
        <w:spacing w:after="0"/>
        <w:tabs>
          <w:tab w:leader="none" w:pos="10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Stockholders’ Equity</w:t>
      </w:r>
    </w:p>
    <w:p>
      <w:pPr>
        <w:spacing w:after="0" w:line="32" w:lineRule="exact"/>
        <w:rPr>
          <w:rFonts w:ascii="Times New Roman" w:cs="Times New Roman" w:eastAsia="Times New Roman" w:hAnsi="Times New Roman"/>
          <w:sz w:val="16"/>
          <w:szCs w:val="16"/>
          <w:color w:val="auto"/>
        </w:rPr>
      </w:pPr>
    </w:p>
    <w:p>
      <w:pPr>
        <w:ind w:left="1020" w:hanging="225"/>
        <w:spacing w:after="0"/>
        <w:tabs>
          <w:tab w:leader="none" w:pos="102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Statements of Cash Flows</w:t>
      </w:r>
    </w:p>
    <w:p>
      <w:pPr>
        <w:spacing w:after="0" w:line="32" w:lineRule="exact"/>
        <w:rPr>
          <w:rFonts w:ascii="Times New Roman" w:cs="Times New Roman" w:eastAsia="Times New Roman" w:hAnsi="Times New Roman"/>
          <w:sz w:val="16"/>
          <w:szCs w:val="16"/>
          <w:color w:val="auto"/>
        </w:rPr>
      </w:pPr>
    </w:p>
    <w:p>
      <w:pPr>
        <w:ind w:left="1060" w:hanging="265"/>
        <w:spacing w:after="0"/>
        <w:tabs>
          <w:tab w:leader="none" w:pos="106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0" w:right="4940" w:hanging="529"/>
        <w:spacing w:after="0" w:line="245" w:lineRule="auto"/>
        <w:tabs>
          <w:tab w:leader="none" w:pos="8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in Inline XBRL format (included in Exhibit 101)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p>
      <w:pPr>
        <w:jc w:val="center"/>
        <w:spacing w:after="0"/>
        <w:rPr>
          <w:sz w:val="20"/>
          <w:szCs w:val="20"/>
          <w:color w:val="auto"/>
        </w:rPr>
      </w:pP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8890</wp:posOffset>
            </wp:positionV>
            <wp:extent cx="5740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x</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x</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10200" w:space="260"/>
            <w:col w:w="660"/>
          </w:cols>
          <w:pgMar w:left="320" w:top="121" w:right="45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0" w:hanging="448"/>
        <w:spacing w:after="0"/>
        <w:tabs>
          <w:tab w:leader="none" w:pos="8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Identifies Exhibit that consists of or includes a management contract or compensatory plan or arrangement.</w:t>
      </w:r>
    </w:p>
    <w:p>
      <w:pPr>
        <w:spacing w:after="0" w:line="32" w:lineRule="exact"/>
        <w:rPr>
          <w:sz w:val="20"/>
          <w:szCs w:val="20"/>
          <w:color w:val="auto"/>
        </w:rPr>
      </w:pPr>
    </w:p>
    <w:p>
      <w:pPr>
        <w:ind w:left="800" w:hanging="448"/>
        <w:spacing w:after="0" w:line="245" w:lineRule="auto"/>
        <w:tabs>
          <w:tab w:leader="none" w:pos="8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files because the XBRL tags are embedded within the Inline XBRL document.</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786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EZCORP, Inc.</w:t>
            </w:r>
          </w:p>
        </w:tc>
      </w:tr>
      <w:tr>
        <w:trPr>
          <w:trHeight w:val="21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14, 2020</w:t>
            </w:r>
          </w:p>
        </w:tc>
        <w:tc>
          <w:tcPr>
            <w:tcW w:w="222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By:</w:t>
            </w: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Jason A. Kulas</w:t>
            </w:r>
          </w:p>
        </w:tc>
      </w:tr>
      <w:tr>
        <w:trPr>
          <w:trHeight w:val="207"/>
        </w:trPr>
        <w:tc>
          <w:tcPr>
            <w:tcW w:w="3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Jason A. Kulas,</w:t>
            </w:r>
          </w:p>
        </w:tc>
      </w:tr>
      <w:tr>
        <w:trPr>
          <w:trHeight w:val="216"/>
        </w:trPr>
        <w:tc>
          <w:tcPr>
            <w:tcW w:w="3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8"/>
                <w:szCs w:val="18"/>
                <w:color w:val="auto"/>
              </w:rPr>
            </w:pP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00" w:type="dxa"/>
            <w:vAlign w:val="bottom"/>
          </w:tcPr>
          <w:p>
            <w:pPr>
              <w:spacing w:after="0"/>
              <w:rPr>
                <w:sz w:val="18"/>
                <w:szCs w:val="18"/>
                <w:color w:val="auto"/>
              </w:rPr>
            </w:pPr>
          </w:p>
        </w:tc>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199"/>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Jason A. Kulas</w:t>
            </w:r>
          </w:p>
        </w:tc>
        <w:tc>
          <w:tcPr>
            <w:tcW w:w="120" w:type="dxa"/>
            <w:vAlign w:val="bottom"/>
          </w:tcPr>
          <w:p>
            <w:pPr>
              <w:spacing w:after="0"/>
              <w:rPr>
                <w:sz w:val="17"/>
                <w:szCs w:val="17"/>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18"/>
        </w:trPr>
        <w:tc>
          <w:tcPr>
            <w:tcW w:w="3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Jason A. Kulas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Timothy K. Jugmans</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Interim Chief Financial Officer (principal financial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Timothy K. Jugmans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Phillip E. Cohen</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Executive Chairman of the Board</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Phillip E. Cohen</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Matthew W. Appel</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Matthew W. Appel</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Zena Srivatsa Arnold</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Zena Srivatsa Arnold</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Shelaghmichael Brown</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Shelaghmichael Brown</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Hugo R. Dooner</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Hugo R. Dooner</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Pablo Lagos Espinosa</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Pablo Lagos Espinosa</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Kent V. Stone</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Kent V. Stone</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Gary L. Tillett</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Gary L. Tillett</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W. K. Webb</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Robert W. K. Webb</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Rosa Zeegers</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Rosa Zeegers</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7"/>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Fred Herman</w:t>
            </w: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Accounting Officer (principal accounting officer)</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14, 2020</w:t>
            </w:r>
          </w:p>
        </w:tc>
        <w:tc>
          <w:tcPr>
            <w:tcW w:w="0" w:type="dxa"/>
            <w:vAlign w:val="bottom"/>
          </w:tcPr>
          <w:p>
            <w:pPr>
              <w:spacing w:after="0"/>
              <w:rPr>
                <w:sz w:val="1"/>
                <w:szCs w:val="1"/>
                <w:color w:val="auto"/>
              </w:rPr>
            </w:pPr>
          </w:p>
        </w:tc>
      </w:tr>
      <w:tr>
        <w:trPr>
          <w:trHeight w:val="207"/>
        </w:trPr>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Fred Herman</w:t>
            </w:r>
          </w:p>
        </w:tc>
        <w:tc>
          <w:tcPr>
            <w:tcW w:w="1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21" w:right="339" w:bottom="1440" w:gutter="0" w:footer="0" w:header="0"/>
        </w:sectPr>
      </w:pPr>
    </w:p>
    <w:bookmarkStart w:id="118" w:name="page119"/>
    <w:bookmarkEnd w:id="118"/>
    <w:p>
      <w:pPr>
        <w:ind w:right="80"/>
        <w:spacing w:after="0" w:line="289" w:lineRule="auto"/>
        <w:rPr>
          <w:sz w:val="20"/>
          <w:szCs w:val="20"/>
          <w:color w:val="auto"/>
        </w:rPr>
      </w:pPr>
      <w:r>
        <w:rPr>
          <w:rFonts w:ascii="Arial" w:cs="Arial" w:eastAsia="Arial" w:hAnsi="Arial"/>
          <w:sz w:val="18"/>
          <w:szCs w:val="18"/>
          <w:i w:val="1"/>
          <w:iCs w:val="1"/>
          <w:color w:val="auto"/>
        </w:rPr>
        <w:t>This filing amends the Company’s Current Report on Form 8-K filed on July 8, 2020 to include information that was not available at the time of the original filing.</w:t>
      </w:r>
    </w:p>
    <w:p>
      <w:pPr>
        <w:spacing w:after="0" w:line="105"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00" w:lineRule="exact"/>
        <w:rPr>
          <w:sz w:val="20"/>
          <w:szCs w:val="20"/>
          <w:color w:val="auto"/>
        </w:rPr>
      </w:pPr>
    </w:p>
    <w:p>
      <w:pPr>
        <w:ind w:left="660" w:right="20" w:hanging="652"/>
        <w:spacing w:after="0" w:line="264" w:lineRule="auto"/>
        <w:tabs>
          <w:tab w:leader="none" w:pos="4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November 14, 2020, the Company and Stuart I. Grimshaw (former Chief Executive Officer) entered into a Transition Employment Agreement (the “Agreement”) regarding the terms and conditions of Mr. Grimshaw’s employment as special adviser and his ultimate separation from employment with the Company. The Agreement became effective on November 21, 2020 upon the expiration of a seven-day revocation period.</w:t>
      </w:r>
    </w:p>
    <w:p>
      <w:pPr>
        <w:spacing w:after="0" w:line="129"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Under the terms of the Agreement, Mr. Grimshaw’s employment as special advisor will continue for three years unless earlier terminated pursuant to the provisions of the Agreement. As compensation for services as special advisor, the Company will pay Mr. Grimshaw an aggregate of $800,000 as follows: $200,000 on the effective date of the Agreement; $225,000 on November 30, 2020; $225,000 on December 31, 2020; and $50,000 per year over the three-year term of the Agreement.</w:t>
      </w:r>
    </w:p>
    <w:p>
      <w:pPr>
        <w:spacing w:after="0" w:line="129"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In addition, the Company will to pay Mr. Grimshaw $ 1 million as severance for his termination of employment at the end of the Agreement. This amount represents the contractual severance arrangement that was part of Mr. Grimshaw’s terms of employment as Chief Executive Officer and will be paid in the form of salary continuation over the one-year period commencing on the effective date of the Agreement.</w:t>
      </w:r>
    </w:p>
    <w:p>
      <w:pPr>
        <w:spacing w:after="0" w:line="142"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The Agreement specifies that Mr. Grimshaw will not receive any other payout under the fiscal 2020 short-term bonus plan or any payments in lieu thereof (other than the payments described above) and that he will forfeit all of the long-term incentive awards that were outstanding at the time he relinquished the position of Chief Executive Officer (covering 696,162 shares of Class A Non-Voting Common Stock in the aggregate).</w:t>
      </w:r>
    </w:p>
    <w:p>
      <w:pPr>
        <w:spacing w:after="0" w:line="129" w:lineRule="exact"/>
        <w:rPr>
          <w:sz w:val="20"/>
          <w:szCs w:val="20"/>
          <w:color w:val="auto"/>
        </w:rPr>
      </w:pPr>
    </w:p>
    <w:p>
      <w:pPr>
        <w:ind w:left="660" w:right="360"/>
        <w:spacing w:after="0" w:line="264" w:lineRule="auto"/>
        <w:rPr>
          <w:sz w:val="20"/>
          <w:szCs w:val="20"/>
          <w:color w:val="auto"/>
        </w:rPr>
      </w:pPr>
      <w:r>
        <w:rPr>
          <w:rFonts w:ascii="Arial" w:cs="Arial" w:eastAsia="Arial" w:hAnsi="Arial"/>
          <w:sz w:val="18"/>
          <w:szCs w:val="18"/>
          <w:color w:val="auto"/>
        </w:rPr>
        <w:t>The Agreement contains customary release provisions pursuant to which Mr. Grimshaw releases the Company from any and all claims and demands. It also specifies that Mr. Grimshaw will continue to be subject to non-competition and non-solicitation restrictions during the term of the Agreement (or, if terminated earlier, for at least one year following the effective date of the Agreement).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may be terminated by Mr. Grimshaw for any reason, and may be terminated by the Company for cause or if Mr.</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Grimshaw accepts certain other employment or engagements.</w:t>
      </w:r>
    </w:p>
    <w:p>
      <w:pPr>
        <w:spacing w:after="0" w:line="176"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A copy of the Agreement will be filed as an exhibit to the Company’s Annual Report on Form 10-K for the year ended September 30, 2020, which is due to be filed on December 14, 2020.</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jc w:val="center"/>
        <w:ind w:right="8640"/>
        <w:spacing w:after="0"/>
        <w:tabs>
          <w:tab w:leader="none" w:pos="180" w:val="left"/>
        </w:tabs>
        <w:rPr>
          <w:sz w:val="20"/>
          <w:szCs w:val="20"/>
          <w:color w:val="auto"/>
        </w:rPr>
      </w:pPr>
      <w:r>
        <w:rPr>
          <w:rFonts w:ascii="Arial" w:cs="Arial" w:eastAsia="Arial" w:hAnsi="Arial"/>
          <w:sz w:val="18"/>
          <w:szCs w:val="18"/>
          <w:color w:val="auto"/>
        </w:rPr>
        <w:t>Date: November 27, 2020</w:t>
      </w:r>
      <w:r>
        <w:rPr>
          <w:sz w:val="20"/>
          <w:szCs w:val="20"/>
          <w:color w:val="auto"/>
        </w:rPr>
        <w:tab/>
      </w:r>
      <w:r>
        <w:rPr>
          <w:rFonts w:ascii="Arial" w:cs="Arial" w:eastAsia="Arial" w:hAnsi="Arial"/>
          <w:sz w:val="17"/>
          <w:szCs w:val="17"/>
          <w:color w:val="auto"/>
        </w:rPr>
        <w:t>By:</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Thomas H. Welch, Jr.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160"/>
          </w:cols>
          <w:pgMar w:left="320" w:top="1415" w:right="4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280" w:type="dxa"/>
            <w:vAlign w:val="bottom"/>
            <w:gridSpan w:val="2"/>
          </w:tcPr>
          <w:p>
            <w:pPr>
              <w:ind w:left="636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657"/>
        </w:trPr>
        <w:tc>
          <w:tcPr>
            <w:tcW w:w="3960" w:type="dxa"/>
            <w:vAlign w:val="bottom"/>
          </w:tcPr>
          <w:p>
            <w:pPr>
              <w:spacing w:after="0"/>
              <w:rPr>
                <w:sz w:val="24"/>
                <w:szCs w:val="24"/>
                <w:color w:val="auto"/>
              </w:rPr>
            </w:pPr>
          </w:p>
        </w:tc>
        <w:tc>
          <w:tcPr>
            <w:tcW w:w="72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SUBSIDIARIES OF EZCORP, INC.</w:t>
            </w:r>
          </w:p>
        </w:tc>
        <w:tc>
          <w:tcPr>
            <w:tcW w:w="0" w:type="dxa"/>
            <w:vAlign w:val="bottom"/>
          </w:tcPr>
          <w:p>
            <w:pPr>
              <w:spacing w:after="0"/>
              <w:rPr>
                <w:sz w:val="1"/>
                <w:szCs w:val="1"/>
                <w:color w:val="auto"/>
              </w:rPr>
            </w:pPr>
          </w:p>
        </w:tc>
      </w:tr>
      <w:tr>
        <w:trPr>
          <w:trHeight w:val="188"/>
        </w:trPr>
        <w:tc>
          <w:tcPr>
            <w:tcW w:w="3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7260" w:type="dxa"/>
            <w:vAlign w:val="bottom"/>
            <w:tcBorders>
              <w:top w:val="single" w:sz="8" w:color="auto"/>
              <w:bottom w:val="single" w:sz="8" w:color="auto"/>
            </w:tcBorders>
          </w:tcPr>
          <w:p>
            <w:pPr>
              <w:jc w:val="center"/>
              <w:ind w:left="4791"/>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960" w:type="dxa"/>
            <w:vAlign w:val="bottom"/>
          </w:tcPr>
          <w:p>
            <w:pPr>
              <w:spacing w:after="0"/>
              <w:rPr>
                <w:sz w:val="5"/>
                <w:szCs w:val="5"/>
                <w:color w:val="auto"/>
              </w:rPr>
            </w:pPr>
          </w:p>
        </w:tc>
        <w:tc>
          <w:tcPr>
            <w:tcW w:w="72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Brainerd Honduras, S.A. de C.V.</w:t>
            </w:r>
          </w:p>
        </w:tc>
        <w:tc>
          <w:tcPr>
            <w:tcW w:w="7260" w:type="dxa"/>
            <w:vAlign w:val="bottom"/>
            <w:shd w:val="clear" w:color="auto" w:fill="CCEEFF"/>
          </w:tcPr>
          <w:p>
            <w:pPr>
              <w:jc w:val="center"/>
              <w:ind w:left="4791"/>
              <w:spacing w:after="0"/>
              <w:rPr>
                <w:sz w:val="20"/>
                <w:szCs w:val="20"/>
                <w:color w:val="auto"/>
              </w:rPr>
            </w:pPr>
            <w:r>
              <w:rPr>
                <w:rFonts w:ascii="Times New Roman" w:cs="Times New Roman" w:eastAsia="Times New Roman" w:hAnsi="Times New Roman"/>
                <w:sz w:val="18"/>
                <w:szCs w:val="18"/>
                <w:color w:val="auto"/>
                <w:w w:val="99"/>
              </w:rPr>
              <w:t>Honduras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Brainerd, S.A.</w:t>
            </w:r>
          </w:p>
        </w:tc>
        <w:tc>
          <w:tcPr>
            <w:tcW w:w="7260" w:type="dxa"/>
            <w:vAlign w:val="bottom"/>
          </w:tcPr>
          <w:p>
            <w:pPr>
              <w:jc w:val="center"/>
              <w:ind w:left="4791"/>
              <w:spacing w:after="0"/>
              <w:rPr>
                <w:sz w:val="20"/>
                <w:szCs w:val="20"/>
                <w:color w:val="auto"/>
              </w:rPr>
            </w:pPr>
            <w:r>
              <w:rPr>
                <w:rFonts w:ascii="Times New Roman" w:cs="Times New Roman" w:eastAsia="Times New Roman" w:hAnsi="Times New Roman"/>
                <w:sz w:val="18"/>
                <w:szCs w:val="18"/>
                <w:color w:val="auto"/>
                <w:w w:val="99"/>
              </w:rPr>
              <w:t>Guatemala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Brainerd, S.A.C.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6"/>
              </w:rPr>
              <w:t>Peru</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Brainerd, S.A. de C.V.</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9"/>
              </w:rPr>
              <w:t>El Salvador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Camira Administration Corp</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9"/>
              </w:rPr>
              <w:t>British Virgin Islands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 City Holdings, LLC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Capital International Holdings, B.V.</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Capital Mexico Holdings, S.A. de C.V.</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CCV Americas, LLC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CCV Latin America Coöperatief, U.A</w:t>
            </w:r>
          </w:p>
        </w:tc>
        <w:tc>
          <w:tcPr>
            <w:tcW w:w="7260" w:type="dxa"/>
            <w:vAlign w:val="bottom"/>
          </w:tcPr>
          <w:p>
            <w:pPr>
              <w:ind w:left="596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CCV Pennsylvania,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CCV Virginia,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EGreen Financial,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 Talent S. de R.L. de C.V</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 Transfers S.A. de C.V.</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EZCORP (2015) Asia-Pacific PTE, LTD</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EZCORP FS Holdings,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EZCORP Global, B.V.</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EZCORP Global Holdings, C.V.</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EZCORP International,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EZCORP International Holdings, LLC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EZCORP Latin America Coöperatief, U.A.</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EZCORP USA,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Alabama,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EZMONEY Canada Holdings,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Canada,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EZMONEY Colorado,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Hawaii,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EZMONEY Holdings,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Idaho,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EZMONEY Kansas,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Management,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EZMONEY Missouri,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South Dakota,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EZMONEY Tario,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Tennessee,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EZMONEY Utah,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EZMONEY Wisconsin,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 Online Sales,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Alabama,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Arizona, Inc.</w:t>
            </w:r>
          </w:p>
        </w:tc>
        <w:tc>
          <w:tcPr>
            <w:tcW w:w="7260" w:type="dxa"/>
            <w:vAlign w:val="bottom"/>
            <w:shd w:val="clear" w:color="auto" w:fill="CCEEFF"/>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Arkansas, Inc.</w:t>
            </w:r>
          </w:p>
        </w:tc>
        <w:tc>
          <w:tcPr>
            <w:tcW w:w="7260" w:type="dxa"/>
            <w:vAlign w:val="bottom"/>
          </w:tcPr>
          <w:p>
            <w:pPr>
              <w:jc w:val="center"/>
              <w:ind w:left="4811"/>
              <w:spacing w:after="0"/>
              <w:rPr>
                <w:sz w:val="20"/>
                <w:szCs w:val="20"/>
                <w:color w:val="auto"/>
              </w:rPr>
            </w:pPr>
            <w:r>
              <w:rPr>
                <w:rFonts w:ascii="Times New Roman" w:cs="Times New Roman" w:eastAsia="Times New Roman" w:hAnsi="Times New Roman"/>
                <w:sz w:val="18"/>
                <w:szCs w:val="18"/>
                <w:color w:val="auto"/>
                <w:w w:val="98"/>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5" w:right="33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Borders>
              <w:bottom w:val="single" w:sz="8" w:color="auto"/>
            </w:tcBorders>
          </w:tcPr>
          <w:p>
            <w:pPr>
              <w:spacing w:after="0"/>
              <w:rPr>
                <w:sz w:val="16"/>
                <w:szCs w:val="16"/>
                <w:color w:val="auto"/>
              </w:rPr>
            </w:pPr>
          </w:p>
        </w:tc>
        <w:tc>
          <w:tcPr>
            <w:tcW w:w="71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SUBSIDIARIES OF EZCORP, INC.</w:t>
            </w:r>
          </w:p>
        </w:tc>
      </w:tr>
      <w:tr>
        <w:trPr>
          <w:trHeight w:val="188"/>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4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Colorado,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Florida,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Georgia,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Holdings,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Illinois,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Indiana,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Iowa,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Management Mexico, S. de R.L. de C.V.</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Mexico Holdings, LLC.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Mexico Ltd., LLC.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Minnesota,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Nevada,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Oklahoma,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Oregon,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Services Mexico, S. de R.L. de C.V.</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EZPAWN Tennessee,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EZPAWN Utah,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Janama Honduras, S.A. de C.V.</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Honduras</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Janama, S.A.</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Guatemala</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Janama, S.A.C.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Janama, S.A. de C.V.</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 Salvador</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Khoper Advisors, Ltd.</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Madras Investments Corp.</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Maxiefectivo Peru, S.A.C.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Peru</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Maxiprestamos. S.A. de C.V.</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 Salvador</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Miravet Planning Corp</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Mister Money Holdings,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Operadora de Servicios, S.A. de C.V.</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El Salvador</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Parkway Insurance, Inc.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Payday Loan Management,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Prenda Aval, S.A. de C.V.</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 Salvador</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Renueva Comercial, S.A.P.I. de C.V.</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 Data Corporation Solutions PTE. LTD.</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 Data Corporation North America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 Data Corporation (Australia) PTY. LTD.</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Salvaprenda, S.A. de C.V.</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El Salvador</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Shenzhen Shu Feng Technology Co. LTD.</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 EZMONEY, L.P.</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EZPAWN, L.P.</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 EZPAWN Management,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PRA Management, L.P.</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Unicode Market, Inc.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Pawn &amp; Jewelry Co. XI, LLC</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 Pawn &amp; Jewelry Co. 19, LLC</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Nevada</w:t>
            </w:r>
          </w:p>
        </w:tc>
      </w:tr>
    </w:tbl>
    <w:p>
      <w:pPr>
        <w:sectPr>
          <w:pgSz w:w="11900" w:h="16838" w:orient="portrait"/>
          <w:cols w:equalWidth="0" w:num="1">
            <w:col w:w="11220"/>
          </w:cols>
          <w:pgMar w:left="320" w:top="1019" w:right="35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EZCORP,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Rollingwood, Texas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333-202626), Form S-8 (No. 333-221996) Form S-8 (No. 333-215294), Form S-8 (No. 333-210647), Form S-8 (No. 333-209088), Form S-8 (No. 333-202628), Form S-8 (No. 333-191677), and Form S-8 (No. 333-228618) of our reports dated December 14, 2020, relating to the consolidated financial statements, and the effectiveness of EZCORP, Inc.’s internal control over financial reporting, which appears in this Annual Report on Form 10-K. Our report on the effectiveness of internal control over financial reporting expresses an adverse opinion on the effectiveness of the Company’s internal control over financial reporting as of September 30,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ectPr>
          <w:pgSz w:w="11900" w:h="16838" w:orient="portrait"/>
          <w:cols w:equalWidth="0" w:num="1">
            <w:col w:w="11240"/>
          </w:cols>
          <w:pgMar w:left="320" w:top="110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Jason A. Kulas, Chief Executive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Kulas, certify that:</w:t>
      </w:r>
    </w:p>
    <w:p>
      <w:pPr>
        <w:spacing w:after="0" w:line="63"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2020</w:t>
      </w:r>
    </w:p>
    <w:p>
      <w:pPr>
        <w:spacing w:after="0" w:line="200" w:lineRule="exact"/>
        <w:rPr>
          <w:sz w:val="20"/>
          <w:szCs w:val="20"/>
          <w:color w:val="auto"/>
        </w:rPr>
      </w:pP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18415</wp:posOffset>
            </wp:positionV>
            <wp:extent cx="3600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Jason A. Kulas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2020</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258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ind w:left="1580" w:right="1520" w:hanging="48"/>
        <w:spacing w:after="0" w:line="384" w:lineRule="auto"/>
        <w:rPr>
          <w:sz w:val="20"/>
          <w:szCs w:val="20"/>
          <w:color w:val="auto"/>
        </w:rPr>
      </w:pPr>
      <w:r>
        <w:rPr>
          <w:rFonts w:ascii="Times New Roman" w:cs="Times New Roman" w:eastAsia="Times New Roman" w:hAnsi="Times New Roman"/>
          <w:sz w:val="17"/>
          <w:szCs w:val="17"/>
          <w:b w:val="1"/>
          <w:bCs w:val="1"/>
          <w:color w:val="auto"/>
        </w:rPr>
        <w:t>Certification of Jason A. Kulas, Chief Executive Officer, and Timothy K. Jugmans, Chief Financial Officer, pursuant to 18 U.S.C. Section 1350, as adopted pursuant to Section 906 of the Sarbanes-Oxley Act of 2002</w:t>
      </w:r>
    </w:p>
    <w:p>
      <w:pPr>
        <w:spacing w:after="0" w:line="323"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undersigned officer of EZCORP, Inc. hereby certify that (a) EZCORP’s Annual Report on Form 10-K for the year ended September 30, 2020,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2020</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Jason A. Kulas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lowerLetter"/>
      <w:start w:val="1"/>
    </w:lvl>
    <w:lvl w:ilvl="1">
      <w:lvlJc w:val="left"/>
      <w:lvlText w:val="\emdash "/>
      <w:numFmt w:val="bullet"/>
      <w:start w:val="1"/>
    </w:lvl>
  </w:abstractNum>
  <w:abstractNum w:abstractNumId="8">
    <w:nsid w:val="749ABB43"/>
    <w:multiLevelType w:val="hybridMultilevel"/>
    <w:lvl w:ilvl="0">
      <w:lvlJc w:val="left"/>
      <w:lvlText w:val="(%1)"/>
      <w:numFmt w:val="lowerLetter"/>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lowerLetter"/>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1)"/>
      <w:numFmt w:val="lowerLetter"/>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1)"/>
      <w:numFmt w:val="lowerLetter"/>
      <w:start w:val="3"/>
    </w:lvl>
  </w:abstractNum>
  <w:abstractNum w:abstractNumId="29">
    <w:nsid w:val="D34B6A8"/>
    <w:multiLevelType w:val="hybridMultilevel"/>
    <w:lvl w:ilvl="0">
      <w:lvlJc w:val="left"/>
      <w:lvlText w:val="(%1)"/>
      <w:numFmt w:val="lowerLetter"/>
      <w:start w:val="2"/>
    </w:lvl>
  </w:abstractNum>
  <w:abstractNum w:abstractNumId="30">
    <w:nsid w:val="10233C99"/>
    <w:multiLevelType w:val="hybridMultilevel"/>
    <w:lvl w:ilvl="0">
      <w:lvlJc w:val="left"/>
      <w:lvlText w:val="(%1)"/>
      <w:numFmt w:val="lowerLetter"/>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lvl w:ilvl="1">
      <w:lvlJc w:val="left"/>
      <w:lvlText w:val="◦"/>
      <w:numFmt w:val="bullet"/>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decimal"/>
      <w:start w:val="2"/>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
      <w:numFmt w:val="bullet"/>
      <w:start w:val="1"/>
    </w:lvl>
    <w:lvl w:ilvl="1">
      <w:lvlJc w:val="left"/>
      <w:lvlText w:val="•"/>
      <w:numFmt w:val="bullet"/>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lvl w:ilvl="1">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3"/>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2"/>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3"/>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7"/>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1"/>
    </w:lvl>
    <w:lvl w:ilvl="1">
      <w:lvlJc w:val="left"/>
      <w:lvlText w:val="•"/>
      <w:numFmt w:val="bullet"/>
      <w:start w:val="1"/>
    </w:lvl>
  </w:abstractNum>
  <w:abstractNum w:abstractNumId="84">
    <w:nsid w:val="1716703B"/>
    <w:multiLevelType w:val="hybridMultilevel"/>
    <w:lvl w:ilvl="0">
      <w:lvlJc w:val="left"/>
      <w:lvlText w:val="%1"/>
      <w:numFmt w:val="decimal"/>
      <w:start w:val="101"/>
    </w:lvl>
    <w:lvl w:ilvl="1">
      <w:lvlJc w:val="left"/>
      <w:lvlText w:val="(%2)"/>
      <w:numFmt w:val="lowerRoman"/>
      <w:start w:val="1"/>
    </w:lvl>
  </w:abstractNum>
  <w:abstractNum w:abstractNumId="85">
    <w:nsid w:val="14E17E33"/>
    <w:multiLevelType w:val="hybridMultilevel"/>
    <w:lvl w:ilvl="0">
      <w:lvlJc w:val="left"/>
      <w:lvlText w:val="%1"/>
      <w:numFmt w:val="decimal"/>
      <w:start w:val="104"/>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1)"/>
      <w:numFmt w:val="lowerLetter"/>
      <w:start w:val="5"/>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37" Type="http://schemas.openxmlformats.org/officeDocument/2006/relationships/hyperlink" Target="http://www.sec.gov/Archives/edgar/data/876523/000087652313000045/a31ezmergecoincarcertifica.htm" TargetMode="External"/><Relationship Id="rId138" Type="http://schemas.openxmlformats.org/officeDocument/2006/relationships/hyperlink" Target="http://www.sec.gov/Archives/edgar/data/876523/000087652314000035/certificateofamendmentdate.htm" TargetMode="External"/><Relationship Id="rId139" Type="http://schemas.openxmlformats.org/officeDocument/2006/relationships/hyperlink" Target="http://www.sec.gov/Archives/edgar/data/876523/000087652314000072/ex32-amendedandrestatedbyl.htm" TargetMode="External"/><Relationship Id="rId140" Type="http://schemas.openxmlformats.org/officeDocument/2006/relationships/hyperlink" Target="http://www.sec.gov/Archives/edgar/data/876523/000087652313000045/a41descriptionofcapitalsto.htm" TargetMode="External"/><Relationship Id="rId141" Type="http://schemas.openxmlformats.org/officeDocument/2006/relationships/hyperlink" Target="http://www.sec.gov/Archives/edgar/data/876523/000087652317000082/a2017-q4projecteaglexinden.htm" TargetMode="External"/><Relationship Id="rId142" Type="http://schemas.openxmlformats.org/officeDocument/2006/relationships/hyperlink" Target="http://www.sec.gov/Archives/edgar/data/876523/000087652318000033/a2018-q3projectcowboyxinde.htm" TargetMode="External"/><Relationship Id="rId143" Type="http://schemas.openxmlformats.org/officeDocument/2006/relationships/hyperlink" Target="http://www.sec.gov/Archives/edgar/data/876523/000087652319000055/a2020-q1successortrusteeag.htm" TargetMode="External"/><Relationship Id="rId144" Type="http://schemas.openxmlformats.org/officeDocument/2006/relationships/hyperlink" Target="http://www.sec.gov/Archives/edgar/data/876523/000095013405022476/d30926exv10w94.txt" TargetMode="External"/><Relationship Id="rId145" Type="http://schemas.openxmlformats.org/officeDocument/2006/relationships/hyperlink" Target="http://www.sec.gov/Archives/edgar/data/876523/000087652318000062/a2019-q1exx101ltipamendmen.htm" TargetMode="External"/><Relationship Id="rId146" Type="http://schemas.openxmlformats.org/officeDocument/2006/relationships/hyperlink" Target="http://www.sec.gov/Archives/edgar/data/876523/000095012310108591/d77971exv10w15.htm" TargetMode="External"/><Relationship Id="rId147" Type="http://schemas.openxmlformats.org/officeDocument/2006/relationships/hyperlink" Target="http://www.sec.gov/Archives/edgar/data/876523/000095012310108591/d77971exv10w17.htm" TargetMode="External"/><Relationship Id="rId148" Type="http://schemas.openxmlformats.org/officeDocument/2006/relationships/hyperlink" Target="http://www.sec.gov/Archives/edgar/data/876523/000087652317000094/a2017-q310qex102_6302017.htm" TargetMode="External"/><Relationship Id="rId149" Type="http://schemas.openxmlformats.org/officeDocument/2006/relationships/hyperlink" Target="http://www.sec.gov/Archives/edgar/data/876523/000087652317000094/a2017-q310qex103_6302017.htm" TargetMode="External"/><Relationship Id="rId150" Type="http://schemas.openxmlformats.org/officeDocument/2006/relationships/hyperlink" Target="http://www.sec.gov/Archives/edgar/data/876523/000087652317000094/a2017-q310qex104_6302017.htm" TargetMode="External"/><Relationship Id="rId151" Type="http://schemas.openxmlformats.org/officeDocument/2006/relationships/hyperlink" Target="http://www.sec.gov/Archives/edgar/data/876523/000087652317000094/a2017-q310qex105_6302017.htm" TargetMode="External"/><Relationship Id="rId152" Type="http://schemas.openxmlformats.org/officeDocument/2006/relationships/hyperlink" Target="http://www.sec.gov/Archives/edgar/data/876523/000087652317000094/a2017-q310qex106_6302017.htm" TargetMode="External"/><Relationship Id="rId153" Type="http://schemas.openxmlformats.org/officeDocument/2006/relationships/hyperlink" Target="http://www.sec.gov/Archives/edgar/data/876523/000087652317000094/a2017-q310qex107_630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2020-12-14T16:17:23Z</dcterms:created>
  <dcterms:modified xsi:type="dcterms:W3CDTF">2020-12-14T16:17:23Z</dcterms:modified>
</cp:coreProperties>
</file>