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Current Report Pursuant to Section 13 or 15(d) of</w:t>
      </w:r>
    </w:p>
    <w:p>
      <w:pPr>
        <w:jc w:val="center"/>
        <w:ind w:right="1679"/>
        <w:spacing w:after="0" w:line="238" w:lineRule="auto"/>
        <w:rPr>
          <w:sz w:val="20"/>
          <w:szCs w:val="20"/>
          <w:color w:val="auto"/>
        </w:rPr>
      </w:pPr>
      <w:r>
        <w:rPr>
          <w:rFonts w:ascii="Courier New" w:cs="Courier New" w:eastAsia="Courier New" w:hAnsi="Courier New"/>
          <w:sz w:val="18"/>
          <w:szCs w:val="18"/>
          <w:color w:val="auto"/>
        </w:rPr>
        <w:t>The Securities Exchange Act of 1934</w:t>
      </w:r>
    </w:p>
    <w:p>
      <w:pPr>
        <w:spacing w:after="0" w:line="200" w:lineRule="exact"/>
        <w:rPr>
          <w:sz w:val="24"/>
          <w:szCs w:val="24"/>
          <w:color w:val="auto"/>
        </w:rPr>
      </w:pPr>
    </w:p>
    <w:p>
      <w:pPr>
        <w:spacing w:after="0" w:line="210"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Date of Report (Date of earliest event reported): May 14, 2004</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EZCORP,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Texas</w:t>
      </w:r>
    </w:p>
    <w:p>
      <w:pPr>
        <w:spacing w:after="0" w:line="4"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(State or other</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jurisdiction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0-19424</w:t>
      </w:r>
    </w:p>
    <w:p>
      <w:pPr>
        <w:spacing w:after="0" w:line="238" w:lineRule="auto"/>
        <w:rPr>
          <w:sz w:val="20"/>
          <w:szCs w:val="20"/>
          <w:color w:val="auto"/>
        </w:rPr>
      </w:pPr>
      <w:r>
        <w:rPr>
          <w:rFonts w:ascii="Courier New" w:cs="Courier New" w:eastAsia="Courier New" w:hAnsi="Courier New"/>
          <w:sz w:val="18"/>
          <w:szCs w:val="18"/>
          <w:color w:val="auto"/>
        </w:rPr>
        <w:t>(Commission</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74-2540145</w:t>
      </w:r>
    </w:p>
    <w:p>
      <w:pPr>
        <w:ind w:left="1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 w:lineRule="exact"/>
        <w:rPr>
          <w:sz w:val="24"/>
          <w:szCs w:val="24"/>
          <w:color w:val="auto"/>
        </w:rPr>
      </w:pPr>
    </w:p>
    <w:p>
      <w:pPr>
        <w:sectPr>
          <w:pgSz w:w="11900" w:h="16838" w:orient="portrait"/>
          <w:cols w:equalWidth="0" w:num="3">
            <w:col w:w="2860" w:space="720"/>
            <w:col w:w="2140" w:space="720"/>
            <w:col w:w="3779"/>
          </w:cols>
          <w:pgMar w:left="240" w:top="244" w:right="1440" w:bottom="1440" w:gutter="0" w:footer="0" w:header="0"/>
          <w:type w:val="continuous"/>
        </w:sectPr>
      </w:pPr>
    </w:p>
    <w:p>
      <w:pPr>
        <w:ind w:left="320"/>
        <w:spacing w:after="0"/>
        <w:rPr>
          <w:sz w:val="20"/>
          <w:szCs w:val="20"/>
          <w:color w:val="auto"/>
        </w:rPr>
      </w:pPr>
      <w:r>
        <w:rPr>
          <w:rFonts w:ascii="Courier New" w:cs="Courier New" w:eastAsia="Courier New" w:hAnsi="Courier New"/>
          <w:sz w:val="16"/>
          <w:szCs w:val="16"/>
          <w:color w:val="auto"/>
        </w:rPr>
        <w:t>of incorporation)</w:t>
      </w:r>
    </w:p>
    <w:p>
      <w:pPr>
        <w:sectPr>
          <w:pgSz w:w="11900" w:h="16838" w:orient="portrait"/>
          <w:cols w:equalWidth="0" w:num="1">
            <w:col w:w="10219"/>
          </w:cols>
          <w:pgMar w:left="240" w:top="244" w:right="1440" w:bottom="1440" w:gutter="0" w:footer="0" w:header="0"/>
          <w:type w:val="continuous"/>
        </w:sectPr>
      </w:pPr>
    </w:p>
    <w:p>
      <w:pPr>
        <w:spacing w:after="0" w:line="200" w:lineRule="exact"/>
        <w:rPr>
          <w:sz w:val="24"/>
          <w:szCs w:val="24"/>
          <w:color w:val="auto"/>
        </w:rPr>
      </w:pPr>
    </w:p>
    <w:p>
      <w:pPr>
        <w:spacing w:after="0" w:line="22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1901 Capital Parkway</w:t>
      </w:r>
    </w:p>
    <w:p>
      <w:pPr>
        <w:ind w:left="1800"/>
        <w:spacing w:after="0" w:line="238" w:lineRule="auto"/>
        <w:rPr>
          <w:sz w:val="20"/>
          <w:szCs w:val="20"/>
          <w:color w:val="auto"/>
        </w:rPr>
      </w:pPr>
      <w:r>
        <w:rPr>
          <w:rFonts w:ascii="Courier New" w:cs="Courier New" w:eastAsia="Courier New" w:hAnsi="Courier New"/>
          <w:sz w:val="18"/>
          <w:szCs w:val="18"/>
          <w:color w:val="auto"/>
        </w:rPr>
        <w:t>Austin, Texas</w:t>
      </w:r>
    </w:p>
    <w:p>
      <w:pPr>
        <w:spacing w:after="0" w:line="5"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78746</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6240" w:space="720"/>
            <w:col w:w="3259"/>
          </w:cols>
          <w:pgMar w:left="240" w:top="244" w:right="1440" w:bottom="1440" w:gutter="0" w:footer="0" w:header="0"/>
          <w:type w:val="continuous"/>
        </w:sectPr>
      </w:pPr>
    </w:p>
    <w:p>
      <w:pPr>
        <w:spacing w:after="0" w:line="22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(512) 314-3400</w:t>
      </w:r>
    </w:p>
    <w:p>
      <w:pPr>
        <w:spacing w:after="0" w:line="200" w:lineRule="exact"/>
        <w:rPr>
          <w:sz w:val="24"/>
          <w:szCs w:val="24"/>
          <w:color w:val="auto"/>
        </w:rPr>
      </w:pPr>
    </w:p>
    <w:p>
      <w:pPr>
        <w:sectPr>
          <w:pgSz w:w="11900" w:h="16838" w:orient="portrait"/>
          <w:cols w:equalWidth="0" w:num="2">
            <w:col w:w="5380" w:space="220"/>
            <w:col w:w="4619"/>
          </w:cols>
          <w:pgMar w:left="240" w:top="244" w:right="1440" w:bottom="1440" w:gutter="0" w:footer="0" w:header="0"/>
          <w:type w:val="continuous"/>
        </w:sectPr>
      </w:pPr>
    </w:p>
    <w:p>
      <w:pPr>
        <w:spacing w:after="0" w:line="200" w:lineRule="exact"/>
        <w:rPr>
          <w:sz w:val="24"/>
          <w:szCs w:val="24"/>
          <w:color w:val="auto"/>
        </w:rPr>
      </w:pPr>
    </w:p>
    <w:p>
      <w:pPr>
        <w:spacing w:after="0" w:line="223"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 and Regulation FD Disclosure</w:t>
      </w:r>
    </w:p>
    <w:p>
      <w:pPr>
        <w:spacing w:after="0" w:line="207" w:lineRule="exact"/>
        <w:rPr>
          <w:sz w:val="24"/>
          <w:szCs w:val="24"/>
          <w:color w:val="auto"/>
        </w:rPr>
      </w:pPr>
    </w:p>
    <w:p>
      <w:pPr>
        <w:jc w:val="both"/>
        <w:ind w:right="1779" w:firstLine="527"/>
        <w:spacing w:after="0" w:line="271" w:lineRule="auto"/>
        <w:rPr>
          <w:sz w:val="20"/>
          <w:szCs w:val="20"/>
          <w:color w:val="auto"/>
        </w:rPr>
      </w:pPr>
      <w:r>
        <w:rPr>
          <w:rFonts w:ascii="Courier New" w:cs="Courier New" w:eastAsia="Courier New" w:hAnsi="Courier New"/>
          <w:sz w:val="16"/>
          <w:szCs w:val="16"/>
          <w:color w:val="auto"/>
        </w:rPr>
        <w:t>On May 14, 2004, EZCORP, Inc. (the "Company") received a subpoena from the Securities and Exchange Commission ("SEC"). The subpoena relates to an on-going investigation by the SEC of certain jewelry companies, including Friedman's, Inc. ("Friedman's"). The subpoena requests production of all of the Company's documents concerning Morgan Schiff &amp; Co., Inc. ("Morgan Schiff") and any compensation paid or any other benefits provided to any individual or entity employed by or otherwise affiliated with Morgan Schiff, since January 1, 1994.</w:t>
      </w:r>
    </w:p>
    <w:p>
      <w:pPr>
        <w:spacing w:after="0" w:line="188" w:lineRule="exact"/>
        <w:rPr>
          <w:sz w:val="24"/>
          <w:szCs w:val="24"/>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As previously disclosed in the Company's reports filed with the SEC, the Company has a financial advisory agreement with Morgan Schiff. Morgan Schiff's sole stockholder may be deemed to be the controlling stockholder of both the Company and Friedman's.</w:t>
      </w:r>
    </w:p>
    <w:p>
      <w:pPr>
        <w:spacing w:after="0" w:line="207" w:lineRule="exact"/>
        <w:rPr>
          <w:sz w:val="24"/>
          <w:szCs w:val="24"/>
          <w:color w:val="auto"/>
        </w:rPr>
      </w:pPr>
    </w:p>
    <w:p>
      <w:pPr>
        <w:jc w:val="both"/>
        <w:ind w:right="1779" w:firstLine="527"/>
        <w:spacing w:after="0" w:line="271" w:lineRule="auto"/>
        <w:rPr>
          <w:sz w:val="20"/>
          <w:szCs w:val="20"/>
          <w:color w:val="auto"/>
        </w:rPr>
      </w:pPr>
      <w:r>
        <w:rPr>
          <w:rFonts w:ascii="Courier New" w:cs="Courier New" w:eastAsia="Courier New" w:hAnsi="Courier New"/>
          <w:sz w:val="16"/>
          <w:szCs w:val="16"/>
          <w:color w:val="auto"/>
        </w:rPr>
        <w:t>The Company has today determined that the subjects of the SEC's investigation include Friedman's and its affiliates. Because of Morgan Schiff's sole stockholder's beneficial ownership in both Friedman's and the Company, the Company may be considered an affiliate of Friedman's. The SEC has not advised the Company that the Company is the subject of the investigation. The SEC's letter to the Company accompanying the subpoena states that the investigation should not be construed as an indication by the SEC that any violation of law has occurred or as a reflection on any person, entity or security. The Company is cooperating with the SEC in responding to the subpoena.</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29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9019"/>
          </w:cols>
          <w:pgMar w:left="1440" w:top="344" w:right="1440" w:bottom="144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EZCORP, Inc.</w:t>
      </w:r>
    </w:p>
    <w:p>
      <w:pPr>
        <w:sectPr>
          <w:pgSz w:w="11900" w:h="16838" w:orient="portrait"/>
          <w:cols w:equalWidth="0" w:num="1">
            <w:col w:w="10219"/>
          </w:cols>
          <w:pgMar w:left="240" w:top="11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14, 2004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Joseph L. Rotunda</w:t>
      </w:r>
    </w:p>
    <w:p>
      <w:pPr>
        <w:spacing w:after="0" w:line="4"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Joseph L. Rotunda</w:t>
      </w:r>
    </w:p>
    <w:p>
      <w:pPr>
        <w:spacing w:after="0" w:line="238" w:lineRule="auto"/>
        <w:rPr>
          <w:sz w:val="20"/>
          <w:szCs w:val="20"/>
          <w:color w:val="auto"/>
        </w:rPr>
      </w:pPr>
      <w:r>
        <w:rPr>
          <w:rFonts w:ascii="Courier New" w:cs="Courier New" w:eastAsia="Courier New" w:hAnsi="Courier New"/>
          <w:sz w:val="18"/>
          <w:szCs w:val="18"/>
          <w:color w:val="auto"/>
        </w:rPr>
        <w:t>Title: President and Chief Executive Officer</w:t>
      </w:r>
    </w:p>
    <w:p>
      <w:pPr>
        <w:spacing w:after="0" w:line="200" w:lineRule="exact"/>
        <w:rPr>
          <w:sz w:val="20"/>
          <w:szCs w:val="20"/>
          <w:color w:val="auto"/>
        </w:rPr>
      </w:pPr>
    </w:p>
    <w:p>
      <w:pPr>
        <w:sectPr>
          <w:pgSz w:w="11900" w:h="16838" w:orient="portrait"/>
          <w:cols w:equalWidth="0" w:num="3">
            <w:col w:w="540" w:space="200"/>
            <w:col w:w="2020" w:space="720"/>
            <w:col w:w="6739"/>
          </w:cols>
          <w:pgMar w:left="240" w:top="112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w:t>
      </w:r>
    </w:p>
    <w:sectPr>
      <w:pgSz w:w="11900" w:h="16838" w:orient="portrait"/>
      <w:cols w:equalWidth="0" w:num="1">
        <w:col w:w="10219"/>
      </w:cols>
      <w:pgMar w:left="240" w:top="112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2020-02-14T14:57:58Z</dcterms:created>
  <dcterms:modified xsi:type="dcterms:W3CDTF">2020-02-14T14:57:58Z</dcterms:modified>
</cp:coreProperties>
</file>