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6095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0953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Sajnani Sunil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color w:val="0000FF"/>
        </w:rPr>
        <w:t>Chief Audit/LP Executive</w:t>
      </w:r>
    </w:p>
    <w:p>
      <w:pPr>
        <w:spacing w:after="0" w:line="383"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8"/>
          </w:tcPr>
          <w:p>
            <w:pPr>
              <w:jc w:val="center"/>
              <w:ind w:right="135"/>
              <w:spacing w:after="0" w:line="142"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No securities beneficially held</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19,249</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19,249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No securities beneficially held</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7,574</w:t>
            </w:r>
            <w:r>
              <w:rPr>
                <w:rFonts w:ascii="Times New Roman" w:cs="Times New Roman" w:eastAsia="Times New Roman" w:hAnsi="Times New Roman"/>
                <w:sz w:val="21"/>
                <w:szCs w:val="21"/>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11,675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9"/>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19,249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19,249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138,248</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9,278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9,278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147,526</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6,165</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153,691</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-3059430</wp:posOffset>
            </wp:positionV>
            <wp:extent cx="29210" cy="3064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45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 after specified performance goals were attained.</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9629"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2022-11-17T13:00:17Z</dcterms:created>
  <dcterms:modified xsi:type="dcterms:W3CDTF">2022-11-17T13:00:17Z</dcterms:modified>
</cp:coreProperties>
</file>