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6622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622415"/>
                    </a:xfrm>
                    <a:prstGeom prst="rect">
                      <a:avLst/>
                    </a:prstGeom>
                    <a:noFill/>
                  </pic:spPr>
                </pic:pic>
              </a:graphicData>
            </a:graphic>
          </wp:anchor>
        </w:drawing>
      </w:r>
    </w:p>
    <w:p>
      <w:pPr>
        <w:spacing w:after="0" w:line="1208" w:lineRule="exact"/>
        <w:rPr>
          <w:sz w:val="24"/>
          <w:szCs w:val="24"/>
          <w:color w:val="auto"/>
        </w:rPr>
      </w:pPr>
    </w:p>
    <w:p>
      <w:pPr>
        <w:sectPr>
          <w:pgSz w:w="11900" w:h="16915" w:orient="portrait"/>
          <w:cols w:equalWidth="0" w:num="2">
            <w:col w:w="2300" w:space="300"/>
            <w:col w:w="8480"/>
          </w:cols>
          <w:pgMar w:left="460" w:top="216" w:right="359" w:bottom="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VANROEKEL LISA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ROAD</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1, SUITE 200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04"/>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87" w:lineRule="exact"/>
        <w:rPr>
          <w:sz w:val="24"/>
          <w:szCs w:val="24"/>
          <w:color w:val="auto"/>
        </w:rPr>
      </w:pPr>
    </w:p>
    <w:p>
      <w:pPr>
        <w:sectPr>
          <w:pgSz w:w="11900" w:h="16915" w:orient="portrait"/>
          <w:cols w:equalWidth="0" w:num="3">
            <w:col w:w="3180" w:space="720"/>
            <w:col w:w="3116" w:space="720"/>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59,535</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108,490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23,427</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85,063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9"/>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4,568</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4,568</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148,503</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2,807</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2,807</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151,310</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2,799</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2,799</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154,109</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59,535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59,535</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11.77</w:t>
            </w:r>
          </w:p>
        </w:tc>
        <w:tc>
          <w:tcPr>
            <w:tcW w:w="60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4"/>
              </w:rPr>
              <w:t>94,574</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-3585845</wp:posOffset>
            </wp:positionV>
            <wp:extent cx="29210" cy="3591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915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2024 and vest on September 30, 2024,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November 12, 2024. However, no consideration was paid for the award other than services rendered and to be rendered by the Reporting Person.</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2023 Restricted Stock Unit award. These units were earned with achievement of the specified performance goal for fiscal 2024 and vest on September 30, 2025,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2024 Restricted Stock Unit award. These units were earned with achievement of the specified performance goal for fiscal 2024 and vest on September 30, 2026,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12, 2024 after specified performance goals were achieved.</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11/14/2024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915"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0562"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2024-11-14T18:42:32Z</dcterms:created>
  <dcterms:modified xsi:type="dcterms:W3CDTF">2024-11-14T18:42:32Z</dcterms:modified>
</cp:coreProperties>
</file>