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d68477e8vk.htm"/>
      <w:bookmarkStart w:id="1" w:name="ksd68477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w:t>
        <w:br/>
        <w:t>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w:t>
        <w:br/>
        <w:t>July 23, 2009</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0-19424</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74-2540145</w:t>
            </w:r>
          </w:p>
        </w:tc>
      </w:tr>
      <w:tr>
        <w:trPr/>
        <w:tc>
          <w:tcPr>
            <w:tcW w:w="3061" w:type="dxa"/>
            <w:tcBorders/>
            <w:shd w:fill="auto" w:val="clear"/>
          </w:tcPr>
          <w:p>
            <w:pPr>
              <w:pStyle w:val="TableContents"/>
              <w:spacing w:before="0" w:after="283"/>
              <w:jc w:val="center"/>
              <w:rPr/>
            </w:pPr>
            <w:r>
              <w:rPr/>
              <w:t xml:space="preserve">(State or other jurisdiction of </w:t>
              <w:b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(Commission File</w:t>
              <w:br/>
              <w:t xml:space="preserve">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br/>
              <w:t>Identification No.)</w:t>
            </w:r>
          </w:p>
        </w:tc>
      </w:tr>
    </w:tbl>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rPr/>
            </w:pPr>
            <w:r>
              <w:rPr/>
              <w:t> </w:t>
            </w:r>
          </w:p>
        </w:tc>
      </w:tr>
      <w:tr>
        <w:trPr/>
        <w:tc>
          <w:tcPr>
            <w:tcW w:w="4845" w:type="dxa"/>
            <w:tcBorders/>
            <w:shd w:fill="auto" w:val="clear"/>
          </w:tcPr>
          <w:p>
            <w:pPr>
              <w:pStyle w:val="TableContents"/>
              <w:spacing w:before="0" w:after="283"/>
              <w:jc w:val="center"/>
              <w:rPr>
                <w:b/>
              </w:rPr>
            </w:pPr>
            <w:r>
              <w:rPr>
                <w:b/>
              </w:rPr>
              <w:t>1901 CAPITAL PARKWAY</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pPr>
            <w:r>
              <w:rPr/>
              <w:t> </w:t>
            </w:r>
          </w:p>
        </w:tc>
      </w:tr>
      <w:tr>
        <w:trPr/>
        <w:tc>
          <w:tcPr>
            <w:tcW w:w="4845" w:type="dxa"/>
            <w:tcBorders/>
            <w:shd w:fill="auto" w:val="clear"/>
          </w:tcPr>
          <w:p>
            <w:pPr>
              <w:pStyle w:val="TableContents"/>
              <w:spacing w:before="0" w:after="283"/>
              <w:jc w:val="center"/>
              <w:rPr/>
            </w:pPr>
            <w:r>
              <w:rPr>
                <w:b/>
              </w:rPr>
              <w:t>AUSTIN, TEXAS</w:t>
            </w:r>
            <w:r>
              <w:rPr/>
              <w:t xml:space="preserve">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b/>
              </w:rPr>
            </w:pPr>
            <w:r>
              <w:rPr>
                <w:b/>
              </w:rPr>
              <w:t>78746</w:t>
            </w:r>
          </w:p>
        </w:tc>
      </w:tr>
      <w:tr>
        <w:trPr/>
        <w:tc>
          <w:tcPr>
            <w:tcW w:w="4845" w:type="dxa"/>
            <w:tcBorders/>
            <w:shd w:fill="auto" w:val="clear"/>
          </w:tcPr>
          <w:p>
            <w:pPr>
              <w:pStyle w:val="TableContents"/>
              <w:spacing w:before="0" w:after="283"/>
              <w:jc w:val="center"/>
              <w:rPr/>
            </w:pPr>
            <w:r>
              <w:rPr/>
              <w:t xml:space="preserve">(Address of principal executive offices)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pPr>
            <w:r>
              <w:rPr/>
              <w:t>(Zip Code)</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Registrants telephone number, including area code:</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(512) 314-3400</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2.02. RESULTS OF OPERATIONS AND FINANCIAL CONDITION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information set forth under Item 2.02. Results Of Operations And Financial Condition, including the Exhibit attached hereto, shall not be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July 23, 2009, EZCORP, Inc. issued a press release announcing its results of operations and financial condition for the quarter and nine-month period ended June 30, 2009. A copy of the press release is attached hereto as Exhibit 99.1.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49"/>
        <w:gridCol w:w="118"/>
        <w:gridCol w:w="9638"/>
      </w:tblGrid>
      <w:tr>
        <w:trPr/>
        <w:tc>
          <w:tcPr>
            <w:tcW w:w="449" w:type="dxa"/>
            <w:tcBorders/>
            <w:shd w:fill="auto" w:val="clear"/>
          </w:tcPr>
          <w:p>
            <w:pPr>
              <w:pStyle w:val="TableContents"/>
              <w:spacing w:before="0" w:after="283"/>
              <w:jc w:val="left"/>
              <w:rPr/>
            </w:pPr>
            <w:r>
              <w:rPr/>
              <w:t>99.1</w:t>
            </w:r>
          </w:p>
        </w:tc>
        <w:tc>
          <w:tcPr>
            <w:tcW w:w="118" w:type="dxa"/>
            <w:tcBorders/>
            <w:shd w:fill="auto" w:val="clear"/>
          </w:tcPr>
          <w:p>
            <w:pPr>
              <w:pStyle w:val="TableContents"/>
              <w:spacing w:before="0" w:after="283"/>
              <w:rPr/>
            </w:pPr>
            <w:r>
              <w:rPr/>
              <w:t> </w:t>
            </w:r>
          </w:p>
        </w:tc>
        <w:tc>
          <w:tcPr>
            <w:tcW w:w="9638" w:type="dxa"/>
            <w:tcBorders/>
            <w:shd w:fill="auto" w:val="clear"/>
          </w:tcPr>
          <w:p>
            <w:pPr>
              <w:pStyle w:val="TableContents"/>
              <w:spacing w:before="0" w:after="283"/>
              <w:rPr/>
            </w:pPr>
            <w:r>
              <w:rPr/>
              <w:t>Press release dated July 23, 2009, issued by EZCORP, Inc.</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67"/>
        <w:gridCol w:w="768"/>
        <w:gridCol w:w="600"/>
        <w:gridCol w:w="3206"/>
        <w:gridCol w:w="1264"/>
      </w:tblGrid>
      <w:tr>
        <w:trPr/>
        <w:tc>
          <w:tcPr>
            <w:tcW w:w="4367" w:type="dxa"/>
            <w:tcBorders/>
            <w:shd w:fill="auto" w:val="clear"/>
            <w:vAlign w:val="center"/>
          </w:tcPr>
          <w:p>
            <w:pPr>
              <w:pStyle w:val="TableContents"/>
              <w:spacing w:before="0" w:after="283"/>
              <w:rPr/>
            </w:pPr>
            <w:r>
              <w:rPr/>
              <w:t> </w:t>
            </w:r>
          </w:p>
        </w:tc>
        <w:tc>
          <w:tcPr>
            <w:tcW w:w="768"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rPr/>
            </w:pPr>
            <w:r>
              <w:rPr/>
              <w:t> </w:t>
            </w:r>
          </w:p>
        </w:tc>
        <w:tc>
          <w:tcPr>
            <w:tcW w:w="3206"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rPr/>
            </w:pPr>
            <w:r>
              <w:rPr/>
              <w:t> </w:t>
            </w:r>
          </w:p>
        </w:tc>
      </w:tr>
      <w:tr>
        <w:trPr/>
        <w:tc>
          <w:tcPr>
            <w:tcW w:w="4367" w:type="dxa"/>
            <w:tcBorders/>
            <w:shd w:fill="auto" w:val="clear"/>
          </w:tcPr>
          <w:p>
            <w:pPr>
              <w:pStyle w:val="TableContents"/>
              <w:spacing w:before="0" w:after="283"/>
              <w:jc w:val="left"/>
              <w:rPr/>
            </w:pPr>
            <w:r>
              <w:rPr/>
              <w:t> </w:t>
            </w:r>
          </w:p>
        </w:tc>
        <w:tc>
          <w:tcPr>
            <w:tcW w:w="4574" w:type="dxa"/>
            <w:gridSpan w:val="3"/>
            <w:tcBorders/>
            <w:shd w:fill="auto" w:val="clear"/>
            <w:vAlign w:val="center"/>
          </w:tcPr>
          <w:p>
            <w:pPr>
              <w:pStyle w:val="TableContents"/>
              <w:spacing w:before="0" w:after="283"/>
              <w:jc w:val="left"/>
              <w:rPr/>
            </w:pPr>
            <w:r>
              <w:rPr>
                <w:b/>
              </w:rPr>
              <w:t>EZCORP, INC.</w:t>
            </w:r>
            <w:r>
              <w:rPr/>
              <w:br/>
              <w:t>(Registrant)</w:t>
              <w:br/>
              <w:t> </w:t>
            </w:r>
          </w:p>
        </w:tc>
        <w:tc>
          <w:tcPr>
            <w:tcW w:w="1264" w:type="dxa"/>
            <w:tcBorders/>
            <w:shd w:fill="auto" w:val="clear"/>
            <w:vAlign w:val="center"/>
          </w:tcPr>
          <w:p>
            <w:pPr>
              <w:pStyle w:val="TableContents"/>
              <w:spacing w:before="0" w:after="283"/>
              <w:rPr/>
            </w:pPr>
            <w:r>
              <w:rPr/>
              <w:t> </w:t>
            </w:r>
          </w:p>
        </w:tc>
      </w:tr>
      <w:tr>
        <w:trPr/>
        <w:tc>
          <w:tcPr>
            <w:tcW w:w="4367" w:type="dxa"/>
            <w:tcBorders/>
            <w:shd w:fill="auto" w:val="clear"/>
            <w:vAlign w:val="center"/>
          </w:tcPr>
          <w:p>
            <w:pPr>
              <w:pStyle w:val="TableContents"/>
              <w:spacing w:before="0" w:after="283"/>
              <w:jc w:val="left"/>
              <w:rPr/>
            </w:pPr>
            <w:r>
              <w:rPr>
                <w:i/>
              </w:rPr>
              <w:t>Date: July 23, 2009</w:t>
            </w:r>
            <w:r>
              <w:rPr/>
              <w:t> </w:t>
            </w:r>
          </w:p>
        </w:tc>
        <w:tc>
          <w:tcPr>
            <w:tcW w:w="768" w:type="dxa"/>
            <w:tcBorders/>
            <w:shd w:fill="auto" w:val="clear"/>
          </w:tcPr>
          <w:p>
            <w:pPr>
              <w:pStyle w:val="TableContents"/>
              <w:spacing w:before="0" w:after="283"/>
              <w:rPr>
                <w:i/>
              </w:rPr>
            </w:pPr>
            <w:r>
              <w:rPr>
                <w:i/>
              </w:rPr>
              <w:t>By:  </w:t>
            </w:r>
          </w:p>
        </w:tc>
        <w:tc>
          <w:tcPr>
            <w:tcW w:w="3806" w:type="dxa"/>
            <w:gridSpan w:val="2"/>
            <w:tcBorders>
              <w:bottom w:val="single" w:sz="2" w:space="0" w:color="000000"/>
            </w:tcBorders>
            <w:shd w:fill="auto" w:val="clear"/>
            <w:tcMar>
              <w:bottom w:w="28" w:type="dxa"/>
            </w:tcMar>
            <w:vAlign w:val="center"/>
          </w:tcPr>
          <w:p>
            <w:pPr>
              <w:pStyle w:val="TableContents"/>
              <w:spacing w:before="0" w:after="283"/>
              <w:jc w:val="left"/>
              <w:rPr/>
            </w:pPr>
            <w:r>
              <w:rPr>
                <w:i/>
              </w:rPr>
              <w:t>/s/ Daniel N. Tonissen</w:t>
            </w:r>
            <w:r>
              <w:rPr/>
              <w:t xml:space="preserve">  </w:t>
            </w:r>
          </w:p>
        </w:tc>
        <w:tc>
          <w:tcPr>
            <w:tcW w:w="1264" w:type="dxa"/>
            <w:tcBorders/>
            <w:shd w:fill="auto" w:val="clear"/>
            <w:vAlign w:val="center"/>
          </w:tcPr>
          <w:p>
            <w:pPr>
              <w:pStyle w:val="TableContents"/>
              <w:spacing w:before="0" w:after="283"/>
              <w:rPr/>
            </w:pPr>
            <w:r>
              <w:rPr/>
              <w:t> </w:t>
            </w:r>
          </w:p>
        </w:tc>
      </w:tr>
      <w:tr>
        <w:trPr/>
        <w:tc>
          <w:tcPr>
            <w:tcW w:w="4367" w:type="dxa"/>
            <w:tcBorders/>
            <w:shd w:fill="auto" w:val="clear"/>
            <w:vAlign w:val="center"/>
          </w:tcPr>
          <w:p>
            <w:pPr>
              <w:pStyle w:val="TableContents"/>
              <w:spacing w:before="0" w:after="283"/>
              <w:jc w:val="left"/>
              <w:rPr/>
            </w:pPr>
            <w:r>
              <w:rPr/>
              <w:t> </w:t>
            </w:r>
          </w:p>
        </w:tc>
        <w:tc>
          <w:tcPr>
            <w:tcW w:w="768" w:type="dxa"/>
            <w:tcBorders/>
            <w:shd w:fill="auto" w:val="clear"/>
            <w:vAlign w:val="center"/>
          </w:tcPr>
          <w:p>
            <w:pPr>
              <w:pStyle w:val="TableContents"/>
              <w:spacing w:before="0" w:after="283"/>
              <w:rPr/>
            </w:pPr>
            <w:r>
              <w:rPr/>
              <w:t> </w:t>
            </w:r>
          </w:p>
        </w:tc>
        <w:tc>
          <w:tcPr>
            <w:tcW w:w="3806" w:type="dxa"/>
            <w:gridSpan w:val="2"/>
            <w:tcBorders/>
            <w:shd w:fill="auto" w:val="clear"/>
            <w:vAlign w:val="center"/>
          </w:tcPr>
          <w:p>
            <w:pPr>
              <w:pStyle w:val="TableContents"/>
              <w:spacing w:before="0" w:after="283"/>
              <w:jc w:val="left"/>
              <w:rPr/>
            </w:pPr>
            <w:r>
              <w:rPr>
                <w:i/>
              </w:rPr>
              <w:t>(Signature)</w:t>
            </w:r>
            <w:r>
              <w:rPr/>
              <w:t> </w:t>
            </w:r>
          </w:p>
        </w:tc>
        <w:tc>
          <w:tcPr>
            <w:tcW w:w="1264" w:type="dxa"/>
            <w:tcBorders/>
            <w:shd w:fill="auto" w:val="clear"/>
            <w:vAlign w:val="center"/>
          </w:tcPr>
          <w:p>
            <w:pPr>
              <w:pStyle w:val="TableContents"/>
              <w:spacing w:before="0" w:after="283"/>
              <w:rPr/>
            </w:pPr>
            <w:r>
              <w:rPr/>
              <w:t> </w:t>
            </w:r>
          </w:p>
        </w:tc>
      </w:tr>
      <w:tr>
        <w:trPr/>
        <w:tc>
          <w:tcPr>
            <w:tcW w:w="4367" w:type="dxa"/>
            <w:tcBorders/>
            <w:shd w:fill="auto" w:val="clear"/>
            <w:vAlign w:val="center"/>
          </w:tcPr>
          <w:p>
            <w:pPr>
              <w:pStyle w:val="TableContents"/>
              <w:spacing w:before="0" w:after="283"/>
              <w:jc w:val="left"/>
              <w:rPr/>
            </w:pPr>
            <w:r>
              <w:rPr/>
              <w:t> </w:t>
            </w:r>
          </w:p>
        </w:tc>
        <w:tc>
          <w:tcPr>
            <w:tcW w:w="768" w:type="dxa"/>
            <w:tcBorders/>
            <w:shd w:fill="auto" w:val="clear"/>
            <w:vAlign w:val="center"/>
          </w:tcPr>
          <w:p>
            <w:pPr>
              <w:pStyle w:val="TableContents"/>
              <w:spacing w:before="0" w:after="283"/>
              <w:rPr/>
            </w:pPr>
            <w:r>
              <w:rPr/>
              <w:t> </w:t>
            </w:r>
          </w:p>
        </w:tc>
        <w:tc>
          <w:tcPr>
            <w:tcW w:w="3806" w:type="dxa"/>
            <w:gridSpan w:val="2"/>
            <w:tcBorders/>
            <w:shd w:fill="auto" w:val="clear"/>
            <w:vAlign w:val="center"/>
          </w:tcPr>
          <w:p>
            <w:pPr>
              <w:pStyle w:val="TableContents"/>
              <w:spacing w:before="0" w:after="283"/>
              <w:jc w:val="left"/>
              <w:rPr/>
            </w:pPr>
            <w:r>
              <w:rPr/>
              <w:t>Senior Vice President, Chief Financial Officer, and Director </w:t>
            </w:r>
          </w:p>
        </w:tc>
        <w:tc>
          <w:tcPr>
            <w:tcW w:w="126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49"/>
        <w:gridCol w:w="118"/>
        <w:gridCol w:w="9638"/>
      </w:tblGrid>
      <w:tr>
        <w:trPr/>
        <w:tc>
          <w:tcPr>
            <w:tcW w:w="449" w:type="dxa"/>
            <w:tcBorders/>
            <w:shd w:fill="auto" w:val="clear"/>
          </w:tcPr>
          <w:p>
            <w:pPr>
              <w:pStyle w:val="TableContents"/>
              <w:spacing w:before="0" w:after="283"/>
              <w:jc w:val="left"/>
              <w:rPr/>
            </w:pPr>
            <w:r>
              <w:rPr/>
              <w:t>99.1</w:t>
            </w:r>
          </w:p>
        </w:tc>
        <w:tc>
          <w:tcPr>
            <w:tcW w:w="118" w:type="dxa"/>
            <w:tcBorders/>
            <w:shd w:fill="auto" w:val="clear"/>
          </w:tcPr>
          <w:p>
            <w:pPr>
              <w:pStyle w:val="TableContents"/>
              <w:spacing w:before="0" w:after="283"/>
              <w:rPr/>
            </w:pPr>
            <w:r>
              <w:rPr/>
              <w:t> </w:t>
            </w:r>
          </w:p>
        </w:tc>
        <w:tc>
          <w:tcPr>
            <w:tcW w:w="9638" w:type="dxa"/>
            <w:tcBorders/>
            <w:shd w:fill="auto" w:val="clear"/>
          </w:tcPr>
          <w:p>
            <w:pPr>
              <w:pStyle w:val="TableContents"/>
              <w:spacing w:before="0" w:after="283"/>
              <w:rPr/>
            </w:pPr>
            <w:r>
              <w:rPr/>
              <w:t>Press release dated July 23, 2009, issued by EZCORP, Inc.</w:t>
            </w:r>
          </w:p>
        </w:tc>
      </w:tr>
    </w:tbl>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2" w:name="d68477exv99w1.htm"/>
      <w:bookmarkStart w:id="3" w:name="ksd68477exv99w1"/>
      <w:bookmarkEnd w:id="2"/>
      <w:bookmarkEnd w:id="3"/>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EZCORPs EARNINGS PER SHARE IMPROVE 16% IN JUNE QUARTER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AUSTIN, Texas (July 23, 2009) </w:t>
      </w:r>
      <w:r>
        <w:rPr>
          <w:rFonts w:ascii="Symbol" w:hAnsi="Symbol"/>
          <w:sz w:val="17"/>
        </w:rPr>
        <w:t>¾</w:t>
      </w:r>
      <w:r>
        <w:rPr>
          <w:rFonts w:ascii="Times New Roman;Times;serif" w:hAnsi="Times New Roman;Times;serif"/>
          <w:sz w:val="17"/>
        </w:rPr>
        <w:t xml:space="preserve"> EZCORP, Inc. (Nasdaq: EZPW) announced today results for its fiscal third quarter and nine-month period ended June 30, 2009. EZCORPs net income for the quarter ended June 30, 2009 increased 33% to $14.4 million ($0.29 per share) compared to $10.8 million ($0.25 per share) for the quarter ended June 30, 2008. Total revenues for the quarter increased 37% over the prior year period to $147.8 million with pawn service charges up 45% and total sales (merchandise and jewelry scrapping) up 52%. Signature loan revenues (payday loan and credit service fees) decreased $0.4 million, or 1%. Auto title loans, a new and developing product, contributed $1.0 million of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improved 32% to $21.5 million (24% of net revenues) from $16.3 million (24% of net revenues) in the prior year quarter. The Companys U.S. pawn operations contributed $6.4 million of improvement, partially offset by a $0.5 million lower contribution from the EZMONEY operations and an increase in administrative costs. Operating income from the 47-store Empeño Fácil pawn segment increased 46% in Mexican pesos, or 13% after translation to a stronger U.S. dollar.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78 pawn stores acquired in the December quarter contributed total revenues of $35.1 million, operating income of $5.3 million, and net income of $3.2 million. The acquired stores contributed approximately $0.04 earnings per share to the quarter after the effect of shares issued in the acquisitions.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EZCORPs net income for the nine-month period ended June 30, 2009 increased 31% to $47.5 million ($1.00 per share) compared to $36.4 million ($0.84 per share) for the prior year nine-month period. Operating income for the nine months improved 29% to $71.2 million (27% of net revenues) compared to $55.1 million (27% of net revenues) for the prior year nine-month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Commenting on these results, President and Chief Executive Officer, Joe Rotunda, stated, Our third quarter earnings were in line with our revised guidance, and represent our 28th consecutive quarter of year over year earnings growth. Our results reflect the successful integration of the 78 pawn stores acquired in November and December, which collectively contributed $0.04 earnings per share. These acquisitions provided $0.02 earnings per share accretion in the March quarter, and have gained momentum as they have been assimilated into our business. These results clearly demonstrate the value of our strategy to build earning assets through quality acquisitions.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Rotunda continued, In pawn, our same store loan yield remained strong across all categories, as did our general merchandise loan growth and sales. Jewelry loan growth and jewelry sales were not as strong as seasonally expected. We recently increased our gold lending guidelines to accelerate the loan growth, and anticipate a jewelry sales benefit from several promotions, beginning with our Christmas in July layaway </w:t>
      </w:r>
    </w:p>
    <w:p>
      <w:pPr>
        <w:pStyle w:val="TextBody"/>
        <w:jc w:val="center"/>
        <w:rPr>
          <w:rFonts w:ascii="Times New Roman;Times;serif" w:hAnsi="Times New Roman;Times;serif"/>
          <w:sz w:val="17"/>
        </w:rPr>
      </w:pPr>
      <w:r>
        <w:rPr>
          <w:rFonts w:ascii="Times New Roman;Times;serif" w:hAnsi="Times New Roman;Times;serif"/>
          <w:sz w:val="17"/>
        </w:rPr>
        <w:t xml:space="preserve">Page 1 of 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promotion. Our EZMONEY operations enjoyed a lift from new loan products, including auto title loans introduced this year and installment loans introduced last year. The benefit of these new products largely offset the lower contribution from payday loans. We expect an increased contribution from these new products as they mature and are introduced into more of our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Rotunda concluded, We continue to expect fourth quarter earnings per share of $0.41 to $0.43, representing an increase of 11% to 16% over the prior year quarter. We expect full-year earnings per share of $1.40 to $1.42 compared to last years $1.21, or an increase of 16% to 17%. We remain on track to open approximately 30 Mexico pawn locations by fiscal year-end, including the nine added year-to-date. We anticipate opening our first Canadian EZMONEY stores prior to the holiday season.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 is primarily a lender or provider of credit services to individuals who do not have cash resources or access to credit to meet their short-term cash needs. In its pawnshops, the Company offers non-recourse loans collateralized by tangible personal property, commonly known as pawn loans. At these locations, the Company also sells merchandise, primarily collateral forfeited from its pawn lending operations, to consumers looking for good value. In its signature loan stores and some pawnshops, the Company offers short-term non-collateralized loans, often referred to as payday loans, or fee 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June 30, 2009, EZCORP operated a total of 897 locations in the U.S. and Mexico consisting of 370 U.S. pawnshops, 47 pawnshops in Mexico and 480 U.S. signature loan stores. EZCORP, as a near-30% stockholder, is also actively involved in the management of Albemarle &amp; Bond Holdings PLC, the U.K.s largest pawnbroking business with 115 stores. This announcement contains certain forward-looking statements regarding the Companys expected operating and financial performance for future periods, including new store expansion, anticipated benefits of acquisitions and expected future earnings.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These statements are based on the Companys current expectations. Actual results for future periods may differ materially from those expressed or implied by these forward-looking statements due to a number of uncertainties and other factors, including changing market conditions in the overall economy and the industry, consumer demand for the Companys services and merchandise, actions of third parties who offer services and products in the Companys locations and changes in the regulatory environment. For a discussion of these and other factors affecting the Companys business and prospects, see the Companys annual, quarterly and other reports filed with the Securities and Exchange Commission.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You are invited to listen to a conference call discussing these results on July 23, 2009 at 3:30pm Central Time. The conference call can be accessed over the Internet or replayed at your convenience at the following address.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http://www.videonewswire.com/event.asp?id=60390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additional information, contact Dan Tonissen at (512) 314-2289. </w:t>
      </w:r>
    </w:p>
    <w:p>
      <w:pPr>
        <w:pStyle w:val="TextBody"/>
        <w:jc w:val="center"/>
        <w:rPr>
          <w:rFonts w:ascii="Times New Roman;Times;serif" w:hAnsi="Times New Roman;Times;serif"/>
          <w:sz w:val="17"/>
        </w:rPr>
      </w:pPr>
      <w:r>
        <w:rPr>
          <w:rFonts w:ascii="Times New Roman;Times;serif" w:hAnsi="Times New Roman;Times;serif"/>
          <w:sz w:val="17"/>
        </w:rPr>
        <w:t xml:space="preserve">Page 2 of 7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Highlights of Consolidated Statements of Operations (Unaudited)</w:t>
      </w:r>
      <w:r>
        <w:rPr>
          <w:rFonts w:ascii="Times New Roman;Times;serif" w:hAnsi="Times New Roman;Times;serif"/>
          <w:sz w:val="17"/>
        </w:rPr>
        <w:br/>
      </w:r>
      <w:r>
        <w:rPr>
          <w:rFonts w:ascii="Times New Roman;Times;serif" w:hAnsi="Times New Roman;Times;serif"/>
          <w:i/>
          <w:sz w:val="17"/>
        </w:rPr>
        <w:t>(in thousands, except per share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57"/>
        <w:gridCol w:w="5779"/>
        <w:gridCol w:w="378"/>
        <w:gridCol w:w="223"/>
        <w:gridCol w:w="1234"/>
        <w:gridCol w:w="173"/>
        <w:gridCol w:w="401"/>
        <w:gridCol w:w="223"/>
        <w:gridCol w:w="1237"/>
        <w:gridCol w:w="100"/>
      </w:tblGrid>
      <w:tr>
        <w:trPr/>
        <w:tc>
          <w:tcPr>
            <w:tcW w:w="457" w:type="dxa"/>
            <w:tcBorders/>
            <w:shd w:fill="auto" w:val="clear"/>
            <w:vAlign w:val="bottom"/>
          </w:tcPr>
          <w:p>
            <w:pPr>
              <w:pStyle w:val="TableContents"/>
              <w:spacing w:before="0" w:after="283"/>
              <w:rPr>
                <w:sz w:val="4"/>
                <w:szCs w:val="4"/>
              </w:rPr>
            </w:pPr>
            <w:r>
              <w:rPr>
                <w:sz w:val="4"/>
                <w:szCs w:val="4"/>
              </w:rPr>
            </w:r>
          </w:p>
        </w:tc>
        <w:tc>
          <w:tcPr>
            <w:tcW w:w="577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sz w:val="4"/>
                <w:szCs w:val="4"/>
              </w:rPr>
            </w:pPr>
            <w:r>
              <w:rPr>
                <w:sz w:val="4"/>
                <w:szCs w:val="4"/>
              </w:rPr>
            </w:r>
          </w:p>
        </w:tc>
        <w:tc>
          <w:tcPr>
            <w:tcW w:w="577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349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June 30,</w:t>
            </w:r>
          </w:p>
        </w:tc>
        <w:tc>
          <w:tcPr>
            <w:tcW w:w="100" w:type="dxa"/>
            <w:tcBorders/>
            <w:shd w:fill="auto"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sz w:val="4"/>
                <w:szCs w:val="4"/>
              </w:rPr>
            </w:pPr>
            <w:r>
              <w:rPr>
                <w:sz w:val="4"/>
                <w:szCs w:val="4"/>
              </w:rPr>
            </w:r>
          </w:p>
        </w:tc>
        <w:tc>
          <w:tcPr>
            <w:tcW w:w="577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4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4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1</w:t>
            </w:r>
          </w:p>
        </w:tc>
        <w:tc>
          <w:tcPr>
            <w:tcW w:w="5779" w:type="dxa"/>
            <w:tcBorders/>
            <w:shd w:fill="CCEEFF" w:val="clear"/>
            <w:vAlign w:val="bottom"/>
          </w:tcPr>
          <w:p>
            <w:pPr>
              <w:pStyle w:val="TableContents"/>
              <w:spacing w:before="0" w:after="0"/>
              <w:ind w:left="225" w:right="0" w:hanging="225"/>
              <w:rPr/>
            </w:pPr>
            <w:r>
              <w:rPr/>
              <w:t>Revenues:</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2</w:t>
            </w:r>
          </w:p>
        </w:tc>
        <w:tc>
          <w:tcPr>
            <w:tcW w:w="5779" w:type="dxa"/>
            <w:tcBorders/>
            <w:shd w:fill="auto" w:val="clear"/>
            <w:vAlign w:val="bottom"/>
          </w:tcPr>
          <w:p>
            <w:pPr>
              <w:pStyle w:val="TableContents"/>
              <w:spacing w:before="0" w:after="0"/>
              <w:ind w:left="450" w:right="0" w:hanging="225"/>
              <w:rPr/>
            </w:pPr>
            <w:r>
              <w:rPr/>
              <w:t>Merchandise sales</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234" w:type="dxa"/>
            <w:tcBorders/>
            <w:shd w:fill="auto" w:val="clear"/>
            <w:vAlign w:val="bottom"/>
          </w:tcPr>
          <w:p>
            <w:pPr>
              <w:pStyle w:val="TableContents"/>
              <w:spacing w:before="0" w:after="283"/>
              <w:jc w:val="right"/>
              <w:rPr/>
            </w:pPr>
            <w:r>
              <w:rPr/>
              <w:t>50,442</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237" w:type="dxa"/>
            <w:tcBorders/>
            <w:shd w:fill="auto" w:val="clear"/>
            <w:vAlign w:val="bottom"/>
          </w:tcPr>
          <w:p>
            <w:pPr>
              <w:pStyle w:val="TableContents"/>
              <w:spacing w:before="0" w:after="283"/>
              <w:jc w:val="right"/>
              <w:rPr/>
            </w:pPr>
            <w:r>
              <w:rPr/>
              <w:t>35,728</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3</w:t>
            </w:r>
          </w:p>
        </w:tc>
        <w:tc>
          <w:tcPr>
            <w:tcW w:w="5779" w:type="dxa"/>
            <w:tcBorders/>
            <w:shd w:fill="CCEEFF" w:val="clear"/>
            <w:vAlign w:val="bottom"/>
          </w:tcPr>
          <w:p>
            <w:pPr>
              <w:pStyle w:val="TableContents"/>
              <w:spacing w:before="0" w:after="0"/>
              <w:ind w:left="450" w:right="0" w:hanging="225"/>
              <w:rPr/>
            </w:pPr>
            <w:r>
              <w:rPr/>
              <w:t>Jewelry scrapping sales</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30,867</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17,907</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4</w:t>
            </w:r>
          </w:p>
        </w:tc>
        <w:tc>
          <w:tcPr>
            <w:tcW w:w="5779" w:type="dxa"/>
            <w:tcBorders/>
            <w:shd w:fill="auto" w:val="clear"/>
            <w:vAlign w:val="bottom"/>
          </w:tcPr>
          <w:p>
            <w:pPr>
              <w:pStyle w:val="TableContents"/>
              <w:spacing w:before="0" w:after="0"/>
              <w:ind w:left="450" w:right="0" w:hanging="225"/>
              <w:rPr/>
            </w:pPr>
            <w:r>
              <w:rPr/>
              <w:t>Pawn service charges</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32,880</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22,691</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5</w:t>
            </w:r>
          </w:p>
        </w:tc>
        <w:tc>
          <w:tcPr>
            <w:tcW w:w="5779" w:type="dxa"/>
            <w:tcBorders/>
            <w:shd w:fill="CCEEFF" w:val="clear"/>
            <w:vAlign w:val="bottom"/>
          </w:tcPr>
          <w:p>
            <w:pPr>
              <w:pStyle w:val="TableContents"/>
              <w:spacing w:before="0" w:after="0"/>
              <w:ind w:left="450" w:right="0" w:hanging="225"/>
              <w:rPr/>
            </w:pPr>
            <w:r>
              <w:rPr/>
              <w:t>Signature loan fees</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30,815</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31,223</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6</w:t>
            </w:r>
          </w:p>
        </w:tc>
        <w:tc>
          <w:tcPr>
            <w:tcW w:w="5779" w:type="dxa"/>
            <w:tcBorders/>
            <w:shd w:fill="auto" w:val="clear"/>
            <w:vAlign w:val="bottom"/>
          </w:tcPr>
          <w:p>
            <w:pPr>
              <w:pStyle w:val="TableContents"/>
              <w:spacing w:before="0" w:after="0"/>
              <w:ind w:left="450" w:right="0" w:hanging="225"/>
              <w:rPr/>
            </w:pPr>
            <w:r>
              <w:rPr/>
              <w:t>Auto title loan fees</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1,030</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7</w:t>
            </w:r>
          </w:p>
        </w:tc>
        <w:tc>
          <w:tcPr>
            <w:tcW w:w="5779" w:type="dxa"/>
            <w:tcBorders/>
            <w:shd w:fill="CCEEFF" w:val="clear"/>
            <w:vAlign w:val="bottom"/>
          </w:tcPr>
          <w:p>
            <w:pPr>
              <w:pStyle w:val="TableContents"/>
              <w:spacing w:before="0" w:after="0"/>
              <w:ind w:left="450" w:right="0" w:hanging="225"/>
              <w:rPr/>
            </w:pPr>
            <w:r>
              <w:rPr/>
              <w:t>Other</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1,740</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521</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center"/>
          </w:tcPr>
          <w:p>
            <w:pPr>
              <w:pStyle w:val="TableContents"/>
              <w:spacing w:before="0" w:after="283"/>
              <w:rPr>
                <w:sz w:val="4"/>
                <w:szCs w:val="4"/>
              </w:rPr>
            </w:pPr>
            <w:r>
              <w:rPr>
                <w:sz w:val="4"/>
                <w:szCs w:val="4"/>
              </w:rPr>
            </w:r>
          </w:p>
        </w:tc>
        <w:tc>
          <w:tcPr>
            <w:tcW w:w="5779" w:type="dxa"/>
            <w:tcBorders/>
            <w:shd w:fill="auto" w:val="clear"/>
            <w:vAlign w:val="center"/>
          </w:tcPr>
          <w:p>
            <w:pPr>
              <w:pStyle w:val="TableContents"/>
              <w:spacing w:before="0" w:after="0"/>
              <w:ind w:left="450" w:right="0" w:hanging="225"/>
              <w:rPr/>
            </w:pPr>
            <w:r>
              <w:rPr/>
              <w:t> </w:t>
            </w:r>
          </w:p>
        </w:tc>
        <w:tc>
          <w:tcPr>
            <w:tcW w:w="378"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8</w:t>
            </w:r>
          </w:p>
        </w:tc>
        <w:tc>
          <w:tcPr>
            <w:tcW w:w="5779" w:type="dxa"/>
            <w:tcBorders/>
            <w:shd w:fill="auto" w:val="clear"/>
            <w:vAlign w:val="bottom"/>
          </w:tcPr>
          <w:p>
            <w:pPr>
              <w:pStyle w:val="TableContents"/>
              <w:spacing w:before="0" w:after="0"/>
              <w:ind w:left="675" w:right="0" w:hanging="225"/>
              <w:rPr/>
            </w:pPr>
            <w:r>
              <w:rPr/>
              <w:t>Total revenues</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147,774</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108,070</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9</w:t>
            </w:r>
          </w:p>
        </w:tc>
        <w:tc>
          <w:tcPr>
            <w:tcW w:w="5779" w:type="dxa"/>
            <w:tcBorders/>
            <w:shd w:fill="CCEEFF" w:val="clear"/>
            <w:vAlign w:val="bottom"/>
          </w:tcPr>
          <w:p>
            <w:pPr>
              <w:pStyle w:val="TableContents"/>
              <w:spacing w:before="0" w:after="0"/>
              <w:ind w:left="225" w:right="0" w:hanging="225"/>
              <w:rPr/>
            </w:pPr>
            <w:r>
              <w:rPr/>
              <w:t>Cost of goods sold:</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10</w:t>
            </w:r>
          </w:p>
        </w:tc>
        <w:tc>
          <w:tcPr>
            <w:tcW w:w="5779" w:type="dxa"/>
            <w:tcBorders/>
            <w:shd w:fill="auto" w:val="clear"/>
            <w:vAlign w:val="bottom"/>
          </w:tcPr>
          <w:p>
            <w:pPr>
              <w:pStyle w:val="TableContents"/>
              <w:spacing w:before="0" w:after="0"/>
              <w:ind w:left="450" w:right="0" w:hanging="225"/>
              <w:rPr/>
            </w:pPr>
            <w:r>
              <w:rPr/>
              <w:t>Cost of merchandise sales</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31,057</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20,706</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11</w:t>
            </w:r>
          </w:p>
        </w:tc>
        <w:tc>
          <w:tcPr>
            <w:tcW w:w="5779" w:type="dxa"/>
            <w:tcBorders/>
            <w:shd w:fill="CCEEFF" w:val="clear"/>
            <w:vAlign w:val="bottom"/>
          </w:tcPr>
          <w:p>
            <w:pPr>
              <w:pStyle w:val="TableContents"/>
              <w:spacing w:before="0" w:after="0"/>
              <w:ind w:left="450" w:right="0" w:hanging="225"/>
              <w:rPr/>
            </w:pPr>
            <w:r>
              <w:rPr/>
              <w:t>Cost of jewelry scrapping sales</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19,908</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10,754</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center"/>
          </w:tcPr>
          <w:p>
            <w:pPr>
              <w:pStyle w:val="TableContents"/>
              <w:spacing w:before="0" w:after="283"/>
              <w:rPr>
                <w:sz w:val="4"/>
                <w:szCs w:val="4"/>
              </w:rPr>
            </w:pPr>
            <w:r>
              <w:rPr>
                <w:sz w:val="4"/>
                <w:szCs w:val="4"/>
              </w:rPr>
            </w:r>
          </w:p>
        </w:tc>
        <w:tc>
          <w:tcPr>
            <w:tcW w:w="5779"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12</w:t>
            </w:r>
          </w:p>
        </w:tc>
        <w:tc>
          <w:tcPr>
            <w:tcW w:w="5779" w:type="dxa"/>
            <w:tcBorders/>
            <w:shd w:fill="auto" w:val="clear"/>
            <w:vAlign w:val="bottom"/>
          </w:tcPr>
          <w:p>
            <w:pPr>
              <w:pStyle w:val="TableContents"/>
              <w:spacing w:before="0" w:after="0"/>
              <w:ind w:left="675" w:right="0" w:hanging="225"/>
              <w:rPr/>
            </w:pPr>
            <w:r>
              <w:rPr/>
              <w:t>Total cost of goods sold</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50,965</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31,460</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13</w:t>
            </w:r>
          </w:p>
        </w:tc>
        <w:tc>
          <w:tcPr>
            <w:tcW w:w="5779" w:type="dxa"/>
            <w:tcBorders/>
            <w:shd w:fill="CCEEFF" w:val="clear"/>
            <w:vAlign w:val="bottom"/>
          </w:tcPr>
          <w:p>
            <w:pPr>
              <w:pStyle w:val="TableContents"/>
              <w:spacing w:before="0" w:after="0"/>
              <w:ind w:left="225" w:right="0" w:hanging="225"/>
              <w:rPr/>
            </w:pPr>
            <w:r>
              <w:rPr/>
              <w:t>Bad debt:</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14</w:t>
            </w:r>
          </w:p>
        </w:tc>
        <w:tc>
          <w:tcPr>
            <w:tcW w:w="5779" w:type="dxa"/>
            <w:tcBorders/>
            <w:shd w:fill="auto" w:val="clear"/>
            <w:vAlign w:val="bottom"/>
          </w:tcPr>
          <w:p>
            <w:pPr>
              <w:pStyle w:val="TableContents"/>
              <w:spacing w:before="0" w:after="0"/>
              <w:ind w:left="450" w:right="0" w:hanging="225"/>
              <w:rPr/>
            </w:pPr>
            <w:r>
              <w:rPr/>
              <w:t>Signature loan bad debt</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8,618</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8,545</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15</w:t>
            </w:r>
          </w:p>
        </w:tc>
        <w:tc>
          <w:tcPr>
            <w:tcW w:w="5779" w:type="dxa"/>
            <w:tcBorders/>
            <w:shd w:fill="CCEEFF" w:val="clear"/>
            <w:vAlign w:val="bottom"/>
          </w:tcPr>
          <w:p>
            <w:pPr>
              <w:pStyle w:val="TableContents"/>
              <w:spacing w:before="0" w:after="0"/>
              <w:ind w:left="450" w:right="0" w:hanging="225"/>
              <w:rPr/>
            </w:pPr>
            <w:r>
              <w:rPr/>
              <w:t>Auto title loan bad debt</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104</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center"/>
          </w:tcPr>
          <w:p>
            <w:pPr>
              <w:pStyle w:val="TableContents"/>
              <w:spacing w:before="0" w:after="283"/>
              <w:rPr>
                <w:sz w:val="4"/>
                <w:szCs w:val="4"/>
              </w:rPr>
            </w:pPr>
            <w:r>
              <w:rPr>
                <w:sz w:val="4"/>
                <w:szCs w:val="4"/>
              </w:rPr>
            </w:r>
          </w:p>
        </w:tc>
        <w:tc>
          <w:tcPr>
            <w:tcW w:w="5779"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16</w:t>
            </w:r>
          </w:p>
        </w:tc>
        <w:tc>
          <w:tcPr>
            <w:tcW w:w="5779" w:type="dxa"/>
            <w:tcBorders/>
            <w:shd w:fill="auto" w:val="clear"/>
            <w:vAlign w:val="bottom"/>
          </w:tcPr>
          <w:p>
            <w:pPr>
              <w:pStyle w:val="TableContents"/>
              <w:spacing w:before="0" w:after="0"/>
              <w:ind w:left="675" w:right="0" w:hanging="225"/>
              <w:rPr/>
            </w:pPr>
            <w:r>
              <w:rPr/>
              <w:t>Total bad debt</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8,722</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8,545</w:t>
            </w:r>
          </w:p>
        </w:tc>
        <w:tc>
          <w:tcPr>
            <w:tcW w:w="100" w:type="dxa"/>
            <w:tcBorders/>
            <w:shd w:fill="auto" w:val="clear"/>
            <w:vAlign w:val="bottom"/>
          </w:tcPr>
          <w:p>
            <w:pPr>
              <w:pStyle w:val="TableContents"/>
              <w:spacing w:before="0" w:after="283"/>
              <w:rPr/>
            </w:pPr>
            <w:r>
              <w:rPr/>
              <w:t> </w:t>
            </w:r>
          </w:p>
        </w:tc>
      </w:tr>
      <w:tr>
        <w:trPr/>
        <w:tc>
          <w:tcPr>
            <w:tcW w:w="457" w:type="dxa"/>
            <w:tcBorders/>
            <w:shd w:fill="auto" w:val="clear"/>
            <w:vAlign w:val="center"/>
          </w:tcPr>
          <w:p>
            <w:pPr>
              <w:pStyle w:val="TableContents"/>
              <w:spacing w:before="0" w:after="283"/>
              <w:rPr>
                <w:sz w:val="4"/>
                <w:szCs w:val="4"/>
              </w:rPr>
            </w:pPr>
            <w:r>
              <w:rPr>
                <w:sz w:val="4"/>
                <w:szCs w:val="4"/>
              </w:rPr>
            </w:r>
          </w:p>
        </w:tc>
        <w:tc>
          <w:tcPr>
            <w:tcW w:w="5779"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17</w:t>
            </w:r>
          </w:p>
        </w:tc>
        <w:tc>
          <w:tcPr>
            <w:tcW w:w="5779" w:type="dxa"/>
            <w:tcBorders/>
            <w:shd w:fill="CCEEFF" w:val="clear"/>
            <w:vAlign w:val="bottom"/>
          </w:tcPr>
          <w:p>
            <w:pPr>
              <w:pStyle w:val="TableContents"/>
              <w:spacing w:before="0" w:after="0"/>
              <w:ind w:left="225" w:right="0" w:hanging="225"/>
              <w:rPr/>
            </w:pPr>
            <w:r>
              <w:rPr/>
              <w:t>Net revenue</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88,087</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68,065</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18</w:t>
            </w:r>
          </w:p>
        </w:tc>
        <w:tc>
          <w:tcPr>
            <w:tcW w:w="5779" w:type="dxa"/>
            <w:tcBorders/>
            <w:shd w:fill="auto" w:val="clear"/>
            <w:vAlign w:val="bottom"/>
          </w:tcPr>
          <w:p>
            <w:pPr>
              <w:pStyle w:val="TableContents"/>
              <w:spacing w:before="0" w:after="0"/>
              <w:ind w:left="225" w:right="0" w:hanging="225"/>
              <w:rPr/>
            </w:pPr>
            <w:r>
              <w:rPr/>
              <w:t> </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19</w:t>
            </w:r>
          </w:p>
        </w:tc>
        <w:tc>
          <w:tcPr>
            <w:tcW w:w="5779" w:type="dxa"/>
            <w:tcBorders/>
            <w:shd w:fill="auto" w:val="clear"/>
            <w:vAlign w:val="bottom"/>
          </w:tcPr>
          <w:p>
            <w:pPr>
              <w:pStyle w:val="TableContents"/>
              <w:spacing w:before="0" w:after="0"/>
              <w:ind w:left="225" w:right="0" w:hanging="225"/>
              <w:rPr/>
            </w:pPr>
            <w:r>
              <w:rPr/>
              <w:t>Operations expense</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53,833</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39,873</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20</w:t>
            </w:r>
          </w:p>
        </w:tc>
        <w:tc>
          <w:tcPr>
            <w:tcW w:w="5779" w:type="dxa"/>
            <w:tcBorders/>
            <w:shd w:fill="CCEEFF" w:val="clear"/>
            <w:vAlign w:val="bottom"/>
          </w:tcPr>
          <w:p>
            <w:pPr>
              <w:pStyle w:val="TableContents"/>
              <w:spacing w:before="0" w:after="0"/>
              <w:ind w:left="225" w:right="0" w:hanging="225"/>
              <w:rPr/>
            </w:pPr>
            <w:r>
              <w:rPr/>
              <w:t>Administrative expense</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9,687</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8,527</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21</w:t>
            </w:r>
          </w:p>
        </w:tc>
        <w:tc>
          <w:tcPr>
            <w:tcW w:w="5779" w:type="dxa"/>
            <w:tcBorders/>
            <w:shd w:fill="auto" w:val="clear"/>
            <w:vAlign w:val="bottom"/>
          </w:tcPr>
          <w:p>
            <w:pPr>
              <w:pStyle w:val="TableContents"/>
              <w:spacing w:before="0" w:after="0"/>
              <w:ind w:left="225" w:right="0" w:hanging="225"/>
              <w:rPr/>
            </w:pPr>
            <w:r>
              <w:rPr/>
              <w:t>Depreciation and amortization</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3,254</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3,081</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22</w:t>
            </w:r>
          </w:p>
        </w:tc>
        <w:tc>
          <w:tcPr>
            <w:tcW w:w="5779" w:type="dxa"/>
            <w:tcBorders/>
            <w:shd w:fill="CCEEFF" w:val="clear"/>
            <w:vAlign w:val="bottom"/>
          </w:tcPr>
          <w:p>
            <w:pPr>
              <w:pStyle w:val="TableContents"/>
              <w:spacing w:before="0" w:after="0"/>
              <w:ind w:left="225" w:right="0" w:hanging="225"/>
              <w:rPr/>
            </w:pPr>
            <w:r>
              <w:rPr/>
              <w:t>(Gain) / Loss on sale/disposal of assets</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pPr>
            <w:r>
              <w:rPr/>
              <w:t>(146</w:t>
            </w:r>
          </w:p>
        </w:tc>
        <w:tc>
          <w:tcPr>
            <w:tcW w:w="173" w:type="dxa"/>
            <w:tcBorders/>
            <w:shd w:fill="CCEEFF" w:val="clear"/>
            <w:vAlign w:val="bottom"/>
          </w:tcPr>
          <w:p>
            <w:pPr>
              <w:pStyle w:val="TableContents"/>
              <w:spacing w:before="0" w:after="283"/>
              <w:rPr/>
            </w:pPr>
            <w:r>
              <w:rPr/>
              <w:t>)</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284</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center"/>
          </w:tcPr>
          <w:p>
            <w:pPr>
              <w:pStyle w:val="TableContents"/>
              <w:spacing w:before="0" w:after="283"/>
              <w:rPr>
                <w:sz w:val="4"/>
                <w:szCs w:val="4"/>
              </w:rPr>
            </w:pPr>
            <w:r>
              <w:rPr>
                <w:sz w:val="4"/>
                <w:szCs w:val="4"/>
              </w:rPr>
            </w:r>
          </w:p>
        </w:tc>
        <w:tc>
          <w:tcPr>
            <w:tcW w:w="5779"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23</w:t>
            </w:r>
          </w:p>
        </w:tc>
        <w:tc>
          <w:tcPr>
            <w:tcW w:w="5779" w:type="dxa"/>
            <w:tcBorders/>
            <w:shd w:fill="auto" w:val="clear"/>
            <w:vAlign w:val="bottom"/>
          </w:tcPr>
          <w:p>
            <w:pPr>
              <w:pStyle w:val="TableContents"/>
              <w:spacing w:before="0" w:after="0"/>
              <w:ind w:left="450" w:right="0" w:hanging="225"/>
              <w:rPr/>
            </w:pPr>
            <w:r>
              <w:rPr/>
              <w:t>Operating income</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21,459</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16,300</w:t>
            </w:r>
          </w:p>
        </w:tc>
        <w:tc>
          <w:tcPr>
            <w:tcW w:w="100" w:type="dxa"/>
            <w:tcBorders/>
            <w:shd w:fill="auto"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24</w:t>
            </w:r>
          </w:p>
        </w:tc>
        <w:tc>
          <w:tcPr>
            <w:tcW w:w="5779" w:type="dxa"/>
            <w:tcBorders/>
            <w:shd w:fill="auto" w:val="clear"/>
            <w:vAlign w:val="bottom"/>
          </w:tcPr>
          <w:p>
            <w:pPr>
              <w:pStyle w:val="TableContents"/>
              <w:spacing w:before="0" w:after="0"/>
              <w:ind w:left="225" w:right="0" w:hanging="225"/>
              <w:rPr/>
            </w:pPr>
            <w:r>
              <w:rPr/>
              <w:t> </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25</w:t>
            </w:r>
          </w:p>
        </w:tc>
        <w:tc>
          <w:tcPr>
            <w:tcW w:w="5779" w:type="dxa"/>
            <w:tcBorders/>
            <w:shd w:fill="CCEEFF" w:val="clear"/>
            <w:vAlign w:val="bottom"/>
          </w:tcPr>
          <w:p>
            <w:pPr>
              <w:pStyle w:val="TableContents"/>
              <w:spacing w:before="0" w:after="0"/>
              <w:ind w:left="225" w:right="0" w:hanging="225"/>
              <w:rPr/>
            </w:pPr>
            <w:r>
              <w:rPr/>
              <w:t>Interest income</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pPr>
            <w:r>
              <w:rPr/>
              <w:t>(59</w:t>
            </w:r>
          </w:p>
        </w:tc>
        <w:tc>
          <w:tcPr>
            <w:tcW w:w="173" w:type="dxa"/>
            <w:tcBorders/>
            <w:shd w:fill="CCEEFF" w:val="clear"/>
            <w:vAlign w:val="bottom"/>
          </w:tcPr>
          <w:p>
            <w:pPr>
              <w:pStyle w:val="TableContents"/>
              <w:spacing w:before="0" w:after="283"/>
              <w:rPr/>
            </w:pPr>
            <w:r>
              <w:rPr/>
              <w:t>)</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pPr>
            <w:r>
              <w:rPr/>
              <w:t>(165</w:t>
            </w:r>
          </w:p>
        </w:tc>
        <w:tc>
          <w:tcPr>
            <w:tcW w:w="100" w:type="dxa"/>
            <w:tcBorders/>
            <w:shd w:fill="CCEEFF" w:val="clear"/>
            <w:vAlign w:val="bottom"/>
          </w:tcPr>
          <w:p>
            <w:pPr>
              <w:pStyle w:val="TableContents"/>
              <w:spacing w:before="0" w:after="283"/>
              <w:rPr/>
            </w:pPr>
            <w:r>
              <w:rPr/>
              <w:t>)</w:t>
            </w:r>
          </w:p>
        </w:tc>
      </w:tr>
      <w:tr>
        <w:trPr/>
        <w:tc>
          <w:tcPr>
            <w:tcW w:w="457" w:type="dxa"/>
            <w:tcBorders/>
            <w:shd w:fill="auto" w:val="clear"/>
            <w:vAlign w:val="bottom"/>
          </w:tcPr>
          <w:p>
            <w:pPr>
              <w:pStyle w:val="TableContents"/>
              <w:spacing w:before="0" w:after="283"/>
              <w:rPr/>
            </w:pPr>
            <w:r>
              <w:rPr/>
              <w:t>26</w:t>
            </w:r>
          </w:p>
        </w:tc>
        <w:tc>
          <w:tcPr>
            <w:tcW w:w="5779" w:type="dxa"/>
            <w:tcBorders/>
            <w:shd w:fill="auto" w:val="clear"/>
            <w:vAlign w:val="bottom"/>
          </w:tcPr>
          <w:p>
            <w:pPr>
              <w:pStyle w:val="TableContents"/>
              <w:spacing w:before="0" w:after="0"/>
              <w:ind w:left="225" w:right="0" w:hanging="225"/>
              <w:rPr/>
            </w:pPr>
            <w:r>
              <w:rPr/>
              <w:t>Interest expense</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428</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72</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27</w:t>
            </w:r>
          </w:p>
        </w:tc>
        <w:tc>
          <w:tcPr>
            <w:tcW w:w="5779" w:type="dxa"/>
            <w:tcBorders/>
            <w:shd w:fill="CCEEFF" w:val="clear"/>
            <w:vAlign w:val="bottom"/>
          </w:tcPr>
          <w:p>
            <w:pPr>
              <w:pStyle w:val="TableContents"/>
              <w:spacing w:before="0" w:after="0"/>
              <w:ind w:left="225" w:right="0" w:hanging="225"/>
              <w:rPr/>
            </w:pPr>
            <w:r>
              <w:rPr/>
              <w:t>Equity in net income of unconsolidated affiliate</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pPr>
            <w:r>
              <w:rPr/>
              <w:t>(851</w:t>
            </w:r>
          </w:p>
        </w:tc>
        <w:tc>
          <w:tcPr>
            <w:tcW w:w="173" w:type="dxa"/>
            <w:tcBorders/>
            <w:shd w:fill="CCEEFF" w:val="clear"/>
            <w:vAlign w:val="bottom"/>
          </w:tcPr>
          <w:p>
            <w:pPr>
              <w:pStyle w:val="TableContents"/>
              <w:spacing w:before="0" w:after="283"/>
              <w:rPr/>
            </w:pPr>
            <w:r>
              <w:rPr/>
              <w:t>)</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pPr>
            <w:r>
              <w:rPr/>
              <w:t>(997</w:t>
            </w:r>
          </w:p>
        </w:tc>
        <w:tc>
          <w:tcPr>
            <w:tcW w:w="100" w:type="dxa"/>
            <w:tcBorders/>
            <w:shd w:fill="CCEEFF" w:val="clear"/>
            <w:vAlign w:val="bottom"/>
          </w:tcPr>
          <w:p>
            <w:pPr>
              <w:pStyle w:val="TableContents"/>
              <w:spacing w:before="0" w:after="283"/>
              <w:rPr/>
            </w:pPr>
            <w:r>
              <w:rPr/>
              <w:t>)</w:t>
            </w:r>
          </w:p>
        </w:tc>
      </w:tr>
      <w:tr>
        <w:trPr/>
        <w:tc>
          <w:tcPr>
            <w:tcW w:w="457" w:type="dxa"/>
            <w:tcBorders/>
            <w:shd w:fill="auto" w:val="clear"/>
            <w:vAlign w:val="bottom"/>
          </w:tcPr>
          <w:p>
            <w:pPr>
              <w:pStyle w:val="TableContents"/>
              <w:spacing w:before="0" w:after="283"/>
              <w:rPr/>
            </w:pPr>
            <w:r>
              <w:rPr/>
              <w:t>28</w:t>
            </w:r>
          </w:p>
        </w:tc>
        <w:tc>
          <w:tcPr>
            <w:tcW w:w="5779" w:type="dxa"/>
            <w:tcBorders/>
            <w:shd w:fill="auto" w:val="clear"/>
            <w:vAlign w:val="bottom"/>
          </w:tcPr>
          <w:p>
            <w:pPr>
              <w:pStyle w:val="TableContents"/>
              <w:spacing w:before="0" w:after="0"/>
              <w:ind w:left="225" w:right="0" w:hanging="225"/>
              <w:rPr/>
            </w:pPr>
            <w:r>
              <w:rPr/>
              <w:t>Other</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11</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11</w:t>
            </w:r>
          </w:p>
        </w:tc>
        <w:tc>
          <w:tcPr>
            <w:tcW w:w="100" w:type="dxa"/>
            <w:tcBorders/>
            <w:shd w:fill="auto" w:val="clear"/>
            <w:vAlign w:val="bottom"/>
          </w:tcPr>
          <w:p>
            <w:pPr>
              <w:pStyle w:val="TableContents"/>
              <w:spacing w:before="0" w:after="283"/>
              <w:rPr/>
            </w:pPr>
            <w:r>
              <w:rPr/>
              <w:t> </w:t>
            </w:r>
          </w:p>
        </w:tc>
      </w:tr>
      <w:tr>
        <w:trPr/>
        <w:tc>
          <w:tcPr>
            <w:tcW w:w="457" w:type="dxa"/>
            <w:tcBorders/>
            <w:shd w:fill="auto" w:val="clear"/>
            <w:vAlign w:val="center"/>
          </w:tcPr>
          <w:p>
            <w:pPr>
              <w:pStyle w:val="TableContents"/>
              <w:spacing w:before="0" w:after="283"/>
              <w:rPr>
                <w:sz w:val="4"/>
                <w:szCs w:val="4"/>
              </w:rPr>
            </w:pPr>
            <w:r>
              <w:rPr>
                <w:sz w:val="4"/>
                <w:szCs w:val="4"/>
              </w:rPr>
            </w:r>
          </w:p>
        </w:tc>
        <w:tc>
          <w:tcPr>
            <w:tcW w:w="5779" w:type="dxa"/>
            <w:tcBorders/>
            <w:shd w:fill="auto" w:val="clear"/>
            <w:vAlign w:val="center"/>
          </w:tcPr>
          <w:p>
            <w:pPr>
              <w:pStyle w:val="TableContents"/>
              <w:spacing w:before="0" w:after="0"/>
              <w:ind w:left="450" w:right="0" w:hanging="225"/>
              <w:rPr/>
            </w:pPr>
            <w:r>
              <w:rPr/>
              <w:t> </w:t>
            </w:r>
          </w:p>
        </w:tc>
        <w:tc>
          <w:tcPr>
            <w:tcW w:w="378"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29</w:t>
            </w:r>
          </w:p>
        </w:tc>
        <w:tc>
          <w:tcPr>
            <w:tcW w:w="5779" w:type="dxa"/>
            <w:tcBorders/>
            <w:shd w:fill="CCEEFF" w:val="clear"/>
            <w:vAlign w:val="bottom"/>
          </w:tcPr>
          <w:p>
            <w:pPr>
              <w:pStyle w:val="TableContents"/>
              <w:spacing w:before="0" w:after="0"/>
              <w:ind w:left="225" w:right="0" w:hanging="225"/>
              <w:rPr/>
            </w:pPr>
            <w:r>
              <w:rPr/>
              <w:t>Income before income taxes</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21,930</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17,379</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30</w:t>
            </w:r>
          </w:p>
        </w:tc>
        <w:tc>
          <w:tcPr>
            <w:tcW w:w="5779" w:type="dxa"/>
            <w:tcBorders/>
            <w:shd w:fill="auto" w:val="clear"/>
            <w:vAlign w:val="bottom"/>
          </w:tcPr>
          <w:p>
            <w:pPr>
              <w:pStyle w:val="TableContents"/>
              <w:spacing w:before="0" w:after="0"/>
              <w:ind w:left="225" w:right="0" w:hanging="225"/>
              <w:rPr/>
            </w:pPr>
            <w:r>
              <w:rPr/>
              <w:t>Income tax expense</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7,545</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6,552</w:t>
            </w:r>
          </w:p>
        </w:tc>
        <w:tc>
          <w:tcPr>
            <w:tcW w:w="100" w:type="dxa"/>
            <w:tcBorders/>
            <w:shd w:fill="auto" w:val="clear"/>
            <w:vAlign w:val="bottom"/>
          </w:tcPr>
          <w:p>
            <w:pPr>
              <w:pStyle w:val="TableContents"/>
              <w:spacing w:before="0" w:after="283"/>
              <w:rPr/>
            </w:pPr>
            <w:r>
              <w:rPr/>
              <w:t> </w:t>
            </w:r>
          </w:p>
        </w:tc>
      </w:tr>
      <w:tr>
        <w:trPr/>
        <w:tc>
          <w:tcPr>
            <w:tcW w:w="457" w:type="dxa"/>
            <w:tcBorders/>
            <w:shd w:fill="auto" w:val="clear"/>
            <w:vAlign w:val="center"/>
          </w:tcPr>
          <w:p>
            <w:pPr>
              <w:pStyle w:val="TableContents"/>
              <w:spacing w:before="0" w:after="283"/>
              <w:rPr>
                <w:sz w:val="4"/>
                <w:szCs w:val="4"/>
              </w:rPr>
            </w:pPr>
            <w:r>
              <w:rPr>
                <w:sz w:val="4"/>
                <w:szCs w:val="4"/>
              </w:rPr>
            </w:r>
          </w:p>
        </w:tc>
        <w:tc>
          <w:tcPr>
            <w:tcW w:w="5779"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31</w:t>
            </w:r>
          </w:p>
        </w:tc>
        <w:tc>
          <w:tcPr>
            <w:tcW w:w="5779" w:type="dxa"/>
            <w:tcBorders/>
            <w:shd w:fill="CCEEFF" w:val="clear"/>
            <w:vAlign w:val="bottom"/>
          </w:tcPr>
          <w:p>
            <w:pPr>
              <w:pStyle w:val="TableContents"/>
              <w:spacing w:before="0" w:after="0"/>
              <w:ind w:left="225" w:right="0" w:hanging="225"/>
              <w:rPr/>
            </w:pPr>
            <w:r>
              <w:rPr/>
              <w:t>Net income</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234" w:type="dxa"/>
            <w:tcBorders/>
            <w:shd w:fill="CCEEFF" w:val="clear"/>
            <w:vAlign w:val="bottom"/>
          </w:tcPr>
          <w:p>
            <w:pPr>
              <w:pStyle w:val="TableContents"/>
              <w:spacing w:before="0" w:after="283"/>
              <w:jc w:val="right"/>
              <w:rPr/>
            </w:pPr>
            <w:r>
              <w:rPr/>
              <w:t>14,385</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237" w:type="dxa"/>
            <w:tcBorders/>
            <w:shd w:fill="CCEEFF" w:val="clear"/>
            <w:vAlign w:val="bottom"/>
          </w:tcPr>
          <w:p>
            <w:pPr>
              <w:pStyle w:val="TableContents"/>
              <w:spacing w:before="0" w:after="283"/>
              <w:jc w:val="right"/>
              <w:rPr/>
            </w:pPr>
            <w:r>
              <w:rPr/>
              <w:t>10,827</w:t>
            </w:r>
          </w:p>
        </w:tc>
        <w:tc>
          <w:tcPr>
            <w:tcW w:w="100" w:type="dxa"/>
            <w:tcBorders/>
            <w:shd w:fill="CCEEFF" w:val="clear"/>
            <w:vAlign w:val="bottom"/>
          </w:tcPr>
          <w:p>
            <w:pPr>
              <w:pStyle w:val="TableContents"/>
              <w:spacing w:before="0" w:after="283"/>
              <w:rPr/>
            </w:pPr>
            <w:r>
              <w:rPr/>
              <w:t> </w:t>
            </w:r>
          </w:p>
        </w:tc>
      </w:tr>
      <w:tr>
        <w:trPr/>
        <w:tc>
          <w:tcPr>
            <w:tcW w:w="457" w:type="dxa"/>
            <w:tcBorders/>
            <w:shd w:fill="auto" w:val="clear"/>
            <w:vAlign w:val="center"/>
          </w:tcPr>
          <w:p>
            <w:pPr>
              <w:pStyle w:val="TableContents"/>
              <w:spacing w:before="0" w:after="283"/>
              <w:rPr>
                <w:sz w:val="4"/>
                <w:szCs w:val="4"/>
              </w:rPr>
            </w:pPr>
            <w:r>
              <w:rPr>
                <w:sz w:val="4"/>
                <w:szCs w:val="4"/>
              </w:rPr>
            </w:r>
          </w:p>
        </w:tc>
        <w:tc>
          <w:tcPr>
            <w:tcW w:w="5779"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4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14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32</w:t>
            </w:r>
          </w:p>
        </w:tc>
        <w:tc>
          <w:tcPr>
            <w:tcW w:w="5779" w:type="dxa"/>
            <w:tcBorders/>
            <w:shd w:fill="auto" w:val="clear"/>
            <w:vAlign w:val="bottom"/>
          </w:tcPr>
          <w:p>
            <w:pPr>
              <w:pStyle w:val="TableContents"/>
              <w:spacing w:before="0" w:after="0"/>
              <w:ind w:left="225" w:right="0" w:hanging="225"/>
              <w:rPr/>
            </w:pPr>
            <w:r>
              <w:rPr/>
              <w:t> </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r>
      <w:tr>
        <w:trPr/>
        <w:tc>
          <w:tcPr>
            <w:tcW w:w="457" w:type="dxa"/>
            <w:tcBorders/>
            <w:shd w:fill="auto" w:val="clear"/>
            <w:vAlign w:val="center"/>
          </w:tcPr>
          <w:p>
            <w:pPr>
              <w:pStyle w:val="TableContents"/>
              <w:spacing w:before="0" w:after="283"/>
              <w:rPr>
                <w:sz w:val="4"/>
                <w:szCs w:val="4"/>
              </w:rPr>
            </w:pPr>
            <w:r>
              <w:rPr>
                <w:sz w:val="4"/>
                <w:szCs w:val="4"/>
              </w:rPr>
            </w:r>
          </w:p>
        </w:tc>
        <w:tc>
          <w:tcPr>
            <w:tcW w:w="5779" w:type="dxa"/>
            <w:tcBorders/>
            <w:shd w:fill="auto" w:val="clear"/>
            <w:vAlign w:val="center"/>
          </w:tcPr>
          <w:p>
            <w:pPr>
              <w:pStyle w:val="TableContents"/>
              <w:spacing w:before="0" w:after="0"/>
              <w:ind w:left="450" w:right="0" w:hanging="225"/>
              <w:rPr/>
            </w:pPr>
            <w:r>
              <w:rPr/>
              <w:t> </w:t>
            </w:r>
          </w:p>
        </w:tc>
        <w:tc>
          <w:tcPr>
            <w:tcW w:w="378"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33</w:t>
            </w:r>
          </w:p>
        </w:tc>
        <w:tc>
          <w:tcPr>
            <w:tcW w:w="5779" w:type="dxa"/>
            <w:tcBorders/>
            <w:shd w:fill="auto" w:val="clear"/>
            <w:vAlign w:val="bottom"/>
          </w:tcPr>
          <w:p>
            <w:pPr>
              <w:pStyle w:val="TableContents"/>
              <w:spacing w:before="0" w:after="0"/>
              <w:ind w:left="225" w:right="0" w:hanging="225"/>
              <w:rPr/>
            </w:pPr>
            <w:r>
              <w:rPr/>
              <w:t>Net income per share, diluted</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234" w:type="dxa"/>
            <w:tcBorders/>
            <w:shd w:fill="auto" w:val="clear"/>
            <w:vAlign w:val="bottom"/>
          </w:tcPr>
          <w:p>
            <w:pPr>
              <w:pStyle w:val="TableContents"/>
              <w:spacing w:before="0" w:after="283"/>
              <w:jc w:val="right"/>
              <w:rPr/>
            </w:pPr>
            <w:r>
              <w:rPr/>
              <w:t>0.29</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237" w:type="dxa"/>
            <w:tcBorders/>
            <w:shd w:fill="auto" w:val="clear"/>
            <w:vAlign w:val="bottom"/>
          </w:tcPr>
          <w:p>
            <w:pPr>
              <w:pStyle w:val="TableContents"/>
              <w:spacing w:before="0" w:after="283"/>
              <w:jc w:val="right"/>
              <w:rPr/>
            </w:pPr>
            <w:r>
              <w:rPr/>
              <w:t>0.25</w:t>
            </w:r>
          </w:p>
        </w:tc>
        <w:tc>
          <w:tcPr>
            <w:tcW w:w="100" w:type="dxa"/>
            <w:tcBorders/>
            <w:shd w:fill="auto" w:val="clear"/>
            <w:vAlign w:val="bottom"/>
          </w:tcPr>
          <w:p>
            <w:pPr>
              <w:pStyle w:val="TableContents"/>
              <w:spacing w:before="0" w:after="283"/>
              <w:rPr/>
            </w:pPr>
            <w:r>
              <w:rPr/>
              <w:t> </w:t>
            </w:r>
          </w:p>
        </w:tc>
      </w:tr>
      <w:tr>
        <w:trPr/>
        <w:tc>
          <w:tcPr>
            <w:tcW w:w="457" w:type="dxa"/>
            <w:tcBorders/>
            <w:shd w:fill="auto" w:val="clear"/>
            <w:vAlign w:val="center"/>
          </w:tcPr>
          <w:p>
            <w:pPr>
              <w:pStyle w:val="TableContents"/>
              <w:spacing w:before="0" w:after="283"/>
              <w:rPr>
                <w:sz w:val="4"/>
                <w:szCs w:val="4"/>
              </w:rPr>
            </w:pPr>
            <w:r>
              <w:rPr>
                <w:sz w:val="4"/>
                <w:szCs w:val="4"/>
              </w:rPr>
            </w:r>
          </w:p>
        </w:tc>
        <w:tc>
          <w:tcPr>
            <w:tcW w:w="5779"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4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14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457" w:type="dxa"/>
            <w:tcBorders/>
            <w:shd w:fill="auto" w:val="clear"/>
            <w:vAlign w:val="bottom"/>
          </w:tcPr>
          <w:p>
            <w:pPr>
              <w:pStyle w:val="TableContents"/>
              <w:spacing w:before="0" w:after="283"/>
              <w:rPr/>
            </w:pPr>
            <w:r>
              <w:rPr/>
              <w:t>34</w:t>
            </w:r>
          </w:p>
        </w:tc>
        <w:tc>
          <w:tcPr>
            <w:tcW w:w="5779" w:type="dxa"/>
            <w:tcBorders/>
            <w:shd w:fill="auto" w:val="clear"/>
            <w:vAlign w:val="bottom"/>
          </w:tcPr>
          <w:p>
            <w:pPr>
              <w:pStyle w:val="TableContents"/>
              <w:spacing w:before="0" w:after="0"/>
              <w:ind w:left="225" w:right="0" w:hanging="225"/>
              <w:rPr/>
            </w:pPr>
            <w:r>
              <w:rPr/>
              <w:t> </w:t>
            </w:r>
          </w:p>
        </w:tc>
        <w:tc>
          <w:tcPr>
            <w:tcW w:w="37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r>
      <w:tr>
        <w:trPr/>
        <w:tc>
          <w:tcPr>
            <w:tcW w:w="457" w:type="dxa"/>
            <w:tcBorders/>
            <w:shd w:fill="CCEEFF" w:val="clear"/>
            <w:vAlign w:val="bottom"/>
          </w:tcPr>
          <w:p>
            <w:pPr>
              <w:pStyle w:val="TableContents"/>
              <w:spacing w:before="0" w:after="283"/>
              <w:rPr/>
            </w:pPr>
            <w:r>
              <w:rPr/>
              <w:t>35</w:t>
            </w:r>
          </w:p>
        </w:tc>
        <w:tc>
          <w:tcPr>
            <w:tcW w:w="5779" w:type="dxa"/>
            <w:tcBorders/>
            <w:shd w:fill="CCEEFF" w:val="clear"/>
            <w:vAlign w:val="bottom"/>
          </w:tcPr>
          <w:p>
            <w:pPr>
              <w:pStyle w:val="TableContents"/>
              <w:spacing w:before="0" w:after="0"/>
              <w:ind w:left="225" w:right="0" w:hanging="225"/>
              <w:rPr/>
            </w:pPr>
            <w:r>
              <w:rPr/>
              <w:t>Weighted average shares, diluted</w:t>
            </w:r>
          </w:p>
        </w:tc>
        <w:tc>
          <w:tcPr>
            <w:tcW w:w="37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49,279</w:t>
            </w:r>
          </w:p>
        </w:tc>
        <w:tc>
          <w:tcPr>
            <w:tcW w:w="173"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43,325</w:t>
            </w:r>
          </w:p>
        </w:tc>
        <w:tc>
          <w:tcPr>
            <w:tcW w:w="100"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Page 3 of 7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Highlights of Consolidated Statements of Operations (Unaudited)</w:t>
      </w:r>
      <w:r>
        <w:rPr>
          <w:rFonts w:ascii="Times New Roman;Times;serif" w:hAnsi="Times New Roman;Times;serif"/>
          <w:sz w:val="17"/>
        </w:rPr>
        <w:br/>
      </w:r>
      <w:r>
        <w:rPr>
          <w:rFonts w:ascii="Times New Roman;Times;serif" w:hAnsi="Times New Roman;Times;serif"/>
          <w:i/>
          <w:sz w:val="17"/>
        </w:rPr>
        <w:t>(in thousands, except per share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92"/>
        <w:gridCol w:w="5904"/>
        <w:gridCol w:w="387"/>
        <w:gridCol w:w="215"/>
        <w:gridCol w:w="1186"/>
        <w:gridCol w:w="168"/>
        <w:gridCol w:w="407"/>
        <w:gridCol w:w="215"/>
        <w:gridCol w:w="1189"/>
        <w:gridCol w:w="142"/>
      </w:tblGrid>
      <w:tr>
        <w:trPr/>
        <w:tc>
          <w:tcPr>
            <w:tcW w:w="392" w:type="dxa"/>
            <w:tcBorders/>
            <w:shd w:fill="auto" w:val="clear"/>
            <w:vAlign w:val="bottom"/>
          </w:tcPr>
          <w:p>
            <w:pPr>
              <w:pStyle w:val="TableContents"/>
              <w:spacing w:before="0" w:after="283"/>
              <w:rPr>
                <w:sz w:val="4"/>
                <w:szCs w:val="4"/>
              </w:rPr>
            </w:pPr>
            <w:r>
              <w:rPr>
                <w:sz w:val="4"/>
                <w:szCs w:val="4"/>
              </w:rPr>
            </w:r>
          </w:p>
        </w:tc>
        <w:tc>
          <w:tcPr>
            <w:tcW w:w="59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sz w:val="4"/>
                <w:szCs w:val="4"/>
              </w:rPr>
            </w:pPr>
            <w:r>
              <w:rPr>
                <w:sz w:val="4"/>
                <w:szCs w:val="4"/>
              </w:rPr>
            </w:r>
          </w:p>
        </w:tc>
        <w:tc>
          <w:tcPr>
            <w:tcW w:w="59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338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June 30,</w:t>
            </w:r>
          </w:p>
        </w:tc>
        <w:tc>
          <w:tcPr>
            <w:tcW w:w="142" w:type="dxa"/>
            <w:tcBorders/>
            <w:shd w:fill="auto"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sz w:val="4"/>
                <w:szCs w:val="4"/>
              </w:rPr>
            </w:pPr>
            <w:r>
              <w:rPr>
                <w:sz w:val="4"/>
                <w:szCs w:val="4"/>
              </w:rPr>
            </w:r>
          </w:p>
        </w:tc>
        <w:tc>
          <w:tcPr>
            <w:tcW w:w="5904"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0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4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1</w:t>
            </w:r>
          </w:p>
        </w:tc>
        <w:tc>
          <w:tcPr>
            <w:tcW w:w="5904" w:type="dxa"/>
            <w:tcBorders/>
            <w:shd w:fill="CCEEFF" w:val="clear"/>
            <w:vAlign w:val="bottom"/>
          </w:tcPr>
          <w:p>
            <w:pPr>
              <w:pStyle w:val="TableContents"/>
              <w:spacing w:before="0" w:after="0"/>
              <w:ind w:left="225" w:right="0" w:hanging="225"/>
              <w:rPr/>
            </w:pPr>
            <w:r>
              <w:rPr/>
              <w:t>Revenues:</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2</w:t>
            </w:r>
          </w:p>
        </w:tc>
        <w:tc>
          <w:tcPr>
            <w:tcW w:w="5904" w:type="dxa"/>
            <w:tcBorders/>
            <w:shd w:fill="auto" w:val="clear"/>
            <w:vAlign w:val="bottom"/>
          </w:tcPr>
          <w:p>
            <w:pPr>
              <w:pStyle w:val="TableContents"/>
              <w:spacing w:before="0" w:after="0"/>
              <w:ind w:left="450" w:right="0" w:hanging="225"/>
              <w:rPr/>
            </w:pPr>
            <w:r>
              <w:rPr/>
              <w:t>Merchandise sales</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6" w:type="dxa"/>
            <w:tcBorders/>
            <w:shd w:fill="auto" w:val="clear"/>
            <w:vAlign w:val="bottom"/>
          </w:tcPr>
          <w:p>
            <w:pPr>
              <w:pStyle w:val="TableContents"/>
              <w:spacing w:before="0" w:after="283"/>
              <w:jc w:val="right"/>
              <w:rPr/>
            </w:pPr>
            <w:r>
              <w:rPr/>
              <w:t>156,293</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9" w:type="dxa"/>
            <w:tcBorders/>
            <w:shd w:fill="auto" w:val="clear"/>
            <w:vAlign w:val="bottom"/>
          </w:tcPr>
          <w:p>
            <w:pPr>
              <w:pStyle w:val="TableContents"/>
              <w:spacing w:before="0" w:after="283"/>
              <w:jc w:val="right"/>
              <w:rPr/>
            </w:pPr>
            <w:r>
              <w:rPr/>
              <w:t>120,902</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3</w:t>
            </w:r>
          </w:p>
        </w:tc>
        <w:tc>
          <w:tcPr>
            <w:tcW w:w="5904" w:type="dxa"/>
            <w:tcBorders/>
            <w:shd w:fill="CCEEFF" w:val="clear"/>
            <w:vAlign w:val="bottom"/>
          </w:tcPr>
          <w:p>
            <w:pPr>
              <w:pStyle w:val="TableContents"/>
              <w:spacing w:before="0" w:after="0"/>
              <w:ind w:left="450" w:right="0" w:hanging="225"/>
              <w:rPr/>
            </w:pPr>
            <w:r>
              <w:rPr/>
              <w:t>Jewelry scrapping sales</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78,609</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49,570</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4</w:t>
            </w:r>
          </w:p>
        </w:tc>
        <w:tc>
          <w:tcPr>
            <w:tcW w:w="5904" w:type="dxa"/>
            <w:tcBorders/>
            <w:shd w:fill="auto" w:val="clear"/>
            <w:vAlign w:val="bottom"/>
          </w:tcPr>
          <w:p>
            <w:pPr>
              <w:pStyle w:val="TableContents"/>
              <w:spacing w:before="0" w:after="0"/>
              <w:ind w:left="450" w:right="0" w:hanging="225"/>
              <w:rPr/>
            </w:pPr>
            <w:r>
              <w:rPr/>
              <w:t>Pawn service charges</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92,777</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67,384</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5</w:t>
            </w:r>
          </w:p>
        </w:tc>
        <w:tc>
          <w:tcPr>
            <w:tcW w:w="5904" w:type="dxa"/>
            <w:tcBorders/>
            <w:shd w:fill="CCEEFF" w:val="clear"/>
            <w:vAlign w:val="bottom"/>
          </w:tcPr>
          <w:p>
            <w:pPr>
              <w:pStyle w:val="TableContents"/>
              <w:spacing w:before="0" w:after="0"/>
              <w:ind w:left="450" w:right="0" w:hanging="225"/>
              <w:rPr/>
            </w:pPr>
            <w:r>
              <w:rPr/>
              <w:t>Signature loan fees</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98,409</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94,917</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6</w:t>
            </w:r>
          </w:p>
        </w:tc>
        <w:tc>
          <w:tcPr>
            <w:tcW w:w="5904" w:type="dxa"/>
            <w:tcBorders/>
            <w:shd w:fill="auto" w:val="clear"/>
            <w:vAlign w:val="bottom"/>
          </w:tcPr>
          <w:p>
            <w:pPr>
              <w:pStyle w:val="TableContents"/>
              <w:spacing w:before="0" w:after="0"/>
              <w:ind w:left="450" w:right="0" w:hanging="225"/>
              <w:rPr/>
            </w:pPr>
            <w:r>
              <w:rPr/>
              <w:t>Auto title loan fees</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1,666</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7</w:t>
            </w:r>
          </w:p>
        </w:tc>
        <w:tc>
          <w:tcPr>
            <w:tcW w:w="5904" w:type="dxa"/>
            <w:tcBorders/>
            <w:shd w:fill="CCEEFF" w:val="clear"/>
            <w:vAlign w:val="bottom"/>
          </w:tcPr>
          <w:p>
            <w:pPr>
              <w:pStyle w:val="TableContents"/>
              <w:spacing w:before="0" w:after="0"/>
              <w:ind w:left="450" w:right="0" w:hanging="225"/>
              <w:rPr/>
            </w:pPr>
            <w:r>
              <w:rPr/>
              <w:t>Other</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4,901</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1,228</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center"/>
          </w:tcPr>
          <w:p>
            <w:pPr>
              <w:pStyle w:val="TableContents"/>
              <w:spacing w:before="0" w:after="283"/>
              <w:rPr>
                <w:sz w:val="4"/>
                <w:szCs w:val="4"/>
              </w:rPr>
            </w:pPr>
            <w:r>
              <w:rPr>
                <w:sz w:val="4"/>
                <w:szCs w:val="4"/>
              </w:rPr>
            </w:r>
          </w:p>
        </w:tc>
        <w:tc>
          <w:tcPr>
            <w:tcW w:w="5904"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4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8</w:t>
            </w:r>
          </w:p>
        </w:tc>
        <w:tc>
          <w:tcPr>
            <w:tcW w:w="5904" w:type="dxa"/>
            <w:tcBorders/>
            <w:shd w:fill="auto" w:val="clear"/>
            <w:vAlign w:val="bottom"/>
          </w:tcPr>
          <w:p>
            <w:pPr>
              <w:pStyle w:val="TableContents"/>
              <w:spacing w:before="0" w:after="0"/>
              <w:ind w:left="675" w:right="0" w:hanging="225"/>
              <w:rPr/>
            </w:pPr>
            <w:r>
              <w:rPr/>
              <w:t>Total revenues</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432,655</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334,001</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9</w:t>
            </w:r>
          </w:p>
        </w:tc>
        <w:tc>
          <w:tcPr>
            <w:tcW w:w="5904" w:type="dxa"/>
            <w:tcBorders/>
            <w:shd w:fill="CCEEFF" w:val="clear"/>
            <w:vAlign w:val="bottom"/>
          </w:tcPr>
          <w:p>
            <w:pPr>
              <w:pStyle w:val="TableContents"/>
              <w:spacing w:before="0" w:after="0"/>
              <w:ind w:left="225" w:right="0" w:hanging="225"/>
              <w:rPr/>
            </w:pPr>
            <w:r>
              <w:rPr/>
              <w:t>Cost of goods sold:</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10</w:t>
            </w:r>
          </w:p>
        </w:tc>
        <w:tc>
          <w:tcPr>
            <w:tcW w:w="5904" w:type="dxa"/>
            <w:tcBorders/>
            <w:shd w:fill="auto" w:val="clear"/>
            <w:vAlign w:val="bottom"/>
          </w:tcPr>
          <w:p>
            <w:pPr>
              <w:pStyle w:val="TableContents"/>
              <w:spacing w:before="0" w:after="0"/>
              <w:ind w:left="450" w:right="0" w:hanging="225"/>
              <w:rPr/>
            </w:pPr>
            <w:r>
              <w:rPr/>
              <w:t>Cost of merchandise sales</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96,348</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72,122</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11</w:t>
            </w:r>
          </w:p>
        </w:tc>
        <w:tc>
          <w:tcPr>
            <w:tcW w:w="5904" w:type="dxa"/>
            <w:tcBorders/>
            <w:shd w:fill="CCEEFF" w:val="clear"/>
            <w:vAlign w:val="bottom"/>
          </w:tcPr>
          <w:p>
            <w:pPr>
              <w:pStyle w:val="TableContents"/>
              <w:spacing w:before="0" w:after="0"/>
              <w:ind w:left="450" w:right="0" w:hanging="225"/>
              <w:rPr/>
            </w:pPr>
            <w:r>
              <w:rPr/>
              <w:t>Cost of jewelry scrapping sales</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51,468</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29,610</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center"/>
          </w:tcPr>
          <w:p>
            <w:pPr>
              <w:pStyle w:val="TableContents"/>
              <w:spacing w:before="0" w:after="283"/>
              <w:rPr>
                <w:sz w:val="4"/>
                <w:szCs w:val="4"/>
              </w:rPr>
            </w:pPr>
            <w:r>
              <w:rPr>
                <w:sz w:val="4"/>
                <w:szCs w:val="4"/>
              </w:rPr>
            </w:r>
          </w:p>
        </w:tc>
        <w:tc>
          <w:tcPr>
            <w:tcW w:w="5904"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4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12</w:t>
            </w:r>
          </w:p>
        </w:tc>
        <w:tc>
          <w:tcPr>
            <w:tcW w:w="5904" w:type="dxa"/>
            <w:tcBorders/>
            <w:shd w:fill="auto" w:val="clear"/>
            <w:vAlign w:val="bottom"/>
          </w:tcPr>
          <w:p>
            <w:pPr>
              <w:pStyle w:val="TableContents"/>
              <w:spacing w:before="0" w:after="0"/>
              <w:ind w:left="675" w:right="0" w:hanging="225"/>
              <w:rPr/>
            </w:pPr>
            <w:r>
              <w:rPr/>
              <w:t>Total cost of goods sold</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147,816</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101,732</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13</w:t>
            </w:r>
          </w:p>
        </w:tc>
        <w:tc>
          <w:tcPr>
            <w:tcW w:w="5904" w:type="dxa"/>
            <w:tcBorders/>
            <w:shd w:fill="CCEEFF" w:val="clear"/>
            <w:vAlign w:val="bottom"/>
          </w:tcPr>
          <w:p>
            <w:pPr>
              <w:pStyle w:val="TableContents"/>
              <w:spacing w:before="0" w:after="0"/>
              <w:ind w:left="225" w:right="0" w:hanging="225"/>
              <w:rPr/>
            </w:pPr>
            <w:r>
              <w:rPr/>
              <w:t>Bad debt:</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14</w:t>
            </w:r>
          </w:p>
        </w:tc>
        <w:tc>
          <w:tcPr>
            <w:tcW w:w="5904" w:type="dxa"/>
            <w:tcBorders/>
            <w:shd w:fill="auto" w:val="clear"/>
            <w:vAlign w:val="bottom"/>
          </w:tcPr>
          <w:p>
            <w:pPr>
              <w:pStyle w:val="TableContents"/>
              <w:spacing w:before="0" w:after="0"/>
              <w:ind w:left="450" w:right="0" w:hanging="225"/>
              <w:rPr/>
            </w:pPr>
            <w:r>
              <w:rPr/>
              <w:t>Signature loan bad debt</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23,174</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24,847</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15</w:t>
            </w:r>
          </w:p>
        </w:tc>
        <w:tc>
          <w:tcPr>
            <w:tcW w:w="5904" w:type="dxa"/>
            <w:tcBorders/>
            <w:shd w:fill="CCEEFF" w:val="clear"/>
            <w:vAlign w:val="bottom"/>
          </w:tcPr>
          <w:p>
            <w:pPr>
              <w:pStyle w:val="TableContents"/>
              <w:spacing w:before="0" w:after="0"/>
              <w:ind w:left="450" w:right="0" w:hanging="225"/>
              <w:rPr/>
            </w:pPr>
            <w:r>
              <w:rPr/>
              <w:t>Auto title loan bad debt</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153</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center"/>
          </w:tcPr>
          <w:p>
            <w:pPr>
              <w:pStyle w:val="TableContents"/>
              <w:spacing w:before="0" w:after="283"/>
              <w:rPr>
                <w:sz w:val="4"/>
                <w:szCs w:val="4"/>
              </w:rPr>
            </w:pPr>
            <w:r>
              <w:rPr>
                <w:sz w:val="4"/>
                <w:szCs w:val="4"/>
              </w:rPr>
            </w:r>
          </w:p>
        </w:tc>
        <w:tc>
          <w:tcPr>
            <w:tcW w:w="5904"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4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16</w:t>
            </w:r>
          </w:p>
        </w:tc>
        <w:tc>
          <w:tcPr>
            <w:tcW w:w="5904" w:type="dxa"/>
            <w:tcBorders/>
            <w:shd w:fill="auto" w:val="clear"/>
            <w:vAlign w:val="bottom"/>
          </w:tcPr>
          <w:p>
            <w:pPr>
              <w:pStyle w:val="TableContents"/>
              <w:spacing w:before="0" w:after="0"/>
              <w:ind w:left="675" w:right="0" w:hanging="225"/>
              <w:rPr/>
            </w:pPr>
            <w:r>
              <w:rPr/>
              <w:t>Total bad debt</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23,327</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24,847</w:t>
            </w:r>
          </w:p>
        </w:tc>
        <w:tc>
          <w:tcPr>
            <w:tcW w:w="142" w:type="dxa"/>
            <w:tcBorders/>
            <w:shd w:fill="auto" w:val="clear"/>
            <w:vAlign w:val="bottom"/>
          </w:tcPr>
          <w:p>
            <w:pPr>
              <w:pStyle w:val="TableContents"/>
              <w:spacing w:before="0" w:after="283"/>
              <w:rPr/>
            </w:pPr>
            <w:r>
              <w:rPr/>
              <w:t> </w:t>
            </w:r>
          </w:p>
        </w:tc>
      </w:tr>
      <w:tr>
        <w:trPr/>
        <w:tc>
          <w:tcPr>
            <w:tcW w:w="392" w:type="dxa"/>
            <w:tcBorders/>
            <w:shd w:fill="auto" w:val="clear"/>
            <w:vAlign w:val="center"/>
          </w:tcPr>
          <w:p>
            <w:pPr>
              <w:pStyle w:val="TableContents"/>
              <w:spacing w:before="0" w:after="283"/>
              <w:rPr>
                <w:sz w:val="4"/>
                <w:szCs w:val="4"/>
              </w:rPr>
            </w:pPr>
            <w:r>
              <w:rPr>
                <w:sz w:val="4"/>
                <w:szCs w:val="4"/>
              </w:rPr>
            </w:r>
          </w:p>
        </w:tc>
        <w:tc>
          <w:tcPr>
            <w:tcW w:w="5904"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4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17</w:t>
            </w:r>
          </w:p>
        </w:tc>
        <w:tc>
          <w:tcPr>
            <w:tcW w:w="5904" w:type="dxa"/>
            <w:tcBorders/>
            <w:shd w:fill="CCEEFF" w:val="clear"/>
            <w:vAlign w:val="bottom"/>
          </w:tcPr>
          <w:p>
            <w:pPr>
              <w:pStyle w:val="TableContents"/>
              <w:spacing w:before="0" w:after="0"/>
              <w:ind w:left="225" w:right="0" w:hanging="225"/>
              <w:rPr/>
            </w:pPr>
            <w:r>
              <w:rPr/>
              <w:t>Net revenue</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261,512</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207,422</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18</w:t>
            </w:r>
          </w:p>
        </w:tc>
        <w:tc>
          <w:tcPr>
            <w:tcW w:w="5904"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19</w:t>
            </w:r>
          </w:p>
        </w:tc>
        <w:tc>
          <w:tcPr>
            <w:tcW w:w="5904" w:type="dxa"/>
            <w:tcBorders/>
            <w:shd w:fill="auto" w:val="clear"/>
            <w:vAlign w:val="bottom"/>
          </w:tcPr>
          <w:p>
            <w:pPr>
              <w:pStyle w:val="TableContents"/>
              <w:spacing w:before="0" w:after="0"/>
              <w:ind w:left="225" w:right="0" w:hanging="225"/>
              <w:rPr/>
            </w:pPr>
            <w:r>
              <w:rPr/>
              <w:t>Operations expense</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151,955</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117,308</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20</w:t>
            </w:r>
          </w:p>
        </w:tc>
        <w:tc>
          <w:tcPr>
            <w:tcW w:w="5904" w:type="dxa"/>
            <w:tcBorders/>
            <w:shd w:fill="CCEEFF" w:val="clear"/>
            <w:vAlign w:val="bottom"/>
          </w:tcPr>
          <w:p>
            <w:pPr>
              <w:pStyle w:val="TableContents"/>
              <w:spacing w:before="0" w:after="0"/>
              <w:ind w:left="225" w:right="0" w:hanging="225"/>
              <w:rPr/>
            </w:pPr>
            <w:r>
              <w:rPr/>
              <w:t>Administrative expense</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29,892</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25,418</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21</w:t>
            </w:r>
          </w:p>
        </w:tc>
        <w:tc>
          <w:tcPr>
            <w:tcW w:w="5904" w:type="dxa"/>
            <w:tcBorders/>
            <w:shd w:fill="auto" w:val="clear"/>
            <w:vAlign w:val="bottom"/>
          </w:tcPr>
          <w:p>
            <w:pPr>
              <w:pStyle w:val="TableContents"/>
              <w:spacing w:before="0" w:after="0"/>
              <w:ind w:left="225" w:right="0" w:hanging="225"/>
              <w:rPr/>
            </w:pPr>
            <w:r>
              <w:rPr/>
              <w:t>Depreciation and amortization</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9,471</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9,027</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22</w:t>
            </w:r>
          </w:p>
        </w:tc>
        <w:tc>
          <w:tcPr>
            <w:tcW w:w="5904" w:type="dxa"/>
            <w:tcBorders/>
            <w:shd w:fill="CCEEFF" w:val="clear"/>
            <w:vAlign w:val="bottom"/>
          </w:tcPr>
          <w:p>
            <w:pPr>
              <w:pStyle w:val="TableContents"/>
              <w:spacing w:before="0" w:after="0"/>
              <w:ind w:left="225" w:right="0" w:hanging="225"/>
              <w:rPr/>
            </w:pPr>
            <w:r>
              <w:rPr/>
              <w:t>(Gain) / Loss on sale/disposal of assets</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6" w:type="dxa"/>
            <w:tcBorders/>
            <w:shd w:fill="CCEEFF" w:val="clear"/>
            <w:vAlign w:val="bottom"/>
          </w:tcPr>
          <w:p>
            <w:pPr>
              <w:pStyle w:val="TableContents"/>
              <w:spacing w:before="0" w:after="283"/>
              <w:jc w:val="right"/>
              <w:rPr/>
            </w:pPr>
            <w:r>
              <w:rPr/>
              <w:t>(967</w:t>
            </w:r>
          </w:p>
        </w:tc>
        <w:tc>
          <w:tcPr>
            <w:tcW w:w="168" w:type="dxa"/>
            <w:tcBorders/>
            <w:shd w:fill="CCEEFF" w:val="clear"/>
            <w:vAlign w:val="bottom"/>
          </w:tcPr>
          <w:p>
            <w:pPr>
              <w:pStyle w:val="TableContents"/>
              <w:spacing w:before="0" w:after="283"/>
              <w:rPr/>
            </w:pPr>
            <w:r>
              <w:rPr/>
              <w:t>)</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527</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center"/>
          </w:tcPr>
          <w:p>
            <w:pPr>
              <w:pStyle w:val="TableContents"/>
              <w:spacing w:before="0" w:after="283"/>
              <w:rPr>
                <w:sz w:val="4"/>
                <w:szCs w:val="4"/>
              </w:rPr>
            </w:pPr>
            <w:r>
              <w:rPr>
                <w:sz w:val="4"/>
                <w:szCs w:val="4"/>
              </w:rPr>
            </w:r>
          </w:p>
        </w:tc>
        <w:tc>
          <w:tcPr>
            <w:tcW w:w="5904"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4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23</w:t>
            </w:r>
          </w:p>
        </w:tc>
        <w:tc>
          <w:tcPr>
            <w:tcW w:w="5904" w:type="dxa"/>
            <w:tcBorders/>
            <w:shd w:fill="auto" w:val="clear"/>
            <w:vAlign w:val="bottom"/>
          </w:tcPr>
          <w:p>
            <w:pPr>
              <w:pStyle w:val="TableContents"/>
              <w:spacing w:before="0" w:after="0"/>
              <w:ind w:left="450" w:right="0" w:hanging="225"/>
              <w:rPr/>
            </w:pPr>
            <w:r>
              <w:rPr/>
              <w:t>Operating income</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71,161</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55,142</w:t>
            </w:r>
          </w:p>
        </w:tc>
        <w:tc>
          <w:tcPr>
            <w:tcW w:w="142" w:type="dxa"/>
            <w:tcBorders/>
            <w:shd w:fill="auto"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24</w:t>
            </w:r>
          </w:p>
        </w:tc>
        <w:tc>
          <w:tcPr>
            <w:tcW w:w="5904"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25</w:t>
            </w:r>
          </w:p>
        </w:tc>
        <w:tc>
          <w:tcPr>
            <w:tcW w:w="5904" w:type="dxa"/>
            <w:tcBorders/>
            <w:shd w:fill="CCEEFF" w:val="clear"/>
            <w:vAlign w:val="bottom"/>
          </w:tcPr>
          <w:p>
            <w:pPr>
              <w:pStyle w:val="TableContents"/>
              <w:spacing w:before="0" w:after="0"/>
              <w:ind w:left="225" w:right="0" w:hanging="225"/>
              <w:rPr/>
            </w:pPr>
            <w:r>
              <w:rPr/>
              <w:t>Interest income</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6" w:type="dxa"/>
            <w:tcBorders/>
            <w:shd w:fill="CCEEFF" w:val="clear"/>
            <w:vAlign w:val="bottom"/>
          </w:tcPr>
          <w:p>
            <w:pPr>
              <w:pStyle w:val="TableContents"/>
              <w:spacing w:before="0" w:after="283"/>
              <w:jc w:val="right"/>
              <w:rPr/>
            </w:pPr>
            <w:r>
              <w:rPr/>
              <w:t>(257</w:t>
            </w:r>
          </w:p>
        </w:tc>
        <w:tc>
          <w:tcPr>
            <w:tcW w:w="168" w:type="dxa"/>
            <w:tcBorders/>
            <w:shd w:fill="CCEEFF" w:val="clear"/>
            <w:vAlign w:val="bottom"/>
          </w:tcPr>
          <w:p>
            <w:pPr>
              <w:pStyle w:val="TableContents"/>
              <w:spacing w:before="0" w:after="283"/>
              <w:rPr/>
            </w:pPr>
            <w:r>
              <w:rPr/>
              <w:t>)</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9" w:type="dxa"/>
            <w:tcBorders/>
            <w:shd w:fill="CCEEFF" w:val="clear"/>
            <w:vAlign w:val="bottom"/>
          </w:tcPr>
          <w:p>
            <w:pPr>
              <w:pStyle w:val="TableContents"/>
              <w:spacing w:before="0" w:after="283"/>
              <w:jc w:val="right"/>
              <w:rPr/>
            </w:pPr>
            <w:r>
              <w:rPr/>
              <w:t>(359</w:t>
            </w:r>
          </w:p>
        </w:tc>
        <w:tc>
          <w:tcPr>
            <w:tcW w:w="142" w:type="dxa"/>
            <w:tcBorders/>
            <w:shd w:fill="CCEEFF" w:val="clear"/>
            <w:vAlign w:val="bottom"/>
          </w:tcPr>
          <w:p>
            <w:pPr>
              <w:pStyle w:val="TableContents"/>
              <w:spacing w:before="0" w:after="283"/>
              <w:rPr/>
            </w:pPr>
            <w:r>
              <w:rPr/>
              <w:t>)</w:t>
            </w:r>
          </w:p>
        </w:tc>
      </w:tr>
      <w:tr>
        <w:trPr/>
        <w:tc>
          <w:tcPr>
            <w:tcW w:w="392" w:type="dxa"/>
            <w:tcBorders/>
            <w:shd w:fill="auto" w:val="clear"/>
            <w:vAlign w:val="bottom"/>
          </w:tcPr>
          <w:p>
            <w:pPr>
              <w:pStyle w:val="TableContents"/>
              <w:spacing w:before="0" w:after="283"/>
              <w:rPr/>
            </w:pPr>
            <w:r>
              <w:rPr/>
              <w:t>26</w:t>
            </w:r>
          </w:p>
        </w:tc>
        <w:tc>
          <w:tcPr>
            <w:tcW w:w="5904" w:type="dxa"/>
            <w:tcBorders/>
            <w:shd w:fill="auto" w:val="clear"/>
            <w:vAlign w:val="bottom"/>
          </w:tcPr>
          <w:p>
            <w:pPr>
              <w:pStyle w:val="TableContents"/>
              <w:spacing w:before="0" w:after="0"/>
              <w:ind w:left="225" w:right="0" w:hanging="225"/>
              <w:rPr/>
            </w:pPr>
            <w:r>
              <w:rPr/>
              <w:t>Interest expense</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1,064</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228</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27</w:t>
            </w:r>
          </w:p>
        </w:tc>
        <w:tc>
          <w:tcPr>
            <w:tcW w:w="5904" w:type="dxa"/>
            <w:tcBorders/>
            <w:shd w:fill="CCEEFF" w:val="clear"/>
            <w:vAlign w:val="bottom"/>
          </w:tcPr>
          <w:p>
            <w:pPr>
              <w:pStyle w:val="TableContents"/>
              <w:spacing w:before="0" w:after="0"/>
              <w:ind w:left="225" w:right="0" w:hanging="225"/>
              <w:rPr/>
            </w:pPr>
            <w:r>
              <w:rPr/>
              <w:t>Equity in net income of unconsolidated affiliate</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6" w:type="dxa"/>
            <w:tcBorders/>
            <w:shd w:fill="CCEEFF" w:val="clear"/>
            <w:vAlign w:val="bottom"/>
          </w:tcPr>
          <w:p>
            <w:pPr>
              <w:pStyle w:val="TableContents"/>
              <w:spacing w:before="0" w:after="283"/>
              <w:jc w:val="right"/>
              <w:rPr/>
            </w:pPr>
            <w:r>
              <w:rPr/>
              <w:t>(3,163</w:t>
            </w:r>
          </w:p>
        </w:tc>
        <w:tc>
          <w:tcPr>
            <w:tcW w:w="168" w:type="dxa"/>
            <w:tcBorders/>
            <w:shd w:fill="CCEEFF" w:val="clear"/>
            <w:vAlign w:val="bottom"/>
          </w:tcPr>
          <w:p>
            <w:pPr>
              <w:pStyle w:val="TableContents"/>
              <w:spacing w:before="0" w:after="283"/>
              <w:rPr/>
            </w:pPr>
            <w:r>
              <w:rPr/>
              <w:t>)</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9" w:type="dxa"/>
            <w:tcBorders/>
            <w:shd w:fill="CCEEFF" w:val="clear"/>
            <w:vAlign w:val="bottom"/>
          </w:tcPr>
          <w:p>
            <w:pPr>
              <w:pStyle w:val="TableContents"/>
              <w:spacing w:before="0" w:after="283"/>
              <w:jc w:val="right"/>
              <w:rPr/>
            </w:pPr>
            <w:r>
              <w:rPr/>
              <w:t>(3,162</w:t>
            </w:r>
          </w:p>
        </w:tc>
        <w:tc>
          <w:tcPr>
            <w:tcW w:w="142" w:type="dxa"/>
            <w:tcBorders/>
            <w:shd w:fill="CCEEFF" w:val="clear"/>
            <w:vAlign w:val="bottom"/>
          </w:tcPr>
          <w:p>
            <w:pPr>
              <w:pStyle w:val="TableContents"/>
              <w:spacing w:before="0" w:after="283"/>
              <w:rPr/>
            </w:pPr>
            <w:r>
              <w:rPr/>
              <w:t>)</w:t>
            </w:r>
          </w:p>
        </w:tc>
      </w:tr>
      <w:tr>
        <w:trPr/>
        <w:tc>
          <w:tcPr>
            <w:tcW w:w="392" w:type="dxa"/>
            <w:tcBorders/>
            <w:shd w:fill="auto" w:val="clear"/>
            <w:vAlign w:val="bottom"/>
          </w:tcPr>
          <w:p>
            <w:pPr>
              <w:pStyle w:val="TableContents"/>
              <w:spacing w:before="0" w:after="283"/>
              <w:rPr/>
            </w:pPr>
            <w:r>
              <w:rPr/>
              <w:t>28</w:t>
            </w:r>
          </w:p>
        </w:tc>
        <w:tc>
          <w:tcPr>
            <w:tcW w:w="5904" w:type="dxa"/>
            <w:tcBorders/>
            <w:shd w:fill="auto" w:val="clear"/>
            <w:vAlign w:val="bottom"/>
          </w:tcPr>
          <w:p>
            <w:pPr>
              <w:pStyle w:val="TableContents"/>
              <w:spacing w:before="0" w:after="0"/>
              <w:ind w:left="225" w:right="0" w:hanging="225"/>
              <w:rPr/>
            </w:pPr>
            <w:r>
              <w:rPr/>
              <w:t>Other</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38</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11</w:t>
            </w:r>
          </w:p>
        </w:tc>
        <w:tc>
          <w:tcPr>
            <w:tcW w:w="142" w:type="dxa"/>
            <w:tcBorders/>
            <w:shd w:fill="auto" w:val="clear"/>
            <w:vAlign w:val="bottom"/>
          </w:tcPr>
          <w:p>
            <w:pPr>
              <w:pStyle w:val="TableContents"/>
              <w:spacing w:before="0" w:after="283"/>
              <w:rPr/>
            </w:pPr>
            <w:r>
              <w:rPr/>
              <w:t> </w:t>
            </w:r>
          </w:p>
        </w:tc>
      </w:tr>
      <w:tr>
        <w:trPr/>
        <w:tc>
          <w:tcPr>
            <w:tcW w:w="392" w:type="dxa"/>
            <w:tcBorders/>
            <w:shd w:fill="auto" w:val="clear"/>
            <w:vAlign w:val="center"/>
          </w:tcPr>
          <w:p>
            <w:pPr>
              <w:pStyle w:val="TableContents"/>
              <w:spacing w:before="0" w:after="283"/>
              <w:rPr>
                <w:sz w:val="4"/>
                <w:szCs w:val="4"/>
              </w:rPr>
            </w:pPr>
            <w:r>
              <w:rPr>
                <w:sz w:val="4"/>
                <w:szCs w:val="4"/>
              </w:rPr>
            </w:r>
          </w:p>
        </w:tc>
        <w:tc>
          <w:tcPr>
            <w:tcW w:w="5904"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4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29</w:t>
            </w:r>
          </w:p>
        </w:tc>
        <w:tc>
          <w:tcPr>
            <w:tcW w:w="5904" w:type="dxa"/>
            <w:tcBorders/>
            <w:shd w:fill="CCEEFF" w:val="clear"/>
            <w:vAlign w:val="bottom"/>
          </w:tcPr>
          <w:p>
            <w:pPr>
              <w:pStyle w:val="TableContents"/>
              <w:spacing w:before="0" w:after="0"/>
              <w:ind w:left="225" w:right="0" w:hanging="225"/>
              <w:rPr/>
            </w:pPr>
            <w:r>
              <w:rPr/>
              <w:t>Income before income taxes</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73,479</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58,424</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30</w:t>
            </w:r>
          </w:p>
        </w:tc>
        <w:tc>
          <w:tcPr>
            <w:tcW w:w="5904" w:type="dxa"/>
            <w:tcBorders/>
            <w:shd w:fill="auto" w:val="clear"/>
            <w:vAlign w:val="bottom"/>
          </w:tcPr>
          <w:p>
            <w:pPr>
              <w:pStyle w:val="TableContents"/>
              <w:spacing w:before="0" w:after="0"/>
              <w:ind w:left="225" w:right="0" w:hanging="225"/>
              <w:rPr/>
            </w:pPr>
            <w:r>
              <w:rPr/>
              <w:t>Income tax expense</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25,946</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22,026</w:t>
            </w:r>
          </w:p>
        </w:tc>
        <w:tc>
          <w:tcPr>
            <w:tcW w:w="142" w:type="dxa"/>
            <w:tcBorders/>
            <w:shd w:fill="auto" w:val="clear"/>
            <w:vAlign w:val="bottom"/>
          </w:tcPr>
          <w:p>
            <w:pPr>
              <w:pStyle w:val="TableContents"/>
              <w:spacing w:before="0" w:after="283"/>
              <w:rPr/>
            </w:pPr>
            <w:r>
              <w:rPr/>
              <w:t> </w:t>
            </w:r>
          </w:p>
        </w:tc>
      </w:tr>
      <w:tr>
        <w:trPr/>
        <w:tc>
          <w:tcPr>
            <w:tcW w:w="392" w:type="dxa"/>
            <w:tcBorders/>
            <w:shd w:fill="auto" w:val="clear"/>
            <w:vAlign w:val="center"/>
          </w:tcPr>
          <w:p>
            <w:pPr>
              <w:pStyle w:val="TableContents"/>
              <w:spacing w:before="0" w:after="283"/>
              <w:rPr>
                <w:sz w:val="4"/>
                <w:szCs w:val="4"/>
              </w:rPr>
            </w:pPr>
            <w:r>
              <w:rPr>
                <w:sz w:val="4"/>
                <w:szCs w:val="4"/>
              </w:rPr>
            </w:r>
          </w:p>
        </w:tc>
        <w:tc>
          <w:tcPr>
            <w:tcW w:w="5904"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4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31</w:t>
            </w:r>
          </w:p>
        </w:tc>
        <w:tc>
          <w:tcPr>
            <w:tcW w:w="5904" w:type="dxa"/>
            <w:tcBorders/>
            <w:shd w:fill="CCEEFF" w:val="clear"/>
            <w:vAlign w:val="bottom"/>
          </w:tcPr>
          <w:p>
            <w:pPr>
              <w:pStyle w:val="TableContents"/>
              <w:spacing w:before="0" w:after="0"/>
              <w:ind w:left="225" w:right="0" w:hanging="225"/>
              <w:rPr/>
            </w:pPr>
            <w:r>
              <w:rPr/>
              <w:t>Net income</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6" w:type="dxa"/>
            <w:tcBorders/>
            <w:shd w:fill="CCEEFF" w:val="clear"/>
            <w:vAlign w:val="bottom"/>
          </w:tcPr>
          <w:p>
            <w:pPr>
              <w:pStyle w:val="TableContents"/>
              <w:spacing w:before="0" w:after="283"/>
              <w:jc w:val="right"/>
              <w:rPr/>
            </w:pPr>
            <w:r>
              <w:rPr/>
              <w:t>47,533</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9" w:type="dxa"/>
            <w:tcBorders/>
            <w:shd w:fill="CCEEFF" w:val="clear"/>
            <w:vAlign w:val="bottom"/>
          </w:tcPr>
          <w:p>
            <w:pPr>
              <w:pStyle w:val="TableContents"/>
              <w:spacing w:before="0" w:after="283"/>
              <w:jc w:val="right"/>
              <w:rPr/>
            </w:pPr>
            <w:r>
              <w:rPr/>
              <w:t>36,398</w:t>
            </w:r>
          </w:p>
        </w:tc>
        <w:tc>
          <w:tcPr>
            <w:tcW w:w="142" w:type="dxa"/>
            <w:tcBorders/>
            <w:shd w:fill="CCEEFF" w:val="clear"/>
            <w:vAlign w:val="bottom"/>
          </w:tcPr>
          <w:p>
            <w:pPr>
              <w:pStyle w:val="TableContents"/>
              <w:spacing w:before="0" w:after="283"/>
              <w:rPr/>
            </w:pPr>
            <w:r>
              <w:rPr/>
              <w:t> </w:t>
            </w:r>
          </w:p>
        </w:tc>
      </w:tr>
      <w:tr>
        <w:trPr/>
        <w:tc>
          <w:tcPr>
            <w:tcW w:w="392" w:type="dxa"/>
            <w:tcBorders/>
            <w:shd w:fill="auto" w:val="clear"/>
            <w:vAlign w:val="center"/>
          </w:tcPr>
          <w:p>
            <w:pPr>
              <w:pStyle w:val="TableContents"/>
              <w:spacing w:before="0" w:after="283"/>
              <w:rPr>
                <w:sz w:val="4"/>
                <w:szCs w:val="4"/>
              </w:rPr>
            </w:pPr>
            <w:r>
              <w:rPr>
                <w:sz w:val="4"/>
                <w:szCs w:val="4"/>
              </w:rPr>
            </w:r>
          </w:p>
        </w:tc>
        <w:tc>
          <w:tcPr>
            <w:tcW w:w="5904"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4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32</w:t>
            </w:r>
          </w:p>
        </w:tc>
        <w:tc>
          <w:tcPr>
            <w:tcW w:w="5904"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392" w:type="dxa"/>
            <w:tcBorders/>
            <w:shd w:fill="auto" w:val="clear"/>
            <w:vAlign w:val="center"/>
          </w:tcPr>
          <w:p>
            <w:pPr>
              <w:pStyle w:val="TableContents"/>
              <w:spacing w:before="0" w:after="283"/>
              <w:rPr>
                <w:sz w:val="4"/>
                <w:szCs w:val="4"/>
              </w:rPr>
            </w:pPr>
            <w:r>
              <w:rPr>
                <w:sz w:val="4"/>
                <w:szCs w:val="4"/>
              </w:rPr>
            </w:r>
          </w:p>
        </w:tc>
        <w:tc>
          <w:tcPr>
            <w:tcW w:w="5904"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4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33</w:t>
            </w:r>
          </w:p>
        </w:tc>
        <w:tc>
          <w:tcPr>
            <w:tcW w:w="5904" w:type="dxa"/>
            <w:tcBorders/>
            <w:shd w:fill="auto" w:val="clear"/>
            <w:vAlign w:val="bottom"/>
          </w:tcPr>
          <w:p>
            <w:pPr>
              <w:pStyle w:val="TableContents"/>
              <w:spacing w:before="0" w:after="0"/>
              <w:ind w:left="225" w:right="0" w:hanging="225"/>
              <w:rPr/>
            </w:pPr>
            <w:r>
              <w:rPr/>
              <w:t>Net income per share, diluted</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6" w:type="dxa"/>
            <w:tcBorders/>
            <w:shd w:fill="auto" w:val="clear"/>
            <w:vAlign w:val="bottom"/>
          </w:tcPr>
          <w:p>
            <w:pPr>
              <w:pStyle w:val="TableContents"/>
              <w:spacing w:before="0" w:after="283"/>
              <w:jc w:val="right"/>
              <w:rPr/>
            </w:pPr>
            <w:r>
              <w:rPr/>
              <w:t>1.00</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9" w:type="dxa"/>
            <w:tcBorders/>
            <w:shd w:fill="auto" w:val="clear"/>
            <w:vAlign w:val="bottom"/>
          </w:tcPr>
          <w:p>
            <w:pPr>
              <w:pStyle w:val="TableContents"/>
              <w:spacing w:before="0" w:after="283"/>
              <w:jc w:val="right"/>
              <w:rPr/>
            </w:pPr>
            <w:r>
              <w:rPr/>
              <w:t>0.84</w:t>
            </w:r>
          </w:p>
        </w:tc>
        <w:tc>
          <w:tcPr>
            <w:tcW w:w="142" w:type="dxa"/>
            <w:tcBorders/>
            <w:shd w:fill="auto" w:val="clear"/>
            <w:vAlign w:val="bottom"/>
          </w:tcPr>
          <w:p>
            <w:pPr>
              <w:pStyle w:val="TableContents"/>
              <w:spacing w:before="0" w:after="283"/>
              <w:rPr/>
            </w:pPr>
            <w:r>
              <w:rPr/>
              <w:t> </w:t>
            </w:r>
          </w:p>
        </w:tc>
      </w:tr>
      <w:tr>
        <w:trPr/>
        <w:tc>
          <w:tcPr>
            <w:tcW w:w="392" w:type="dxa"/>
            <w:tcBorders/>
            <w:shd w:fill="auto" w:val="clear"/>
            <w:vAlign w:val="center"/>
          </w:tcPr>
          <w:p>
            <w:pPr>
              <w:pStyle w:val="TableContents"/>
              <w:spacing w:before="0" w:after="283"/>
              <w:rPr>
                <w:sz w:val="4"/>
                <w:szCs w:val="4"/>
              </w:rPr>
            </w:pPr>
            <w:r>
              <w:rPr>
                <w:sz w:val="4"/>
                <w:szCs w:val="4"/>
              </w:rPr>
            </w:r>
          </w:p>
        </w:tc>
        <w:tc>
          <w:tcPr>
            <w:tcW w:w="5904"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8"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14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392" w:type="dxa"/>
            <w:tcBorders/>
            <w:shd w:fill="auto" w:val="clear"/>
            <w:vAlign w:val="bottom"/>
          </w:tcPr>
          <w:p>
            <w:pPr>
              <w:pStyle w:val="TableContents"/>
              <w:spacing w:before="0" w:after="283"/>
              <w:rPr/>
            </w:pPr>
            <w:r>
              <w:rPr/>
              <w:t>34</w:t>
            </w:r>
          </w:p>
        </w:tc>
        <w:tc>
          <w:tcPr>
            <w:tcW w:w="5904"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392" w:type="dxa"/>
            <w:tcBorders/>
            <w:shd w:fill="CCEEFF" w:val="clear"/>
            <w:vAlign w:val="bottom"/>
          </w:tcPr>
          <w:p>
            <w:pPr>
              <w:pStyle w:val="TableContents"/>
              <w:spacing w:before="0" w:after="283"/>
              <w:rPr/>
            </w:pPr>
            <w:r>
              <w:rPr/>
              <w:t>35</w:t>
            </w:r>
          </w:p>
        </w:tc>
        <w:tc>
          <w:tcPr>
            <w:tcW w:w="5904" w:type="dxa"/>
            <w:tcBorders/>
            <w:shd w:fill="CCEEFF" w:val="clear"/>
            <w:vAlign w:val="bottom"/>
          </w:tcPr>
          <w:p>
            <w:pPr>
              <w:pStyle w:val="TableContents"/>
              <w:spacing w:before="0" w:after="0"/>
              <w:ind w:left="225" w:right="0" w:hanging="225"/>
              <w:rPr/>
            </w:pPr>
            <w:r>
              <w:rPr/>
              <w:t>Weighted average shares, diluted</w:t>
            </w:r>
          </w:p>
        </w:tc>
        <w:tc>
          <w:tcPr>
            <w:tcW w:w="3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47,724</w:t>
            </w:r>
          </w:p>
        </w:tc>
        <w:tc>
          <w:tcPr>
            <w:tcW w:w="16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43,269</w:t>
            </w:r>
          </w:p>
        </w:tc>
        <w:tc>
          <w:tcPr>
            <w:tcW w:w="142"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Page 4 of 7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Highlights of Consolidated Balance Sheets (Unaudited)</w:t>
      </w:r>
      <w:r>
        <w:rPr>
          <w:rFonts w:ascii="Times New Roman;Times;serif" w:hAnsi="Times New Roman;Times;serif"/>
          <w:sz w:val="17"/>
        </w:rPr>
        <w:br/>
      </w:r>
      <w:r>
        <w:rPr>
          <w:rFonts w:ascii="Times New Roman;Times;serif" w:hAnsi="Times New Roman;Times;serif"/>
          <w:i/>
          <w:sz w:val="17"/>
        </w:rPr>
        <w:t>(in thousands, except per share data and store counts)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78"/>
        <w:gridCol w:w="6772"/>
        <w:gridCol w:w="452"/>
        <w:gridCol w:w="151"/>
        <w:gridCol w:w="809"/>
        <w:gridCol w:w="113"/>
        <w:gridCol w:w="452"/>
        <w:gridCol w:w="151"/>
        <w:gridCol w:w="809"/>
        <w:gridCol w:w="118"/>
      </w:tblGrid>
      <w:tr>
        <w:trPr/>
        <w:tc>
          <w:tcPr>
            <w:tcW w:w="378" w:type="dxa"/>
            <w:tcBorders/>
            <w:shd w:fill="auto" w:val="clear"/>
            <w:vAlign w:val="bottom"/>
          </w:tcPr>
          <w:p>
            <w:pPr>
              <w:pStyle w:val="TableContents"/>
              <w:spacing w:before="0" w:after="283"/>
              <w:rPr>
                <w:sz w:val="4"/>
                <w:szCs w:val="4"/>
              </w:rPr>
            </w:pPr>
            <w:r>
              <w:rPr>
                <w:sz w:val="4"/>
                <w:szCs w:val="4"/>
              </w:rPr>
            </w:r>
          </w:p>
        </w:tc>
        <w:tc>
          <w:tcPr>
            <w:tcW w:w="6772"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sz w:val="4"/>
                <w:szCs w:val="4"/>
              </w:rPr>
            </w:pPr>
            <w:r>
              <w:rPr>
                <w:sz w:val="4"/>
                <w:szCs w:val="4"/>
              </w:rPr>
            </w:r>
          </w:p>
        </w:tc>
        <w:tc>
          <w:tcPr>
            <w:tcW w:w="6772"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248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As of June 30,</w:t>
            </w:r>
          </w:p>
        </w:tc>
        <w:tc>
          <w:tcPr>
            <w:tcW w:w="118" w:type="dxa"/>
            <w:tcBorders/>
            <w:shd w:fill="auto"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sz w:val="4"/>
                <w:szCs w:val="4"/>
              </w:rPr>
            </w:pPr>
            <w:r>
              <w:rPr>
                <w:sz w:val="4"/>
                <w:szCs w:val="4"/>
              </w:rPr>
            </w:r>
          </w:p>
        </w:tc>
        <w:tc>
          <w:tcPr>
            <w:tcW w:w="6772"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1</w:t>
            </w:r>
          </w:p>
        </w:tc>
        <w:tc>
          <w:tcPr>
            <w:tcW w:w="6772" w:type="dxa"/>
            <w:tcBorders/>
            <w:shd w:fill="CCEEFF" w:val="clear"/>
            <w:vAlign w:val="bottom"/>
          </w:tcPr>
          <w:p>
            <w:pPr>
              <w:pStyle w:val="TableContents"/>
              <w:spacing w:before="0" w:after="0"/>
              <w:ind w:left="225" w:right="0" w:hanging="225"/>
              <w:rPr/>
            </w:pPr>
            <w:r>
              <w:rPr/>
              <w:t>Assets:</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2</w:t>
            </w:r>
          </w:p>
        </w:tc>
        <w:tc>
          <w:tcPr>
            <w:tcW w:w="6772" w:type="dxa"/>
            <w:tcBorders/>
            <w:shd w:fill="auto" w:val="clear"/>
            <w:vAlign w:val="bottom"/>
          </w:tcPr>
          <w:p>
            <w:pPr>
              <w:pStyle w:val="TableContents"/>
              <w:spacing w:before="0" w:after="0"/>
              <w:ind w:left="450" w:right="0" w:hanging="225"/>
              <w:rPr/>
            </w:pPr>
            <w:r>
              <w:rPr/>
              <w:t>Current assets:</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3</w:t>
            </w:r>
          </w:p>
        </w:tc>
        <w:tc>
          <w:tcPr>
            <w:tcW w:w="6772" w:type="dxa"/>
            <w:tcBorders/>
            <w:shd w:fill="CCEEFF" w:val="clear"/>
            <w:vAlign w:val="bottom"/>
          </w:tcPr>
          <w:p>
            <w:pPr>
              <w:pStyle w:val="TableContents"/>
              <w:spacing w:before="0" w:after="0"/>
              <w:ind w:left="675" w:right="0" w:hanging="225"/>
              <w:rPr/>
            </w:pPr>
            <w:r>
              <w:rPr/>
              <w:t>Cash and cash equivalents</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46,546</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29,812</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4</w:t>
            </w:r>
          </w:p>
        </w:tc>
        <w:tc>
          <w:tcPr>
            <w:tcW w:w="6772" w:type="dxa"/>
            <w:tcBorders/>
            <w:shd w:fill="auto" w:val="clear"/>
            <w:vAlign w:val="bottom"/>
          </w:tcPr>
          <w:p>
            <w:pPr>
              <w:pStyle w:val="TableContents"/>
              <w:spacing w:before="0" w:after="0"/>
              <w:ind w:left="675" w:right="0" w:hanging="225"/>
              <w:rPr/>
            </w:pPr>
            <w:r>
              <w:rPr/>
              <w:t>Pawn loans</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94,648</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68,022</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5</w:t>
            </w:r>
          </w:p>
        </w:tc>
        <w:tc>
          <w:tcPr>
            <w:tcW w:w="6772" w:type="dxa"/>
            <w:tcBorders/>
            <w:shd w:fill="CCEEFF" w:val="clear"/>
            <w:vAlign w:val="bottom"/>
          </w:tcPr>
          <w:p>
            <w:pPr>
              <w:pStyle w:val="TableContents"/>
              <w:spacing w:before="0" w:after="0"/>
              <w:ind w:left="675" w:right="0" w:hanging="225"/>
              <w:rPr/>
            </w:pPr>
            <w:r>
              <w:rPr/>
              <w:t>Payday loans, net</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7,649</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6,598</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6</w:t>
            </w:r>
          </w:p>
        </w:tc>
        <w:tc>
          <w:tcPr>
            <w:tcW w:w="6772" w:type="dxa"/>
            <w:tcBorders/>
            <w:shd w:fill="auto" w:val="clear"/>
            <w:vAlign w:val="bottom"/>
          </w:tcPr>
          <w:p>
            <w:pPr>
              <w:pStyle w:val="TableContents"/>
              <w:spacing w:before="0" w:after="0"/>
              <w:ind w:left="675" w:right="0" w:hanging="225"/>
              <w:rPr/>
            </w:pPr>
            <w:r>
              <w:rPr/>
              <w:t>Pawn service charges receivable, net</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16,693</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10,061</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7</w:t>
            </w:r>
          </w:p>
        </w:tc>
        <w:tc>
          <w:tcPr>
            <w:tcW w:w="6772" w:type="dxa"/>
            <w:tcBorders/>
            <w:shd w:fill="CCEEFF" w:val="clear"/>
            <w:vAlign w:val="bottom"/>
          </w:tcPr>
          <w:p>
            <w:pPr>
              <w:pStyle w:val="TableContents"/>
              <w:spacing w:before="0" w:after="0"/>
              <w:ind w:left="675" w:right="0" w:hanging="225"/>
              <w:rPr/>
            </w:pPr>
            <w:r>
              <w:rPr/>
              <w:t>Auto title loans, net</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1,126</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8</w:t>
            </w:r>
          </w:p>
        </w:tc>
        <w:tc>
          <w:tcPr>
            <w:tcW w:w="6772" w:type="dxa"/>
            <w:tcBorders/>
            <w:shd w:fill="auto" w:val="clear"/>
            <w:vAlign w:val="bottom"/>
          </w:tcPr>
          <w:p>
            <w:pPr>
              <w:pStyle w:val="TableContents"/>
              <w:spacing w:before="0" w:after="0"/>
              <w:ind w:left="675" w:right="0" w:hanging="225"/>
              <w:rPr/>
            </w:pPr>
            <w:r>
              <w:rPr/>
              <w:t>Auto title loan finance charges receivable, net</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352</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9</w:t>
            </w:r>
          </w:p>
        </w:tc>
        <w:tc>
          <w:tcPr>
            <w:tcW w:w="6772" w:type="dxa"/>
            <w:tcBorders/>
            <w:shd w:fill="CCEEFF" w:val="clear"/>
            <w:vAlign w:val="bottom"/>
          </w:tcPr>
          <w:p>
            <w:pPr>
              <w:pStyle w:val="TableContents"/>
              <w:spacing w:before="0" w:after="0"/>
              <w:ind w:left="675" w:right="0" w:hanging="225"/>
              <w:rPr/>
            </w:pPr>
            <w:r>
              <w:rPr/>
              <w:t>Signature loan fees receivable, net</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5,105</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5,086</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10</w:t>
            </w:r>
          </w:p>
        </w:tc>
        <w:tc>
          <w:tcPr>
            <w:tcW w:w="6772" w:type="dxa"/>
            <w:tcBorders/>
            <w:shd w:fill="auto" w:val="clear"/>
            <w:vAlign w:val="bottom"/>
          </w:tcPr>
          <w:p>
            <w:pPr>
              <w:pStyle w:val="TableContents"/>
              <w:spacing w:before="0" w:after="0"/>
              <w:ind w:left="675" w:right="0" w:hanging="225"/>
              <w:rPr/>
            </w:pPr>
            <w:r>
              <w:rPr/>
              <w:t>Inventory, net</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57,141</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39,444</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11</w:t>
            </w:r>
          </w:p>
        </w:tc>
        <w:tc>
          <w:tcPr>
            <w:tcW w:w="6772" w:type="dxa"/>
            <w:tcBorders/>
            <w:shd w:fill="CCEEFF" w:val="clear"/>
            <w:vAlign w:val="bottom"/>
          </w:tcPr>
          <w:p>
            <w:pPr>
              <w:pStyle w:val="TableContents"/>
              <w:spacing w:before="0" w:after="0"/>
              <w:ind w:left="675" w:right="0" w:hanging="225"/>
              <w:rPr/>
            </w:pPr>
            <w:r>
              <w:rPr/>
              <w:t>Deferred tax asset</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15,809</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9,007</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12</w:t>
            </w:r>
          </w:p>
        </w:tc>
        <w:tc>
          <w:tcPr>
            <w:tcW w:w="6772" w:type="dxa"/>
            <w:tcBorders/>
            <w:shd w:fill="auto" w:val="clear"/>
            <w:vAlign w:val="bottom"/>
          </w:tcPr>
          <w:p>
            <w:pPr>
              <w:pStyle w:val="TableContents"/>
              <w:spacing w:before="0" w:after="0"/>
              <w:ind w:left="675" w:right="0" w:hanging="225"/>
              <w:rPr/>
            </w:pPr>
            <w:r>
              <w:rPr/>
              <w:t>Federal income taxes receivable</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454</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13</w:t>
            </w:r>
          </w:p>
        </w:tc>
        <w:tc>
          <w:tcPr>
            <w:tcW w:w="6772" w:type="dxa"/>
            <w:tcBorders/>
            <w:shd w:fill="CCEEFF" w:val="clear"/>
            <w:vAlign w:val="bottom"/>
          </w:tcPr>
          <w:p>
            <w:pPr>
              <w:pStyle w:val="TableContents"/>
              <w:spacing w:before="0" w:after="0"/>
              <w:ind w:left="675" w:right="0" w:hanging="225"/>
              <w:rPr/>
            </w:pPr>
            <w:r>
              <w:rPr/>
              <w:t>Prepaid expenses and other assets</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14,866</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5,622</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center"/>
          </w:tcPr>
          <w:p>
            <w:pPr>
              <w:pStyle w:val="TableContents"/>
              <w:spacing w:before="0" w:after="283"/>
              <w:rPr>
                <w:sz w:val="4"/>
                <w:szCs w:val="4"/>
              </w:rPr>
            </w:pPr>
            <w:r>
              <w:rPr>
                <w:sz w:val="4"/>
                <w:szCs w:val="4"/>
              </w:rPr>
            </w:r>
          </w:p>
        </w:tc>
        <w:tc>
          <w:tcPr>
            <w:tcW w:w="6772" w:type="dxa"/>
            <w:tcBorders/>
            <w:shd w:fill="auto" w:val="clear"/>
            <w:vAlign w:val="center"/>
          </w:tcPr>
          <w:p>
            <w:pPr>
              <w:pStyle w:val="TableContents"/>
              <w:spacing w:before="0" w:after="0"/>
              <w:ind w:left="675" w:right="0" w:hanging="225"/>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14</w:t>
            </w:r>
          </w:p>
        </w:tc>
        <w:tc>
          <w:tcPr>
            <w:tcW w:w="6772" w:type="dxa"/>
            <w:tcBorders/>
            <w:shd w:fill="auto" w:val="clear"/>
            <w:vAlign w:val="bottom"/>
          </w:tcPr>
          <w:p>
            <w:pPr>
              <w:pStyle w:val="TableContents"/>
              <w:spacing w:before="0" w:after="0"/>
              <w:ind w:left="900" w:right="0" w:hanging="225"/>
              <w:rPr/>
            </w:pPr>
            <w:r>
              <w:rPr/>
              <w:t>Total current assets</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259,935</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174,106</w:t>
            </w:r>
          </w:p>
        </w:tc>
        <w:tc>
          <w:tcPr>
            <w:tcW w:w="118" w:type="dxa"/>
            <w:tcBorders/>
            <w:shd w:fill="auto"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15</w:t>
            </w:r>
          </w:p>
        </w:tc>
        <w:tc>
          <w:tcPr>
            <w:tcW w:w="6772" w:type="dxa"/>
            <w:tcBorders/>
            <w:shd w:fill="auto" w:val="clear"/>
            <w:vAlign w:val="bottom"/>
          </w:tcPr>
          <w:p>
            <w:pPr>
              <w:pStyle w:val="TableContents"/>
              <w:spacing w:before="0" w:after="0"/>
              <w:ind w:left="225" w:right="0" w:hanging="225"/>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16</w:t>
            </w:r>
          </w:p>
        </w:tc>
        <w:tc>
          <w:tcPr>
            <w:tcW w:w="6772" w:type="dxa"/>
            <w:tcBorders/>
            <w:shd w:fill="CCEEFF" w:val="clear"/>
            <w:vAlign w:val="bottom"/>
          </w:tcPr>
          <w:p>
            <w:pPr>
              <w:pStyle w:val="TableContents"/>
              <w:spacing w:before="0" w:after="0"/>
              <w:ind w:left="450" w:right="0" w:hanging="225"/>
              <w:rPr/>
            </w:pPr>
            <w:r>
              <w:rPr/>
              <w:t>Investment in unconsolidated affiliate</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34,784</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37,248</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17</w:t>
            </w:r>
          </w:p>
        </w:tc>
        <w:tc>
          <w:tcPr>
            <w:tcW w:w="6772" w:type="dxa"/>
            <w:tcBorders/>
            <w:shd w:fill="auto" w:val="clear"/>
            <w:vAlign w:val="bottom"/>
          </w:tcPr>
          <w:p>
            <w:pPr>
              <w:pStyle w:val="TableContents"/>
              <w:spacing w:before="0" w:after="0"/>
              <w:ind w:left="450" w:right="0" w:hanging="225"/>
              <w:rPr/>
            </w:pPr>
            <w:r>
              <w:rPr/>
              <w:t>Property and equipment, net</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49,752</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38,661</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18</w:t>
            </w:r>
          </w:p>
        </w:tc>
        <w:tc>
          <w:tcPr>
            <w:tcW w:w="6772" w:type="dxa"/>
            <w:tcBorders/>
            <w:shd w:fill="CCEEFF" w:val="clear"/>
            <w:vAlign w:val="bottom"/>
          </w:tcPr>
          <w:p>
            <w:pPr>
              <w:pStyle w:val="TableContents"/>
              <w:spacing w:before="0" w:after="0"/>
              <w:ind w:left="450" w:right="0" w:hanging="225"/>
              <w:rPr/>
            </w:pPr>
            <w:r>
              <w:rPr/>
              <w:t>Deferred tax asset, non-current</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9,090</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5,620</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19</w:t>
            </w:r>
          </w:p>
        </w:tc>
        <w:tc>
          <w:tcPr>
            <w:tcW w:w="6772" w:type="dxa"/>
            <w:tcBorders/>
            <w:shd w:fill="auto" w:val="clear"/>
            <w:vAlign w:val="bottom"/>
          </w:tcPr>
          <w:p>
            <w:pPr>
              <w:pStyle w:val="TableContents"/>
              <w:spacing w:before="0" w:after="0"/>
              <w:ind w:left="450" w:right="0" w:hanging="225"/>
              <w:rPr/>
            </w:pPr>
            <w:r>
              <w:rPr/>
              <w:t>Goodwill</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100,742</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24,779</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20</w:t>
            </w:r>
          </w:p>
        </w:tc>
        <w:tc>
          <w:tcPr>
            <w:tcW w:w="6772" w:type="dxa"/>
            <w:tcBorders/>
            <w:shd w:fill="CCEEFF" w:val="clear"/>
            <w:vAlign w:val="bottom"/>
          </w:tcPr>
          <w:p>
            <w:pPr>
              <w:pStyle w:val="TableContents"/>
              <w:spacing w:before="0" w:after="0"/>
              <w:ind w:left="450" w:right="0" w:hanging="225"/>
              <w:rPr/>
            </w:pPr>
            <w:r>
              <w:rPr/>
              <w:t>Other assets, net</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17,892</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5,585</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center"/>
          </w:tcPr>
          <w:p>
            <w:pPr>
              <w:pStyle w:val="TableContents"/>
              <w:spacing w:before="0" w:after="283"/>
              <w:rPr>
                <w:sz w:val="4"/>
                <w:szCs w:val="4"/>
              </w:rPr>
            </w:pPr>
            <w:r>
              <w:rPr>
                <w:sz w:val="4"/>
                <w:szCs w:val="4"/>
              </w:rPr>
            </w:r>
          </w:p>
        </w:tc>
        <w:tc>
          <w:tcPr>
            <w:tcW w:w="6772" w:type="dxa"/>
            <w:tcBorders/>
            <w:shd w:fill="auto" w:val="clear"/>
            <w:vAlign w:val="center"/>
          </w:tcPr>
          <w:p>
            <w:pPr>
              <w:pStyle w:val="TableContents"/>
              <w:spacing w:before="0" w:after="0"/>
              <w:ind w:left="675" w:right="0" w:hanging="225"/>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21</w:t>
            </w:r>
          </w:p>
        </w:tc>
        <w:tc>
          <w:tcPr>
            <w:tcW w:w="6772" w:type="dxa"/>
            <w:tcBorders/>
            <w:shd w:fill="auto" w:val="clear"/>
            <w:vAlign w:val="bottom"/>
          </w:tcPr>
          <w:p>
            <w:pPr>
              <w:pStyle w:val="TableContents"/>
              <w:spacing w:before="0" w:after="0"/>
              <w:ind w:left="900" w:right="0" w:hanging="225"/>
              <w:rPr/>
            </w:pPr>
            <w:r>
              <w:rPr/>
              <w:t>Total assets</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472,195</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285,999</w:t>
            </w:r>
          </w:p>
        </w:tc>
        <w:tc>
          <w:tcPr>
            <w:tcW w:w="118" w:type="dxa"/>
            <w:tcBorders/>
            <w:shd w:fill="auto" w:val="clear"/>
            <w:vAlign w:val="bottom"/>
          </w:tcPr>
          <w:p>
            <w:pPr>
              <w:pStyle w:val="TableContents"/>
              <w:spacing w:before="0" w:after="283"/>
              <w:rPr/>
            </w:pPr>
            <w:r>
              <w:rPr/>
              <w:t> </w:t>
            </w:r>
          </w:p>
        </w:tc>
      </w:tr>
      <w:tr>
        <w:trPr/>
        <w:tc>
          <w:tcPr>
            <w:tcW w:w="378" w:type="dxa"/>
            <w:tcBorders/>
            <w:shd w:fill="auto" w:val="clear"/>
            <w:vAlign w:val="center"/>
          </w:tcPr>
          <w:p>
            <w:pPr>
              <w:pStyle w:val="TableContents"/>
              <w:spacing w:before="0" w:after="283"/>
              <w:rPr>
                <w:sz w:val="4"/>
                <w:szCs w:val="4"/>
              </w:rPr>
            </w:pPr>
            <w:r>
              <w:rPr>
                <w:sz w:val="4"/>
                <w:szCs w:val="4"/>
              </w:rPr>
            </w:r>
          </w:p>
        </w:tc>
        <w:tc>
          <w:tcPr>
            <w:tcW w:w="6772"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22</w:t>
            </w:r>
          </w:p>
        </w:tc>
        <w:tc>
          <w:tcPr>
            <w:tcW w:w="6772" w:type="dxa"/>
            <w:tcBorders/>
            <w:shd w:fill="CCEEFF" w:val="clear"/>
            <w:vAlign w:val="bottom"/>
          </w:tcPr>
          <w:p>
            <w:pPr>
              <w:pStyle w:val="TableContents"/>
              <w:spacing w:before="0" w:after="0"/>
              <w:ind w:left="225" w:right="0" w:hanging="225"/>
              <w:rPr/>
            </w:pPr>
            <w:r>
              <w:rPr/>
              <w:t>Liabilities and stockholders equity:</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23</w:t>
            </w:r>
          </w:p>
        </w:tc>
        <w:tc>
          <w:tcPr>
            <w:tcW w:w="6772" w:type="dxa"/>
            <w:tcBorders/>
            <w:shd w:fill="auto" w:val="clear"/>
            <w:vAlign w:val="bottom"/>
          </w:tcPr>
          <w:p>
            <w:pPr>
              <w:pStyle w:val="TableContents"/>
              <w:spacing w:before="0" w:after="0"/>
              <w:ind w:left="450" w:right="0" w:hanging="225"/>
              <w:rPr/>
            </w:pPr>
            <w:r>
              <w:rPr/>
              <w:t>Current liabilities:</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24</w:t>
            </w:r>
          </w:p>
        </w:tc>
        <w:tc>
          <w:tcPr>
            <w:tcW w:w="6772" w:type="dxa"/>
            <w:tcBorders/>
            <w:shd w:fill="CCEEFF" w:val="clear"/>
            <w:vAlign w:val="bottom"/>
          </w:tcPr>
          <w:p>
            <w:pPr>
              <w:pStyle w:val="TableContents"/>
              <w:spacing w:before="0" w:after="0"/>
              <w:ind w:left="675" w:right="0" w:hanging="225"/>
              <w:rPr/>
            </w:pPr>
            <w:r>
              <w:rPr/>
              <w:t>Current maturities of long-term debt</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10,000</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25</w:t>
            </w:r>
          </w:p>
        </w:tc>
        <w:tc>
          <w:tcPr>
            <w:tcW w:w="6772" w:type="dxa"/>
            <w:tcBorders/>
            <w:shd w:fill="auto" w:val="clear"/>
            <w:vAlign w:val="bottom"/>
          </w:tcPr>
          <w:p>
            <w:pPr>
              <w:pStyle w:val="TableContents"/>
              <w:spacing w:before="0" w:after="0"/>
              <w:ind w:left="675" w:right="0" w:hanging="225"/>
              <w:rPr/>
            </w:pPr>
            <w:r>
              <w:rPr/>
              <w:t>Accounts payable and other accrued expenses</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33,958</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24,120</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26</w:t>
            </w:r>
          </w:p>
        </w:tc>
        <w:tc>
          <w:tcPr>
            <w:tcW w:w="6772" w:type="dxa"/>
            <w:tcBorders/>
            <w:shd w:fill="CCEEFF" w:val="clear"/>
            <w:vAlign w:val="bottom"/>
          </w:tcPr>
          <w:p>
            <w:pPr>
              <w:pStyle w:val="TableContents"/>
              <w:spacing w:before="0" w:after="0"/>
              <w:ind w:left="675" w:right="0" w:hanging="225"/>
              <w:rPr/>
            </w:pPr>
            <w:r>
              <w:rPr/>
              <w:t>Customer layaway deposits</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3,603</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2,254</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27</w:t>
            </w:r>
          </w:p>
        </w:tc>
        <w:tc>
          <w:tcPr>
            <w:tcW w:w="6772" w:type="dxa"/>
            <w:tcBorders/>
            <w:shd w:fill="auto" w:val="clear"/>
            <w:vAlign w:val="bottom"/>
          </w:tcPr>
          <w:p>
            <w:pPr>
              <w:pStyle w:val="TableContents"/>
              <w:spacing w:before="0" w:after="0"/>
              <w:ind w:left="675" w:right="0" w:hanging="225"/>
              <w:rPr/>
            </w:pPr>
            <w:r>
              <w:rPr/>
              <w:t>Federal income taxes payable</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1,988</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r>
      <w:tr>
        <w:trPr/>
        <w:tc>
          <w:tcPr>
            <w:tcW w:w="378" w:type="dxa"/>
            <w:tcBorders/>
            <w:shd w:fill="auto" w:val="clear"/>
            <w:vAlign w:val="center"/>
          </w:tcPr>
          <w:p>
            <w:pPr>
              <w:pStyle w:val="TableContents"/>
              <w:spacing w:before="0" w:after="283"/>
              <w:rPr>
                <w:sz w:val="4"/>
                <w:szCs w:val="4"/>
              </w:rPr>
            </w:pPr>
            <w:r>
              <w:rPr>
                <w:sz w:val="4"/>
                <w:szCs w:val="4"/>
              </w:rPr>
            </w:r>
          </w:p>
        </w:tc>
        <w:tc>
          <w:tcPr>
            <w:tcW w:w="6772" w:type="dxa"/>
            <w:tcBorders/>
            <w:shd w:fill="auto" w:val="clear"/>
            <w:vAlign w:val="center"/>
          </w:tcPr>
          <w:p>
            <w:pPr>
              <w:pStyle w:val="TableContents"/>
              <w:spacing w:before="0" w:after="0"/>
              <w:ind w:left="675" w:right="0" w:hanging="225"/>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28</w:t>
            </w:r>
          </w:p>
        </w:tc>
        <w:tc>
          <w:tcPr>
            <w:tcW w:w="6772" w:type="dxa"/>
            <w:tcBorders/>
            <w:shd w:fill="CCEEFF" w:val="clear"/>
            <w:vAlign w:val="bottom"/>
          </w:tcPr>
          <w:p>
            <w:pPr>
              <w:pStyle w:val="TableContents"/>
              <w:spacing w:before="0" w:after="0"/>
              <w:ind w:left="900" w:right="0" w:hanging="225"/>
              <w:rPr/>
            </w:pPr>
            <w:r>
              <w:rPr/>
              <w:t>Total current liabilities</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49,549</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26,374</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29</w:t>
            </w:r>
          </w:p>
        </w:tc>
        <w:tc>
          <w:tcPr>
            <w:tcW w:w="6772" w:type="dxa"/>
            <w:tcBorders/>
            <w:shd w:fill="auto" w:val="clear"/>
            <w:vAlign w:val="bottom"/>
          </w:tcPr>
          <w:p>
            <w:pPr>
              <w:pStyle w:val="TableContents"/>
              <w:spacing w:before="0" w:after="0"/>
              <w:ind w:left="225" w:right="0" w:hanging="225"/>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30</w:t>
            </w:r>
          </w:p>
        </w:tc>
        <w:tc>
          <w:tcPr>
            <w:tcW w:w="6772" w:type="dxa"/>
            <w:tcBorders/>
            <w:shd w:fill="auto" w:val="clear"/>
            <w:vAlign w:val="bottom"/>
          </w:tcPr>
          <w:p>
            <w:pPr>
              <w:pStyle w:val="TableContents"/>
              <w:spacing w:before="0" w:after="0"/>
              <w:ind w:left="450" w:right="0" w:hanging="225"/>
              <w:rPr/>
            </w:pPr>
            <w:r>
              <w:rPr/>
              <w:t>Long-term debt, less current maturities</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27,500</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31</w:t>
            </w:r>
          </w:p>
        </w:tc>
        <w:tc>
          <w:tcPr>
            <w:tcW w:w="6772" w:type="dxa"/>
            <w:tcBorders/>
            <w:shd w:fill="CCEEFF" w:val="clear"/>
            <w:vAlign w:val="bottom"/>
          </w:tcPr>
          <w:p>
            <w:pPr>
              <w:pStyle w:val="TableContents"/>
              <w:spacing w:before="0" w:after="0"/>
              <w:ind w:left="450" w:right="0" w:hanging="225"/>
              <w:rPr/>
            </w:pPr>
            <w:r>
              <w:rPr/>
              <w:t>Deferred gains and other long-term liabilities</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3,352</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2,909</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32</w:t>
            </w:r>
          </w:p>
        </w:tc>
        <w:tc>
          <w:tcPr>
            <w:tcW w:w="6772" w:type="dxa"/>
            <w:tcBorders/>
            <w:shd w:fill="auto" w:val="clear"/>
            <w:vAlign w:val="bottom"/>
          </w:tcPr>
          <w:p>
            <w:pPr>
              <w:pStyle w:val="TableContents"/>
              <w:spacing w:before="0" w:after="0"/>
              <w:ind w:left="450" w:right="0" w:hanging="225"/>
              <w:rPr/>
            </w:pPr>
            <w:r>
              <w:rPr/>
              <w:t>Total stockholders equity</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391,794</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256,716</w:t>
            </w:r>
          </w:p>
        </w:tc>
        <w:tc>
          <w:tcPr>
            <w:tcW w:w="118" w:type="dxa"/>
            <w:tcBorders/>
            <w:shd w:fill="auto" w:val="clear"/>
            <w:vAlign w:val="bottom"/>
          </w:tcPr>
          <w:p>
            <w:pPr>
              <w:pStyle w:val="TableContents"/>
              <w:spacing w:before="0" w:after="283"/>
              <w:rPr/>
            </w:pPr>
            <w:r>
              <w:rPr/>
              <w:t> </w:t>
            </w:r>
          </w:p>
        </w:tc>
      </w:tr>
      <w:tr>
        <w:trPr/>
        <w:tc>
          <w:tcPr>
            <w:tcW w:w="378" w:type="dxa"/>
            <w:tcBorders/>
            <w:shd w:fill="auto" w:val="clear"/>
            <w:vAlign w:val="center"/>
          </w:tcPr>
          <w:p>
            <w:pPr>
              <w:pStyle w:val="TableContents"/>
              <w:spacing w:before="0" w:after="283"/>
              <w:rPr>
                <w:sz w:val="4"/>
                <w:szCs w:val="4"/>
              </w:rPr>
            </w:pPr>
            <w:r>
              <w:rPr>
                <w:sz w:val="4"/>
                <w:szCs w:val="4"/>
              </w:rPr>
            </w:r>
          </w:p>
        </w:tc>
        <w:tc>
          <w:tcPr>
            <w:tcW w:w="6772"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33</w:t>
            </w:r>
          </w:p>
        </w:tc>
        <w:tc>
          <w:tcPr>
            <w:tcW w:w="6772" w:type="dxa"/>
            <w:tcBorders/>
            <w:shd w:fill="CCEEFF" w:val="clear"/>
            <w:vAlign w:val="bottom"/>
          </w:tcPr>
          <w:p>
            <w:pPr>
              <w:pStyle w:val="TableContents"/>
              <w:spacing w:before="0" w:after="0"/>
              <w:ind w:left="900" w:right="0" w:hanging="225"/>
              <w:rPr/>
            </w:pPr>
            <w:r>
              <w:rPr/>
              <w:t>Total liabilities and stockholders equity</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472,195</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285,999</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center"/>
          </w:tcPr>
          <w:p>
            <w:pPr>
              <w:pStyle w:val="TableContents"/>
              <w:spacing w:before="0" w:after="283"/>
              <w:rPr>
                <w:sz w:val="4"/>
                <w:szCs w:val="4"/>
              </w:rPr>
            </w:pPr>
            <w:r>
              <w:rPr>
                <w:sz w:val="4"/>
                <w:szCs w:val="4"/>
              </w:rPr>
            </w:r>
          </w:p>
        </w:tc>
        <w:tc>
          <w:tcPr>
            <w:tcW w:w="6772"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9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34</w:t>
            </w:r>
          </w:p>
        </w:tc>
        <w:tc>
          <w:tcPr>
            <w:tcW w:w="6772" w:type="dxa"/>
            <w:tcBorders/>
            <w:shd w:fill="auto" w:val="clear"/>
            <w:vAlign w:val="bottom"/>
          </w:tcPr>
          <w:p>
            <w:pPr>
              <w:pStyle w:val="TableContents"/>
              <w:spacing w:before="0" w:after="0"/>
              <w:ind w:left="225" w:right="0" w:hanging="225"/>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35</w:t>
            </w:r>
          </w:p>
        </w:tc>
        <w:tc>
          <w:tcPr>
            <w:tcW w:w="6772" w:type="dxa"/>
            <w:tcBorders/>
            <w:shd w:fill="auto" w:val="clear"/>
            <w:vAlign w:val="bottom"/>
          </w:tcPr>
          <w:p>
            <w:pPr>
              <w:pStyle w:val="TableContents"/>
              <w:spacing w:before="0" w:after="0"/>
              <w:ind w:left="225" w:right="0" w:hanging="225"/>
              <w:rPr/>
            </w:pPr>
            <w:r>
              <w:rPr/>
              <w:t>Pawn loan balance per ending pawn store</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227</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210</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36</w:t>
            </w:r>
          </w:p>
        </w:tc>
        <w:tc>
          <w:tcPr>
            <w:tcW w:w="6772" w:type="dxa"/>
            <w:tcBorders/>
            <w:shd w:fill="CCEEFF" w:val="clear"/>
            <w:vAlign w:val="bottom"/>
          </w:tcPr>
          <w:p>
            <w:pPr>
              <w:pStyle w:val="TableContents"/>
              <w:spacing w:before="0" w:after="0"/>
              <w:ind w:left="225" w:right="0" w:hanging="225"/>
              <w:rPr/>
            </w:pPr>
            <w:r>
              <w:rPr/>
              <w:t>Inventory per ending pawn store</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137</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122</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37</w:t>
            </w:r>
          </w:p>
        </w:tc>
        <w:tc>
          <w:tcPr>
            <w:tcW w:w="6772" w:type="dxa"/>
            <w:tcBorders/>
            <w:shd w:fill="auto" w:val="clear"/>
            <w:vAlign w:val="bottom"/>
          </w:tcPr>
          <w:p>
            <w:pPr>
              <w:pStyle w:val="TableContents"/>
              <w:spacing w:before="0" w:after="0"/>
              <w:ind w:left="225" w:right="0" w:hanging="225"/>
              <w:rPr/>
            </w:pPr>
            <w:r>
              <w:rPr/>
              <w:t>Book value per share</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8.05</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6.19</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38</w:t>
            </w:r>
          </w:p>
        </w:tc>
        <w:tc>
          <w:tcPr>
            <w:tcW w:w="6772" w:type="dxa"/>
            <w:tcBorders/>
            <w:shd w:fill="CCEEFF" w:val="clear"/>
            <w:vAlign w:val="bottom"/>
          </w:tcPr>
          <w:p>
            <w:pPr>
              <w:pStyle w:val="TableContents"/>
              <w:spacing w:before="0" w:after="0"/>
              <w:ind w:left="225" w:right="0" w:hanging="225"/>
              <w:rPr/>
            </w:pPr>
            <w:r>
              <w:rPr/>
              <w:t>Tangible book value per share</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5.65</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5.50</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39</w:t>
            </w:r>
          </w:p>
        </w:tc>
        <w:tc>
          <w:tcPr>
            <w:tcW w:w="6772" w:type="dxa"/>
            <w:tcBorders/>
            <w:shd w:fill="auto" w:val="clear"/>
            <w:vAlign w:val="bottom"/>
          </w:tcPr>
          <w:p>
            <w:pPr>
              <w:pStyle w:val="TableContents"/>
              <w:spacing w:before="0" w:after="0"/>
              <w:ind w:left="225" w:right="0" w:hanging="225"/>
              <w:rPr/>
            </w:pPr>
            <w:r>
              <w:rPr/>
              <w:t>Pawn store count  end of period</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417</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324</w:t>
            </w:r>
          </w:p>
        </w:tc>
        <w:tc>
          <w:tcPr>
            <w:tcW w:w="118" w:type="dxa"/>
            <w:tcBorders/>
            <w:shd w:fill="auto" w:val="clear"/>
            <w:vAlign w:val="bottom"/>
          </w:tcPr>
          <w:p>
            <w:pPr>
              <w:pStyle w:val="TableContents"/>
              <w:spacing w:before="0" w:after="283"/>
              <w:rPr/>
            </w:pPr>
            <w:r>
              <w:rPr/>
              <w:t> </w:t>
            </w:r>
          </w:p>
        </w:tc>
      </w:tr>
      <w:tr>
        <w:trPr/>
        <w:tc>
          <w:tcPr>
            <w:tcW w:w="378" w:type="dxa"/>
            <w:tcBorders/>
            <w:shd w:fill="CCEEFF" w:val="clear"/>
            <w:vAlign w:val="bottom"/>
          </w:tcPr>
          <w:p>
            <w:pPr>
              <w:pStyle w:val="TableContents"/>
              <w:spacing w:before="0" w:after="283"/>
              <w:rPr/>
            </w:pPr>
            <w:r>
              <w:rPr/>
              <w:t>40</w:t>
            </w:r>
          </w:p>
        </w:tc>
        <w:tc>
          <w:tcPr>
            <w:tcW w:w="6772" w:type="dxa"/>
            <w:tcBorders/>
            <w:shd w:fill="CCEEFF" w:val="clear"/>
            <w:vAlign w:val="bottom"/>
          </w:tcPr>
          <w:p>
            <w:pPr>
              <w:pStyle w:val="TableContents"/>
              <w:spacing w:before="0" w:after="0"/>
              <w:ind w:left="225" w:right="0" w:hanging="225"/>
              <w:rPr/>
            </w:pPr>
            <w:r>
              <w:rPr/>
              <w:t>Signature loan store count  end of period</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480</w:t>
            </w:r>
          </w:p>
        </w:tc>
        <w:tc>
          <w:tcPr>
            <w:tcW w:w="113"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461</w:t>
            </w:r>
          </w:p>
        </w:tc>
        <w:tc>
          <w:tcPr>
            <w:tcW w:w="118" w:type="dxa"/>
            <w:tcBorders/>
            <w:shd w:fill="CCEEFF"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rPr/>
            </w:pPr>
            <w:r>
              <w:rPr/>
              <w:t>41</w:t>
            </w:r>
          </w:p>
        </w:tc>
        <w:tc>
          <w:tcPr>
            <w:tcW w:w="6772" w:type="dxa"/>
            <w:tcBorders/>
            <w:shd w:fill="auto" w:val="clear"/>
            <w:vAlign w:val="bottom"/>
          </w:tcPr>
          <w:p>
            <w:pPr>
              <w:pStyle w:val="TableContents"/>
              <w:spacing w:before="0" w:after="0"/>
              <w:ind w:left="225" w:right="0" w:hanging="225"/>
              <w:rPr/>
            </w:pPr>
            <w:r>
              <w:rPr/>
              <w:t>Shares outstanding  end of period</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48,652</w:t>
            </w:r>
          </w:p>
        </w:tc>
        <w:tc>
          <w:tcPr>
            <w:tcW w:w="1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41,441</w:t>
            </w:r>
          </w:p>
        </w:tc>
        <w:tc>
          <w:tcPr>
            <w:tcW w:w="118"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Page 5 of 7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Operating Segment Results (Unaudited)</w:t>
      </w:r>
      <w:r>
        <w:rPr>
          <w:rFonts w:ascii="Times New Roman;Times;serif" w:hAnsi="Times New Roman;Times;serif"/>
          <w:sz w:val="17"/>
        </w:rPr>
        <w:br/>
      </w:r>
      <w:r>
        <w:rPr>
          <w:rFonts w:ascii="Times New Roman;Times;serif" w:hAnsi="Times New Roman;Times;serif"/>
          <w:i/>
          <w:sz w:val="17"/>
        </w:rPr>
        <w:t>(in thousands, except store counts)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69"/>
        <w:gridCol w:w="3188"/>
        <w:gridCol w:w="289"/>
        <w:gridCol w:w="195"/>
        <w:gridCol w:w="1093"/>
        <w:gridCol w:w="99"/>
        <w:gridCol w:w="289"/>
        <w:gridCol w:w="201"/>
        <w:gridCol w:w="851"/>
        <w:gridCol w:w="98"/>
        <w:gridCol w:w="289"/>
        <w:gridCol w:w="238"/>
        <w:gridCol w:w="1169"/>
        <w:gridCol w:w="99"/>
        <w:gridCol w:w="289"/>
        <w:gridCol w:w="223"/>
        <w:gridCol w:w="1155"/>
        <w:gridCol w:w="71"/>
      </w:tblGrid>
      <w:tr>
        <w:trPr/>
        <w:tc>
          <w:tcPr>
            <w:tcW w:w="369" w:type="dxa"/>
            <w:tcBorders/>
            <w:shd w:fill="auto" w:val="clear"/>
            <w:vAlign w:val="bottom"/>
          </w:tcPr>
          <w:p>
            <w:pPr>
              <w:pStyle w:val="TableContents"/>
              <w:spacing w:before="0" w:after="283"/>
              <w:rPr>
                <w:sz w:val="4"/>
                <w:szCs w:val="4"/>
              </w:rPr>
            </w:pPr>
            <w:r>
              <w:rPr>
                <w:sz w:val="4"/>
                <w:szCs w:val="4"/>
              </w:rPr>
            </w:r>
          </w:p>
        </w:tc>
        <w:tc>
          <w:tcPr>
            <w:tcW w:w="318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sz w:val="4"/>
                <w:szCs w:val="4"/>
              </w:rPr>
            </w:pPr>
            <w:r>
              <w:rPr>
                <w:sz w:val="4"/>
                <w:szCs w:val="4"/>
              </w:rPr>
            </w:r>
          </w:p>
        </w:tc>
        <w:tc>
          <w:tcPr>
            <w:tcW w:w="318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88" w:type="dxa"/>
            <w:gridSpan w:val="2"/>
            <w:tcBorders/>
            <w:shd w:fill="auto" w:val="clear"/>
            <w:vAlign w:val="bottom"/>
          </w:tcPr>
          <w:p>
            <w:pPr>
              <w:pStyle w:val="TableContents"/>
              <w:spacing w:before="0" w:after="283"/>
              <w:jc w:val="center"/>
              <w:rPr>
                <w:b/>
              </w:rPr>
            </w:pPr>
            <w:r>
              <w:rPr>
                <w:b/>
              </w:rPr>
              <w:t>U.S. Pawn</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52" w:type="dxa"/>
            <w:gridSpan w:val="2"/>
            <w:tcBorders/>
            <w:shd w:fill="auto" w:val="clear"/>
            <w:vAlign w:val="bottom"/>
          </w:tcPr>
          <w:p>
            <w:pPr>
              <w:pStyle w:val="TableContents"/>
              <w:spacing w:before="0" w:after="283"/>
              <w:jc w:val="center"/>
              <w:rPr>
                <w:b/>
              </w:rPr>
            </w:pPr>
            <w:r>
              <w:rPr>
                <w:b/>
              </w:rPr>
              <w:t>Empeño</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07" w:type="dxa"/>
            <w:gridSpan w:val="2"/>
            <w:tcBorders/>
            <w:shd w:fill="auto" w:val="clear"/>
            <w:vAlign w:val="bottom"/>
          </w:tcPr>
          <w:p>
            <w:pPr>
              <w:pStyle w:val="TableContents"/>
              <w:spacing w:before="0" w:after="283"/>
              <w:jc w:val="center"/>
              <w:rPr>
                <w:b/>
              </w:rPr>
            </w:pPr>
            <w:r>
              <w:rPr>
                <w:b/>
              </w:rPr>
              <w:t>EZMONEY</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378" w:type="dxa"/>
            <w:gridSpan w:val="2"/>
            <w:tcBorders/>
            <w:shd w:fill="auto" w:val="clear"/>
            <w:vAlign w:val="bottom"/>
          </w:tcPr>
          <w:p>
            <w:pPr>
              <w:pStyle w:val="TableContents"/>
              <w:spacing w:before="0" w:after="283"/>
              <w:jc w:val="center"/>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sz w:val="4"/>
                <w:szCs w:val="4"/>
              </w:rPr>
            </w:pPr>
            <w:r>
              <w:rPr>
                <w:sz w:val="4"/>
                <w:szCs w:val="4"/>
              </w:rPr>
            </w:r>
          </w:p>
        </w:tc>
        <w:tc>
          <w:tcPr>
            <w:tcW w:w="318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Fácil</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37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sz w:val="4"/>
                <w:szCs w:val="4"/>
              </w:rPr>
            </w:pPr>
            <w:r>
              <w:rPr>
                <w:sz w:val="4"/>
                <w:szCs w:val="4"/>
              </w:rPr>
            </w:r>
          </w:p>
        </w:tc>
        <w:tc>
          <w:tcPr>
            <w:tcW w:w="3188" w:type="dxa"/>
            <w:tcBorders/>
            <w:shd w:fill="CCEEFF" w:val="clear"/>
            <w:vAlign w:val="bottom"/>
          </w:tcPr>
          <w:p>
            <w:pPr>
              <w:pStyle w:val="TableContents"/>
              <w:spacing w:before="0" w:after="0"/>
              <w:ind w:left="225" w:right="0" w:hanging="225"/>
              <w:rPr>
                <w:b/>
              </w:rPr>
            </w:pPr>
            <w:r>
              <w:rPr>
                <w:b/>
              </w:rPr>
              <w:t>Three months ended June 30, 2009:</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w:t>
            </w:r>
          </w:p>
        </w:tc>
        <w:tc>
          <w:tcPr>
            <w:tcW w:w="3188" w:type="dxa"/>
            <w:tcBorders/>
            <w:shd w:fill="auto" w:val="clear"/>
            <w:vAlign w:val="bottom"/>
          </w:tcPr>
          <w:p>
            <w:pPr>
              <w:pStyle w:val="TableContents"/>
              <w:spacing w:before="0" w:after="0"/>
              <w:ind w:left="450" w:right="0" w:hanging="225"/>
              <w:rPr/>
            </w:pPr>
            <w:r>
              <w:rPr/>
              <w:t>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w:t>
            </w:r>
          </w:p>
        </w:tc>
        <w:tc>
          <w:tcPr>
            <w:tcW w:w="3188" w:type="dxa"/>
            <w:tcBorders/>
            <w:shd w:fill="CCEEFF" w:val="clear"/>
            <w:vAlign w:val="bottom"/>
          </w:tcPr>
          <w:p>
            <w:pPr>
              <w:pStyle w:val="TableContents"/>
              <w:spacing w:before="0" w:after="0"/>
              <w:ind w:left="675" w:right="0" w:hanging="225"/>
              <w:rPr/>
            </w:pPr>
            <w:r>
              <w:rPr/>
              <w:t>Sales</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78,519</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851" w:type="dxa"/>
            <w:tcBorders/>
            <w:shd w:fill="CCEEFF" w:val="clear"/>
            <w:vAlign w:val="bottom"/>
          </w:tcPr>
          <w:p>
            <w:pPr>
              <w:pStyle w:val="TableContents"/>
              <w:spacing w:before="0" w:after="283"/>
              <w:jc w:val="right"/>
              <w:rPr/>
            </w:pPr>
            <w:r>
              <w:rPr/>
              <w:t>2,790</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155" w:type="dxa"/>
            <w:tcBorders/>
            <w:shd w:fill="CCEEFF" w:val="clear"/>
            <w:vAlign w:val="bottom"/>
          </w:tcPr>
          <w:p>
            <w:pPr>
              <w:pStyle w:val="TableContents"/>
              <w:spacing w:before="0" w:after="283"/>
              <w:jc w:val="right"/>
              <w:rPr/>
            </w:pPr>
            <w:r>
              <w:rPr/>
              <w:t>81,309</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w:t>
            </w:r>
          </w:p>
        </w:tc>
        <w:tc>
          <w:tcPr>
            <w:tcW w:w="3188" w:type="dxa"/>
            <w:tcBorders/>
            <w:shd w:fill="auto" w:val="clear"/>
            <w:vAlign w:val="bottom"/>
          </w:tcPr>
          <w:p>
            <w:pPr>
              <w:pStyle w:val="TableContents"/>
              <w:spacing w:before="0" w:after="0"/>
              <w:ind w:left="675" w:right="0" w:hanging="225"/>
              <w:rPr/>
            </w:pPr>
            <w:r>
              <w:rPr/>
              <w:t>Pawn service charges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31,409</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1,471</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32,880</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4</w:t>
            </w:r>
          </w:p>
        </w:tc>
        <w:tc>
          <w:tcPr>
            <w:tcW w:w="3188" w:type="dxa"/>
            <w:tcBorders/>
            <w:shd w:fill="CCEEFF" w:val="clear"/>
            <w:vAlign w:val="bottom"/>
          </w:tcPr>
          <w:p>
            <w:pPr>
              <w:pStyle w:val="TableContents"/>
              <w:spacing w:before="0" w:after="0"/>
              <w:ind w:left="675" w:right="0" w:hanging="225"/>
              <w:rPr/>
            </w:pPr>
            <w:r>
              <w:rPr/>
              <w:t>Signature loan fees</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523</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30,292</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30,815</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5</w:t>
            </w:r>
          </w:p>
        </w:tc>
        <w:tc>
          <w:tcPr>
            <w:tcW w:w="3188" w:type="dxa"/>
            <w:tcBorders/>
            <w:shd w:fill="auto" w:val="clear"/>
            <w:vAlign w:val="bottom"/>
          </w:tcPr>
          <w:p>
            <w:pPr>
              <w:pStyle w:val="TableContents"/>
              <w:spacing w:before="0" w:after="0"/>
              <w:ind w:left="675" w:right="0" w:hanging="225"/>
              <w:rPr/>
            </w:pPr>
            <w:r>
              <w:rPr/>
              <w:t>Auto title loan fees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430</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600</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1,030</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6</w:t>
            </w:r>
          </w:p>
        </w:tc>
        <w:tc>
          <w:tcPr>
            <w:tcW w:w="3188" w:type="dxa"/>
            <w:tcBorders/>
            <w:shd w:fill="CCEEFF" w:val="clear"/>
            <w:vAlign w:val="bottom"/>
          </w:tcPr>
          <w:p>
            <w:pPr>
              <w:pStyle w:val="TableContents"/>
              <w:spacing w:before="0" w:after="0"/>
              <w:ind w:left="675" w:right="0" w:hanging="225"/>
              <w:rPr/>
            </w:pPr>
            <w:r>
              <w:rPr/>
              <w:t>Other</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1,706</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34</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1,740</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7</w:t>
            </w:r>
          </w:p>
        </w:tc>
        <w:tc>
          <w:tcPr>
            <w:tcW w:w="3188" w:type="dxa"/>
            <w:tcBorders/>
            <w:shd w:fill="auto" w:val="clear"/>
            <w:vAlign w:val="bottom"/>
          </w:tcPr>
          <w:p>
            <w:pPr>
              <w:pStyle w:val="TableContents"/>
              <w:spacing w:before="0" w:after="0"/>
              <w:ind w:left="900" w:right="0" w:hanging="225"/>
              <w:rPr/>
            </w:pPr>
            <w:r>
              <w:rPr/>
              <w:t>Total 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112,587</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4,295</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30,892</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147,774</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8</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9</w:t>
            </w:r>
          </w:p>
        </w:tc>
        <w:tc>
          <w:tcPr>
            <w:tcW w:w="3188" w:type="dxa"/>
            <w:tcBorders/>
            <w:shd w:fill="CCEEFF" w:val="clear"/>
            <w:vAlign w:val="bottom"/>
          </w:tcPr>
          <w:p>
            <w:pPr>
              <w:pStyle w:val="TableContents"/>
              <w:spacing w:before="0" w:after="0"/>
              <w:ind w:left="450" w:right="0" w:hanging="225"/>
              <w:rPr/>
            </w:pPr>
            <w:r>
              <w:rPr/>
              <w:t>Cost of goods sold</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49,157</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1,808</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50,965</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10</w:t>
            </w:r>
          </w:p>
        </w:tc>
        <w:tc>
          <w:tcPr>
            <w:tcW w:w="3188" w:type="dxa"/>
            <w:tcBorders/>
            <w:shd w:fill="auto" w:val="clear"/>
            <w:vAlign w:val="bottom"/>
          </w:tcPr>
          <w:p>
            <w:pPr>
              <w:pStyle w:val="TableContents"/>
              <w:spacing w:before="0" w:after="0"/>
              <w:ind w:left="450" w:right="0" w:hanging="225"/>
              <w:rPr/>
            </w:pPr>
            <w:r>
              <w:rPr/>
              <w:t>Signature loan bad debt</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237</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8,381</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8,618</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11</w:t>
            </w:r>
          </w:p>
        </w:tc>
        <w:tc>
          <w:tcPr>
            <w:tcW w:w="3188" w:type="dxa"/>
            <w:tcBorders/>
            <w:shd w:fill="CCEEFF" w:val="clear"/>
            <w:vAlign w:val="bottom"/>
          </w:tcPr>
          <w:p>
            <w:pPr>
              <w:pStyle w:val="TableContents"/>
              <w:spacing w:before="0" w:after="0"/>
              <w:ind w:left="450" w:right="0" w:hanging="225"/>
              <w:rPr/>
            </w:pPr>
            <w:r>
              <w:rPr/>
              <w:t>Auto title loan bad debt</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30</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74</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104</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12</w:t>
            </w:r>
          </w:p>
        </w:tc>
        <w:tc>
          <w:tcPr>
            <w:tcW w:w="3188" w:type="dxa"/>
            <w:tcBorders/>
            <w:shd w:fill="auto" w:val="clear"/>
            <w:vAlign w:val="bottom"/>
          </w:tcPr>
          <w:p>
            <w:pPr>
              <w:pStyle w:val="TableContents"/>
              <w:spacing w:before="0" w:after="0"/>
              <w:ind w:left="900" w:right="0" w:hanging="225"/>
              <w:rPr/>
            </w:pPr>
            <w:r>
              <w:rPr/>
              <w:t>Net 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63,163</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2,487</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22,437</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88,087</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13</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14</w:t>
            </w:r>
          </w:p>
        </w:tc>
        <w:tc>
          <w:tcPr>
            <w:tcW w:w="3188" w:type="dxa"/>
            <w:tcBorders/>
            <w:shd w:fill="CCEEFF" w:val="clear"/>
            <w:vAlign w:val="bottom"/>
          </w:tcPr>
          <w:p>
            <w:pPr>
              <w:pStyle w:val="TableContents"/>
              <w:spacing w:before="0" w:after="0"/>
              <w:ind w:left="450" w:right="0" w:hanging="225"/>
              <w:rPr/>
            </w:pPr>
            <w:r>
              <w:rPr/>
              <w:t>Operations expense</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37,719</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1,441</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14,673</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53,833</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15</w:t>
            </w:r>
          </w:p>
        </w:tc>
        <w:tc>
          <w:tcPr>
            <w:tcW w:w="3188" w:type="dxa"/>
            <w:tcBorders/>
            <w:shd w:fill="auto" w:val="clear"/>
            <w:vAlign w:val="bottom"/>
          </w:tcPr>
          <w:p>
            <w:pPr>
              <w:pStyle w:val="TableContents"/>
              <w:spacing w:before="0" w:after="0"/>
              <w:ind w:left="900" w:right="0" w:hanging="225"/>
              <w:rPr/>
            </w:pPr>
            <w:r>
              <w:rPr/>
              <w:t>Store operating income</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93" w:type="dxa"/>
            <w:tcBorders/>
            <w:shd w:fill="auto" w:val="clear"/>
            <w:vAlign w:val="bottom"/>
          </w:tcPr>
          <w:p>
            <w:pPr>
              <w:pStyle w:val="TableContents"/>
              <w:spacing w:before="0" w:after="283"/>
              <w:jc w:val="right"/>
              <w:rPr/>
            </w:pPr>
            <w:r>
              <w:rPr/>
              <w:t>25,444</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851" w:type="dxa"/>
            <w:tcBorders/>
            <w:shd w:fill="auto" w:val="clear"/>
            <w:vAlign w:val="bottom"/>
          </w:tcPr>
          <w:p>
            <w:pPr>
              <w:pStyle w:val="TableContents"/>
              <w:spacing w:before="0" w:after="283"/>
              <w:jc w:val="right"/>
              <w:rPr/>
            </w:pPr>
            <w:r>
              <w:rPr/>
              <w:t>1,046</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7,764</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155" w:type="dxa"/>
            <w:tcBorders/>
            <w:shd w:fill="auto" w:val="clear"/>
            <w:vAlign w:val="bottom"/>
          </w:tcPr>
          <w:p>
            <w:pPr>
              <w:pStyle w:val="TableContents"/>
              <w:spacing w:before="0" w:after="283"/>
              <w:jc w:val="right"/>
              <w:rPr/>
            </w:pPr>
            <w:r>
              <w:rPr/>
              <w:t>34,254</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16</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17</w:t>
            </w:r>
          </w:p>
        </w:tc>
        <w:tc>
          <w:tcPr>
            <w:tcW w:w="3188" w:type="dxa"/>
            <w:tcBorders/>
            <w:shd w:fill="CCEEFF" w:val="clear"/>
            <w:vAlign w:val="bottom"/>
          </w:tcPr>
          <w:p>
            <w:pPr>
              <w:pStyle w:val="TableContents"/>
              <w:spacing w:before="0" w:after="0"/>
              <w:ind w:left="450" w:right="0" w:hanging="225"/>
              <w:rPr/>
            </w:pPr>
            <w:r>
              <w:rPr/>
              <w:t>Pawn store count  end of period</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370</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47</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417</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18</w:t>
            </w:r>
          </w:p>
        </w:tc>
        <w:tc>
          <w:tcPr>
            <w:tcW w:w="3188" w:type="dxa"/>
            <w:tcBorders/>
            <w:shd w:fill="auto" w:val="clear"/>
            <w:vAlign w:val="bottom"/>
          </w:tcPr>
          <w:p>
            <w:pPr>
              <w:pStyle w:val="TableContents"/>
              <w:spacing w:before="0" w:after="0"/>
              <w:ind w:left="450" w:right="0" w:hanging="225"/>
              <w:rPr/>
            </w:pPr>
            <w:r>
              <w:rPr/>
              <w:t>Signature loan store count  end of period</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6</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474</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480</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19</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20</w:t>
            </w:r>
          </w:p>
        </w:tc>
        <w:tc>
          <w:tcPr>
            <w:tcW w:w="3188" w:type="dxa"/>
            <w:tcBorders/>
            <w:shd w:fill="CCEEFF" w:val="clear"/>
            <w:vAlign w:val="bottom"/>
          </w:tcPr>
          <w:p>
            <w:pPr>
              <w:pStyle w:val="TableContents"/>
              <w:spacing w:before="0" w:after="0"/>
              <w:ind w:left="225" w:right="0" w:hanging="225"/>
              <w:rPr>
                <w:b/>
              </w:rPr>
            </w:pPr>
            <w:r>
              <w:rPr>
                <w:b/>
              </w:rPr>
              <w:t>Three months ended June 30, 2008:</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21</w:t>
            </w:r>
          </w:p>
        </w:tc>
        <w:tc>
          <w:tcPr>
            <w:tcW w:w="3188" w:type="dxa"/>
            <w:tcBorders/>
            <w:shd w:fill="auto" w:val="clear"/>
            <w:vAlign w:val="bottom"/>
          </w:tcPr>
          <w:p>
            <w:pPr>
              <w:pStyle w:val="TableContents"/>
              <w:spacing w:before="0" w:after="0"/>
              <w:ind w:left="450" w:right="0" w:hanging="225"/>
              <w:rPr/>
            </w:pPr>
            <w:r>
              <w:rPr/>
              <w:t>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22</w:t>
            </w:r>
          </w:p>
        </w:tc>
        <w:tc>
          <w:tcPr>
            <w:tcW w:w="3188" w:type="dxa"/>
            <w:tcBorders/>
            <w:shd w:fill="CCEEFF" w:val="clear"/>
            <w:vAlign w:val="bottom"/>
          </w:tcPr>
          <w:p>
            <w:pPr>
              <w:pStyle w:val="TableContents"/>
              <w:spacing w:before="0" w:after="0"/>
              <w:ind w:left="675" w:right="0" w:hanging="225"/>
              <w:rPr/>
            </w:pPr>
            <w:r>
              <w:rPr/>
              <w:t>Sales</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51,799</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851" w:type="dxa"/>
            <w:tcBorders/>
            <w:shd w:fill="CCEEFF" w:val="clear"/>
            <w:vAlign w:val="bottom"/>
          </w:tcPr>
          <w:p>
            <w:pPr>
              <w:pStyle w:val="TableContents"/>
              <w:spacing w:before="0" w:after="283"/>
              <w:jc w:val="right"/>
              <w:rPr/>
            </w:pPr>
            <w:r>
              <w:rPr/>
              <w:t>1,836</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155" w:type="dxa"/>
            <w:tcBorders/>
            <w:shd w:fill="CCEEFF" w:val="clear"/>
            <w:vAlign w:val="bottom"/>
          </w:tcPr>
          <w:p>
            <w:pPr>
              <w:pStyle w:val="TableContents"/>
              <w:spacing w:before="0" w:after="283"/>
              <w:jc w:val="right"/>
              <w:rPr/>
            </w:pPr>
            <w:r>
              <w:rPr/>
              <w:t>53,635</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23</w:t>
            </w:r>
          </w:p>
        </w:tc>
        <w:tc>
          <w:tcPr>
            <w:tcW w:w="3188" w:type="dxa"/>
            <w:tcBorders/>
            <w:shd w:fill="auto" w:val="clear"/>
            <w:vAlign w:val="bottom"/>
          </w:tcPr>
          <w:p>
            <w:pPr>
              <w:pStyle w:val="TableContents"/>
              <w:spacing w:before="0" w:after="0"/>
              <w:ind w:left="675" w:right="0" w:hanging="225"/>
              <w:rPr/>
            </w:pPr>
            <w:r>
              <w:rPr/>
              <w:t>Pawn service charges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21,378</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1,313</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22,691</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24</w:t>
            </w:r>
          </w:p>
        </w:tc>
        <w:tc>
          <w:tcPr>
            <w:tcW w:w="3188" w:type="dxa"/>
            <w:tcBorders/>
            <w:shd w:fill="CCEEFF" w:val="clear"/>
            <w:vAlign w:val="bottom"/>
          </w:tcPr>
          <w:p>
            <w:pPr>
              <w:pStyle w:val="TableContents"/>
              <w:spacing w:before="0" w:after="0"/>
              <w:ind w:left="675" w:right="0" w:hanging="225"/>
              <w:rPr/>
            </w:pPr>
            <w:r>
              <w:rPr/>
              <w:t>Signature loan fees</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650</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30,573</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31,223</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25</w:t>
            </w:r>
          </w:p>
        </w:tc>
        <w:tc>
          <w:tcPr>
            <w:tcW w:w="3188" w:type="dxa"/>
            <w:tcBorders/>
            <w:shd w:fill="auto" w:val="clear"/>
            <w:vAlign w:val="bottom"/>
          </w:tcPr>
          <w:p>
            <w:pPr>
              <w:pStyle w:val="TableContents"/>
              <w:spacing w:before="0" w:after="0"/>
              <w:ind w:left="675" w:right="0" w:hanging="225"/>
              <w:rPr/>
            </w:pPr>
            <w:r>
              <w:rPr/>
              <w:t>Auto title loan fees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26</w:t>
            </w:r>
          </w:p>
        </w:tc>
        <w:tc>
          <w:tcPr>
            <w:tcW w:w="3188" w:type="dxa"/>
            <w:tcBorders/>
            <w:shd w:fill="CCEEFF" w:val="clear"/>
            <w:vAlign w:val="bottom"/>
          </w:tcPr>
          <w:p>
            <w:pPr>
              <w:pStyle w:val="TableContents"/>
              <w:spacing w:before="0" w:after="0"/>
              <w:ind w:left="675" w:right="0" w:hanging="225"/>
              <w:rPr/>
            </w:pPr>
            <w:r>
              <w:rPr/>
              <w:t>Other</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521</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521</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27</w:t>
            </w:r>
          </w:p>
        </w:tc>
        <w:tc>
          <w:tcPr>
            <w:tcW w:w="3188" w:type="dxa"/>
            <w:tcBorders/>
            <w:shd w:fill="auto" w:val="clear"/>
            <w:vAlign w:val="bottom"/>
          </w:tcPr>
          <w:p>
            <w:pPr>
              <w:pStyle w:val="TableContents"/>
              <w:spacing w:before="0" w:after="0"/>
              <w:ind w:left="900" w:right="0" w:hanging="225"/>
              <w:rPr/>
            </w:pPr>
            <w:r>
              <w:rPr/>
              <w:t>Total 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74,348</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3,149</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30,573</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108,070</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28</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29</w:t>
            </w:r>
          </w:p>
        </w:tc>
        <w:tc>
          <w:tcPr>
            <w:tcW w:w="3188" w:type="dxa"/>
            <w:tcBorders/>
            <w:shd w:fill="CCEEFF" w:val="clear"/>
            <w:vAlign w:val="bottom"/>
          </w:tcPr>
          <w:p>
            <w:pPr>
              <w:pStyle w:val="TableContents"/>
              <w:spacing w:before="0" w:after="0"/>
              <w:ind w:left="450" w:right="0" w:hanging="225"/>
              <w:rPr/>
            </w:pPr>
            <w:r>
              <w:rPr/>
              <w:t>Cost of goods sold</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30,301</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1,159</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31,460</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30</w:t>
            </w:r>
          </w:p>
        </w:tc>
        <w:tc>
          <w:tcPr>
            <w:tcW w:w="3188" w:type="dxa"/>
            <w:tcBorders/>
            <w:shd w:fill="auto" w:val="clear"/>
            <w:vAlign w:val="bottom"/>
          </w:tcPr>
          <w:p>
            <w:pPr>
              <w:pStyle w:val="TableContents"/>
              <w:spacing w:before="0" w:after="0"/>
              <w:ind w:left="450" w:right="0" w:hanging="225"/>
              <w:rPr/>
            </w:pPr>
            <w:r>
              <w:rPr/>
              <w:t>Signature loan bad debt</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202</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8,343</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8,545</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31</w:t>
            </w:r>
          </w:p>
        </w:tc>
        <w:tc>
          <w:tcPr>
            <w:tcW w:w="3188" w:type="dxa"/>
            <w:tcBorders/>
            <w:shd w:fill="CCEEFF" w:val="clear"/>
            <w:vAlign w:val="bottom"/>
          </w:tcPr>
          <w:p>
            <w:pPr>
              <w:pStyle w:val="TableContents"/>
              <w:spacing w:before="0" w:after="0"/>
              <w:ind w:left="450" w:right="0" w:hanging="225"/>
              <w:rPr/>
            </w:pPr>
            <w:r>
              <w:rPr/>
              <w:t>Auto title loan bad debt</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32</w:t>
            </w:r>
          </w:p>
        </w:tc>
        <w:tc>
          <w:tcPr>
            <w:tcW w:w="3188" w:type="dxa"/>
            <w:tcBorders/>
            <w:shd w:fill="auto" w:val="clear"/>
            <w:vAlign w:val="bottom"/>
          </w:tcPr>
          <w:p>
            <w:pPr>
              <w:pStyle w:val="TableContents"/>
              <w:spacing w:before="0" w:after="0"/>
              <w:ind w:left="900" w:right="0" w:hanging="225"/>
              <w:rPr/>
            </w:pPr>
            <w:r>
              <w:rPr/>
              <w:t>Net 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43,845</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1,990</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22,230</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68,065</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33</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34</w:t>
            </w:r>
          </w:p>
        </w:tc>
        <w:tc>
          <w:tcPr>
            <w:tcW w:w="3188" w:type="dxa"/>
            <w:tcBorders/>
            <w:shd w:fill="CCEEFF" w:val="clear"/>
            <w:vAlign w:val="bottom"/>
          </w:tcPr>
          <w:p>
            <w:pPr>
              <w:pStyle w:val="TableContents"/>
              <w:spacing w:before="0" w:after="0"/>
              <w:ind w:left="450" w:right="0" w:hanging="225"/>
              <w:rPr/>
            </w:pPr>
            <w:r>
              <w:rPr/>
              <w:t>Operations expense</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24,831</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1,065</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13,977</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39,873</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35</w:t>
            </w:r>
          </w:p>
        </w:tc>
        <w:tc>
          <w:tcPr>
            <w:tcW w:w="3188" w:type="dxa"/>
            <w:tcBorders/>
            <w:shd w:fill="auto" w:val="clear"/>
            <w:vAlign w:val="bottom"/>
          </w:tcPr>
          <w:p>
            <w:pPr>
              <w:pStyle w:val="TableContents"/>
              <w:spacing w:before="0" w:after="0"/>
              <w:ind w:left="900" w:right="0" w:hanging="225"/>
              <w:rPr/>
            </w:pPr>
            <w:r>
              <w:rPr/>
              <w:t>Store operating income</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93" w:type="dxa"/>
            <w:tcBorders/>
            <w:shd w:fill="auto" w:val="clear"/>
            <w:vAlign w:val="bottom"/>
          </w:tcPr>
          <w:p>
            <w:pPr>
              <w:pStyle w:val="TableContents"/>
              <w:spacing w:before="0" w:after="283"/>
              <w:jc w:val="right"/>
              <w:rPr/>
            </w:pPr>
            <w:r>
              <w:rPr/>
              <w:t>19,014</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851" w:type="dxa"/>
            <w:tcBorders/>
            <w:shd w:fill="auto" w:val="clear"/>
            <w:vAlign w:val="bottom"/>
          </w:tcPr>
          <w:p>
            <w:pPr>
              <w:pStyle w:val="TableContents"/>
              <w:spacing w:before="0" w:after="283"/>
              <w:jc w:val="right"/>
              <w:rPr/>
            </w:pPr>
            <w:r>
              <w:rPr/>
              <w:t>925</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8,253</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155" w:type="dxa"/>
            <w:tcBorders/>
            <w:shd w:fill="auto" w:val="clear"/>
            <w:vAlign w:val="bottom"/>
          </w:tcPr>
          <w:p>
            <w:pPr>
              <w:pStyle w:val="TableContents"/>
              <w:spacing w:before="0" w:after="283"/>
              <w:jc w:val="right"/>
              <w:rPr/>
            </w:pPr>
            <w:r>
              <w:rPr/>
              <w:t>28,192</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36</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37</w:t>
            </w:r>
          </w:p>
        </w:tc>
        <w:tc>
          <w:tcPr>
            <w:tcW w:w="3188" w:type="dxa"/>
            <w:tcBorders/>
            <w:shd w:fill="CCEEFF" w:val="clear"/>
            <w:vAlign w:val="bottom"/>
          </w:tcPr>
          <w:p>
            <w:pPr>
              <w:pStyle w:val="TableContents"/>
              <w:spacing w:before="0" w:after="0"/>
              <w:ind w:left="450" w:right="0" w:hanging="225"/>
              <w:rPr/>
            </w:pPr>
            <w:r>
              <w:rPr/>
              <w:t>Pawn store count  end of period</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294</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30</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324</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38</w:t>
            </w:r>
          </w:p>
        </w:tc>
        <w:tc>
          <w:tcPr>
            <w:tcW w:w="3188" w:type="dxa"/>
            <w:tcBorders/>
            <w:shd w:fill="auto" w:val="clear"/>
            <w:vAlign w:val="bottom"/>
          </w:tcPr>
          <w:p>
            <w:pPr>
              <w:pStyle w:val="TableContents"/>
              <w:spacing w:before="0" w:after="0"/>
              <w:ind w:left="450" w:right="0" w:hanging="225"/>
              <w:rPr/>
            </w:pPr>
            <w:r>
              <w:rPr/>
              <w:t>Signature loan store count  end of period</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6</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455</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461</w:t>
            </w:r>
          </w:p>
        </w:tc>
        <w:tc>
          <w:tcPr>
            <w:tcW w:w="71"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Page 6 of 7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Operating Segment Results (Unaudited)</w:t>
      </w:r>
      <w:r>
        <w:rPr>
          <w:rFonts w:ascii="Times New Roman;Times;serif" w:hAnsi="Times New Roman;Times;serif"/>
          <w:sz w:val="17"/>
        </w:rPr>
        <w:br/>
      </w:r>
      <w:r>
        <w:rPr>
          <w:rFonts w:ascii="Times New Roman;Times;serif" w:hAnsi="Times New Roman;Times;serif"/>
          <w:i/>
          <w:sz w:val="17"/>
        </w:rPr>
        <w:t>(in thousands, except store counts)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69"/>
        <w:gridCol w:w="3188"/>
        <w:gridCol w:w="289"/>
        <w:gridCol w:w="195"/>
        <w:gridCol w:w="1093"/>
        <w:gridCol w:w="99"/>
        <w:gridCol w:w="289"/>
        <w:gridCol w:w="178"/>
        <w:gridCol w:w="874"/>
        <w:gridCol w:w="99"/>
        <w:gridCol w:w="289"/>
        <w:gridCol w:w="237"/>
        <w:gridCol w:w="1169"/>
        <w:gridCol w:w="99"/>
        <w:gridCol w:w="289"/>
        <w:gridCol w:w="223"/>
        <w:gridCol w:w="1155"/>
        <w:gridCol w:w="71"/>
      </w:tblGrid>
      <w:tr>
        <w:trPr/>
        <w:tc>
          <w:tcPr>
            <w:tcW w:w="369" w:type="dxa"/>
            <w:tcBorders/>
            <w:shd w:fill="auto" w:val="clear"/>
            <w:vAlign w:val="bottom"/>
          </w:tcPr>
          <w:p>
            <w:pPr>
              <w:pStyle w:val="TableContents"/>
              <w:spacing w:before="0" w:after="283"/>
              <w:rPr>
                <w:sz w:val="4"/>
                <w:szCs w:val="4"/>
              </w:rPr>
            </w:pPr>
            <w:r>
              <w:rPr>
                <w:sz w:val="4"/>
                <w:szCs w:val="4"/>
              </w:rPr>
            </w:r>
          </w:p>
        </w:tc>
        <w:tc>
          <w:tcPr>
            <w:tcW w:w="318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sz w:val="4"/>
                <w:szCs w:val="4"/>
              </w:rPr>
            </w:pPr>
            <w:r>
              <w:rPr>
                <w:sz w:val="4"/>
                <w:szCs w:val="4"/>
              </w:rPr>
            </w:r>
          </w:p>
        </w:tc>
        <w:tc>
          <w:tcPr>
            <w:tcW w:w="318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88" w:type="dxa"/>
            <w:gridSpan w:val="2"/>
            <w:tcBorders/>
            <w:shd w:fill="auto" w:val="clear"/>
            <w:vAlign w:val="bottom"/>
          </w:tcPr>
          <w:p>
            <w:pPr>
              <w:pStyle w:val="TableContents"/>
              <w:spacing w:before="0" w:after="283"/>
              <w:jc w:val="center"/>
              <w:rPr>
                <w:b/>
              </w:rPr>
            </w:pPr>
            <w:r>
              <w:rPr>
                <w:b/>
              </w:rPr>
              <w:t>U.S. Pawn</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52" w:type="dxa"/>
            <w:gridSpan w:val="2"/>
            <w:tcBorders/>
            <w:shd w:fill="auto" w:val="clear"/>
            <w:vAlign w:val="bottom"/>
          </w:tcPr>
          <w:p>
            <w:pPr>
              <w:pStyle w:val="TableContents"/>
              <w:spacing w:before="0" w:after="283"/>
              <w:jc w:val="center"/>
              <w:rPr>
                <w:b/>
              </w:rPr>
            </w:pPr>
            <w:r>
              <w:rPr>
                <w:b/>
              </w:rPr>
              <w:t>Empeño</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b/>
              </w:rPr>
            </w:pPr>
            <w:r>
              <w:rPr>
                <w:b/>
              </w:rPr>
              <w:t>EZMONEY</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378" w:type="dxa"/>
            <w:gridSpan w:val="2"/>
            <w:tcBorders/>
            <w:shd w:fill="auto" w:val="clear"/>
            <w:vAlign w:val="bottom"/>
          </w:tcPr>
          <w:p>
            <w:pPr>
              <w:pStyle w:val="TableContents"/>
              <w:spacing w:before="0" w:after="283"/>
              <w:jc w:val="center"/>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sz w:val="4"/>
                <w:szCs w:val="4"/>
              </w:rPr>
            </w:pPr>
            <w:r>
              <w:rPr>
                <w:sz w:val="4"/>
                <w:szCs w:val="4"/>
              </w:rPr>
            </w:r>
          </w:p>
        </w:tc>
        <w:tc>
          <w:tcPr>
            <w:tcW w:w="318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Fácil</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37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sz w:val="4"/>
                <w:szCs w:val="4"/>
              </w:rPr>
            </w:pPr>
            <w:r>
              <w:rPr>
                <w:sz w:val="4"/>
                <w:szCs w:val="4"/>
              </w:rPr>
            </w:r>
          </w:p>
        </w:tc>
        <w:tc>
          <w:tcPr>
            <w:tcW w:w="3188" w:type="dxa"/>
            <w:tcBorders/>
            <w:shd w:fill="CCEEFF" w:val="clear"/>
            <w:vAlign w:val="bottom"/>
          </w:tcPr>
          <w:p>
            <w:pPr>
              <w:pStyle w:val="TableContents"/>
              <w:spacing w:before="0" w:after="0"/>
              <w:ind w:left="225" w:right="0" w:hanging="225"/>
              <w:rPr>
                <w:b/>
              </w:rPr>
            </w:pPr>
            <w:r>
              <w:rPr>
                <w:b/>
              </w:rPr>
              <w:t>Nine months ended June 30, 2009:</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w:t>
            </w:r>
          </w:p>
        </w:tc>
        <w:tc>
          <w:tcPr>
            <w:tcW w:w="3188" w:type="dxa"/>
            <w:tcBorders/>
            <w:shd w:fill="auto" w:val="clear"/>
            <w:vAlign w:val="bottom"/>
          </w:tcPr>
          <w:p>
            <w:pPr>
              <w:pStyle w:val="TableContents"/>
              <w:spacing w:before="0" w:after="0"/>
              <w:ind w:left="450" w:right="0" w:hanging="225"/>
              <w:rPr/>
            </w:pPr>
            <w:r>
              <w:rPr/>
              <w:t>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w:t>
            </w:r>
          </w:p>
        </w:tc>
        <w:tc>
          <w:tcPr>
            <w:tcW w:w="3188" w:type="dxa"/>
            <w:tcBorders/>
            <w:shd w:fill="CCEEFF" w:val="clear"/>
            <w:vAlign w:val="bottom"/>
          </w:tcPr>
          <w:p>
            <w:pPr>
              <w:pStyle w:val="TableContents"/>
              <w:spacing w:before="0" w:after="0"/>
              <w:ind w:left="675" w:right="0" w:hanging="225"/>
              <w:rPr/>
            </w:pPr>
            <w:r>
              <w:rPr/>
              <w:t>Sales</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227,494</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7,408</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155" w:type="dxa"/>
            <w:tcBorders/>
            <w:shd w:fill="CCEEFF" w:val="clear"/>
            <w:vAlign w:val="bottom"/>
          </w:tcPr>
          <w:p>
            <w:pPr>
              <w:pStyle w:val="TableContents"/>
              <w:spacing w:before="0" w:after="283"/>
              <w:jc w:val="right"/>
              <w:rPr/>
            </w:pPr>
            <w:r>
              <w:rPr/>
              <w:t>234,902</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w:t>
            </w:r>
          </w:p>
        </w:tc>
        <w:tc>
          <w:tcPr>
            <w:tcW w:w="3188" w:type="dxa"/>
            <w:tcBorders/>
            <w:shd w:fill="auto" w:val="clear"/>
            <w:vAlign w:val="bottom"/>
          </w:tcPr>
          <w:p>
            <w:pPr>
              <w:pStyle w:val="TableContents"/>
              <w:spacing w:before="0" w:after="0"/>
              <w:ind w:left="675" w:right="0" w:hanging="225"/>
              <w:rPr/>
            </w:pPr>
            <w:r>
              <w:rPr/>
              <w:t>Pawn service charges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88,558</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4,219</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92,777</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4</w:t>
            </w:r>
          </w:p>
        </w:tc>
        <w:tc>
          <w:tcPr>
            <w:tcW w:w="3188" w:type="dxa"/>
            <w:tcBorders/>
            <w:shd w:fill="CCEEFF" w:val="clear"/>
            <w:vAlign w:val="bottom"/>
          </w:tcPr>
          <w:p>
            <w:pPr>
              <w:pStyle w:val="TableContents"/>
              <w:spacing w:before="0" w:after="0"/>
              <w:ind w:left="675" w:right="0" w:hanging="225"/>
              <w:rPr/>
            </w:pPr>
            <w:r>
              <w:rPr/>
              <w:t>Signature loan fees</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1,766</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96,643</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98,409</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5</w:t>
            </w:r>
          </w:p>
        </w:tc>
        <w:tc>
          <w:tcPr>
            <w:tcW w:w="3188" w:type="dxa"/>
            <w:tcBorders/>
            <w:shd w:fill="auto" w:val="clear"/>
            <w:vAlign w:val="bottom"/>
          </w:tcPr>
          <w:p>
            <w:pPr>
              <w:pStyle w:val="TableContents"/>
              <w:spacing w:before="0" w:after="0"/>
              <w:ind w:left="675" w:right="0" w:hanging="225"/>
              <w:rPr/>
            </w:pPr>
            <w:r>
              <w:rPr/>
              <w:t>Auto title loan fees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991</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675</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1,666</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6</w:t>
            </w:r>
          </w:p>
        </w:tc>
        <w:tc>
          <w:tcPr>
            <w:tcW w:w="3188" w:type="dxa"/>
            <w:tcBorders/>
            <w:shd w:fill="CCEEFF" w:val="clear"/>
            <w:vAlign w:val="bottom"/>
          </w:tcPr>
          <w:p>
            <w:pPr>
              <w:pStyle w:val="TableContents"/>
              <w:spacing w:before="0" w:after="0"/>
              <w:ind w:left="675" w:right="0" w:hanging="225"/>
              <w:rPr/>
            </w:pPr>
            <w:r>
              <w:rPr/>
              <w:t>Other</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4,866</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35</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4,901</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7</w:t>
            </w:r>
          </w:p>
        </w:tc>
        <w:tc>
          <w:tcPr>
            <w:tcW w:w="3188" w:type="dxa"/>
            <w:tcBorders/>
            <w:shd w:fill="auto" w:val="clear"/>
            <w:vAlign w:val="bottom"/>
          </w:tcPr>
          <w:p>
            <w:pPr>
              <w:pStyle w:val="TableContents"/>
              <w:spacing w:before="0" w:after="0"/>
              <w:ind w:left="900" w:right="0" w:hanging="225"/>
              <w:rPr/>
            </w:pPr>
            <w:r>
              <w:rPr/>
              <w:t>Total 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323,675</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11,662</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97,318</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432,655</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8</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9</w:t>
            </w:r>
          </w:p>
        </w:tc>
        <w:tc>
          <w:tcPr>
            <w:tcW w:w="3188" w:type="dxa"/>
            <w:tcBorders/>
            <w:shd w:fill="CCEEFF" w:val="clear"/>
            <w:vAlign w:val="bottom"/>
          </w:tcPr>
          <w:p>
            <w:pPr>
              <w:pStyle w:val="TableContents"/>
              <w:spacing w:before="0" w:after="0"/>
              <w:ind w:left="450" w:right="0" w:hanging="225"/>
              <w:rPr/>
            </w:pPr>
            <w:r>
              <w:rPr/>
              <w:t>Cost of goods sold</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143,167</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4,649</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147,816</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10</w:t>
            </w:r>
          </w:p>
        </w:tc>
        <w:tc>
          <w:tcPr>
            <w:tcW w:w="3188" w:type="dxa"/>
            <w:tcBorders/>
            <w:shd w:fill="auto" w:val="clear"/>
            <w:vAlign w:val="bottom"/>
          </w:tcPr>
          <w:p>
            <w:pPr>
              <w:pStyle w:val="TableContents"/>
              <w:spacing w:before="0" w:after="0"/>
              <w:ind w:left="450" w:right="0" w:hanging="225"/>
              <w:rPr/>
            </w:pPr>
            <w:r>
              <w:rPr/>
              <w:t>Signature loan bad debt</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581</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22,593</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23,174</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11</w:t>
            </w:r>
          </w:p>
        </w:tc>
        <w:tc>
          <w:tcPr>
            <w:tcW w:w="3188" w:type="dxa"/>
            <w:tcBorders/>
            <w:shd w:fill="CCEEFF" w:val="clear"/>
            <w:vAlign w:val="bottom"/>
          </w:tcPr>
          <w:p>
            <w:pPr>
              <w:pStyle w:val="TableContents"/>
              <w:spacing w:before="0" w:after="0"/>
              <w:ind w:left="450" w:right="0" w:hanging="225"/>
              <w:rPr/>
            </w:pPr>
            <w:r>
              <w:rPr/>
              <w:t>Auto title loan bad debt</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72</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81</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153</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12</w:t>
            </w:r>
          </w:p>
        </w:tc>
        <w:tc>
          <w:tcPr>
            <w:tcW w:w="3188" w:type="dxa"/>
            <w:tcBorders/>
            <w:shd w:fill="auto" w:val="clear"/>
            <w:vAlign w:val="bottom"/>
          </w:tcPr>
          <w:p>
            <w:pPr>
              <w:pStyle w:val="TableContents"/>
              <w:spacing w:before="0" w:after="0"/>
              <w:ind w:left="900" w:right="0" w:hanging="225"/>
              <w:rPr/>
            </w:pPr>
            <w:r>
              <w:rPr/>
              <w:t>Net 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179,855</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7,013</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74,644</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261,512</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13</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14</w:t>
            </w:r>
          </w:p>
        </w:tc>
        <w:tc>
          <w:tcPr>
            <w:tcW w:w="3188" w:type="dxa"/>
            <w:tcBorders/>
            <w:shd w:fill="CCEEFF" w:val="clear"/>
            <w:vAlign w:val="bottom"/>
          </w:tcPr>
          <w:p>
            <w:pPr>
              <w:pStyle w:val="TableContents"/>
              <w:spacing w:before="0" w:after="0"/>
              <w:ind w:left="450" w:right="0" w:hanging="225"/>
              <w:rPr/>
            </w:pPr>
            <w:r>
              <w:rPr/>
              <w:t>Operations expense</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102,764</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4,024</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45,167</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151,955</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15</w:t>
            </w:r>
          </w:p>
        </w:tc>
        <w:tc>
          <w:tcPr>
            <w:tcW w:w="3188" w:type="dxa"/>
            <w:tcBorders/>
            <w:shd w:fill="auto" w:val="clear"/>
            <w:vAlign w:val="bottom"/>
          </w:tcPr>
          <w:p>
            <w:pPr>
              <w:pStyle w:val="TableContents"/>
              <w:spacing w:before="0" w:after="0"/>
              <w:ind w:left="900" w:right="0" w:hanging="225"/>
              <w:rPr/>
            </w:pPr>
            <w:r>
              <w:rPr/>
              <w:t>Store operating income</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93" w:type="dxa"/>
            <w:tcBorders/>
            <w:shd w:fill="auto" w:val="clear"/>
            <w:vAlign w:val="bottom"/>
          </w:tcPr>
          <w:p>
            <w:pPr>
              <w:pStyle w:val="TableContents"/>
              <w:spacing w:before="0" w:after="283"/>
              <w:jc w:val="right"/>
              <w:rPr/>
            </w:pPr>
            <w:r>
              <w:rPr/>
              <w:t>77,091</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2,989</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29,477</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155" w:type="dxa"/>
            <w:tcBorders/>
            <w:shd w:fill="auto" w:val="clear"/>
            <w:vAlign w:val="bottom"/>
          </w:tcPr>
          <w:p>
            <w:pPr>
              <w:pStyle w:val="TableContents"/>
              <w:spacing w:before="0" w:after="283"/>
              <w:jc w:val="right"/>
              <w:rPr/>
            </w:pPr>
            <w:r>
              <w:rPr/>
              <w:t>109,557</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pPr>
            <w:r>
              <w:rPr/>
              <w:t> </w:t>
            </w:r>
          </w:p>
        </w:tc>
        <w:tc>
          <w:tcPr>
            <w:tcW w:w="3188"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16</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17</w:t>
            </w:r>
          </w:p>
        </w:tc>
        <w:tc>
          <w:tcPr>
            <w:tcW w:w="3188" w:type="dxa"/>
            <w:tcBorders/>
            <w:shd w:fill="CCEEFF" w:val="clear"/>
            <w:vAlign w:val="bottom"/>
          </w:tcPr>
          <w:p>
            <w:pPr>
              <w:pStyle w:val="TableContents"/>
              <w:spacing w:before="0" w:after="0"/>
              <w:ind w:left="450" w:right="0" w:hanging="225"/>
              <w:rPr/>
            </w:pPr>
            <w:r>
              <w:rPr/>
              <w:t>Pawn store count  end of period</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370</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47</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417</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18</w:t>
            </w:r>
          </w:p>
        </w:tc>
        <w:tc>
          <w:tcPr>
            <w:tcW w:w="3188" w:type="dxa"/>
            <w:tcBorders/>
            <w:shd w:fill="auto" w:val="clear"/>
            <w:vAlign w:val="bottom"/>
          </w:tcPr>
          <w:p>
            <w:pPr>
              <w:pStyle w:val="TableContents"/>
              <w:spacing w:before="0" w:after="0"/>
              <w:ind w:left="450" w:right="0" w:hanging="225"/>
              <w:rPr/>
            </w:pPr>
            <w:r>
              <w:rPr/>
              <w:t>Signature loan store count  end of period</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6</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474</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480</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19</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20</w:t>
            </w:r>
          </w:p>
        </w:tc>
        <w:tc>
          <w:tcPr>
            <w:tcW w:w="3188" w:type="dxa"/>
            <w:tcBorders/>
            <w:shd w:fill="CCEEFF" w:val="clear"/>
            <w:vAlign w:val="bottom"/>
          </w:tcPr>
          <w:p>
            <w:pPr>
              <w:pStyle w:val="TableContents"/>
              <w:spacing w:before="0" w:after="0"/>
              <w:ind w:left="225" w:right="0" w:hanging="225"/>
              <w:rPr>
                <w:b/>
              </w:rPr>
            </w:pPr>
            <w:r>
              <w:rPr>
                <w:b/>
              </w:rPr>
              <w:t>Nine months ended June 30, 2008:</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21</w:t>
            </w:r>
          </w:p>
        </w:tc>
        <w:tc>
          <w:tcPr>
            <w:tcW w:w="3188" w:type="dxa"/>
            <w:tcBorders/>
            <w:shd w:fill="auto" w:val="clear"/>
            <w:vAlign w:val="bottom"/>
          </w:tcPr>
          <w:p>
            <w:pPr>
              <w:pStyle w:val="TableContents"/>
              <w:spacing w:before="0" w:after="0"/>
              <w:ind w:left="450" w:right="0" w:hanging="225"/>
              <w:rPr/>
            </w:pPr>
            <w:r>
              <w:rPr/>
              <w:t>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22</w:t>
            </w:r>
          </w:p>
        </w:tc>
        <w:tc>
          <w:tcPr>
            <w:tcW w:w="3188" w:type="dxa"/>
            <w:tcBorders/>
            <w:shd w:fill="CCEEFF" w:val="clear"/>
            <w:vAlign w:val="bottom"/>
          </w:tcPr>
          <w:p>
            <w:pPr>
              <w:pStyle w:val="TableContents"/>
              <w:spacing w:before="0" w:after="0"/>
              <w:ind w:left="675" w:right="0" w:hanging="225"/>
              <w:rPr/>
            </w:pPr>
            <w:r>
              <w:rPr/>
              <w:t>Sales</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165,749</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4,723</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155" w:type="dxa"/>
            <w:tcBorders/>
            <w:shd w:fill="CCEEFF" w:val="clear"/>
            <w:vAlign w:val="bottom"/>
          </w:tcPr>
          <w:p>
            <w:pPr>
              <w:pStyle w:val="TableContents"/>
              <w:spacing w:before="0" w:after="283"/>
              <w:jc w:val="right"/>
              <w:rPr/>
            </w:pPr>
            <w:r>
              <w:rPr/>
              <w:t>170,472</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23</w:t>
            </w:r>
          </w:p>
        </w:tc>
        <w:tc>
          <w:tcPr>
            <w:tcW w:w="3188" w:type="dxa"/>
            <w:tcBorders/>
            <w:shd w:fill="auto" w:val="clear"/>
            <w:vAlign w:val="bottom"/>
          </w:tcPr>
          <w:p>
            <w:pPr>
              <w:pStyle w:val="TableContents"/>
              <w:spacing w:before="0" w:after="0"/>
              <w:ind w:left="675" w:right="0" w:hanging="225"/>
              <w:rPr/>
            </w:pPr>
            <w:r>
              <w:rPr/>
              <w:t>Pawn service charges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64,089</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3,295</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67,384</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24</w:t>
            </w:r>
          </w:p>
        </w:tc>
        <w:tc>
          <w:tcPr>
            <w:tcW w:w="3188" w:type="dxa"/>
            <w:tcBorders/>
            <w:shd w:fill="CCEEFF" w:val="clear"/>
            <w:vAlign w:val="bottom"/>
          </w:tcPr>
          <w:p>
            <w:pPr>
              <w:pStyle w:val="TableContents"/>
              <w:spacing w:before="0" w:after="0"/>
              <w:ind w:left="675" w:right="0" w:hanging="225"/>
              <w:rPr/>
            </w:pPr>
            <w:r>
              <w:rPr/>
              <w:t>Signature loan fees</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2,131</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92,786</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94,917</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25</w:t>
            </w:r>
          </w:p>
        </w:tc>
        <w:tc>
          <w:tcPr>
            <w:tcW w:w="3188" w:type="dxa"/>
            <w:tcBorders/>
            <w:shd w:fill="auto" w:val="clear"/>
            <w:vAlign w:val="bottom"/>
          </w:tcPr>
          <w:p>
            <w:pPr>
              <w:pStyle w:val="TableContents"/>
              <w:spacing w:before="0" w:after="0"/>
              <w:ind w:left="675" w:right="0" w:hanging="225"/>
              <w:rPr/>
            </w:pPr>
            <w:r>
              <w:rPr/>
              <w:t>Auto title loan fees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26</w:t>
            </w:r>
          </w:p>
        </w:tc>
        <w:tc>
          <w:tcPr>
            <w:tcW w:w="3188" w:type="dxa"/>
            <w:tcBorders/>
            <w:shd w:fill="CCEEFF" w:val="clear"/>
            <w:vAlign w:val="bottom"/>
          </w:tcPr>
          <w:p>
            <w:pPr>
              <w:pStyle w:val="TableContents"/>
              <w:spacing w:before="0" w:after="0"/>
              <w:ind w:left="675" w:right="0" w:hanging="225"/>
              <w:rPr/>
            </w:pPr>
            <w:r>
              <w:rPr/>
              <w:t>Other</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1,224</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4</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1,228</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27</w:t>
            </w:r>
          </w:p>
        </w:tc>
        <w:tc>
          <w:tcPr>
            <w:tcW w:w="3188" w:type="dxa"/>
            <w:tcBorders/>
            <w:shd w:fill="auto" w:val="clear"/>
            <w:vAlign w:val="bottom"/>
          </w:tcPr>
          <w:p>
            <w:pPr>
              <w:pStyle w:val="TableContents"/>
              <w:spacing w:before="0" w:after="0"/>
              <w:ind w:left="900" w:right="0" w:hanging="225"/>
              <w:rPr/>
            </w:pPr>
            <w:r>
              <w:rPr/>
              <w:t>Total 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233,193</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8,022</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92,786</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334,001</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28</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29</w:t>
            </w:r>
          </w:p>
        </w:tc>
        <w:tc>
          <w:tcPr>
            <w:tcW w:w="3188" w:type="dxa"/>
            <w:tcBorders/>
            <w:shd w:fill="CCEEFF" w:val="clear"/>
            <w:vAlign w:val="bottom"/>
          </w:tcPr>
          <w:p>
            <w:pPr>
              <w:pStyle w:val="TableContents"/>
              <w:spacing w:before="0" w:after="0"/>
              <w:ind w:left="450" w:right="0" w:hanging="225"/>
              <w:rPr/>
            </w:pPr>
            <w:r>
              <w:rPr/>
              <w:t>Cost of goods sold</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98,853</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2,879</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101,732</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30</w:t>
            </w:r>
          </w:p>
        </w:tc>
        <w:tc>
          <w:tcPr>
            <w:tcW w:w="3188" w:type="dxa"/>
            <w:tcBorders/>
            <w:shd w:fill="auto" w:val="clear"/>
            <w:vAlign w:val="bottom"/>
          </w:tcPr>
          <w:p>
            <w:pPr>
              <w:pStyle w:val="TableContents"/>
              <w:spacing w:before="0" w:after="0"/>
              <w:ind w:left="450" w:right="0" w:hanging="225"/>
              <w:rPr/>
            </w:pPr>
            <w:r>
              <w:rPr/>
              <w:t>Signature loan bad debt</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741</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24,106</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24,847</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31</w:t>
            </w:r>
          </w:p>
        </w:tc>
        <w:tc>
          <w:tcPr>
            <w:tcW w:w="3188" w:type="dxa"/>
            <w:tcBorders/>
            <w:shd w:fill="CCEEFF" w:val="clear"/>
            <w:vAlign w:val="bottom"/>
          </w:tcPr>
          <w:p>
            <w:pPr>
              <w:pStyle w:val="TableContents"/>
              <w:spacing w:before="0" w:after="0"/>
              <w:ind w:left="450" w:right="0" w:hanging="225"/>
              <w:rPr/>
            </w:pPr>
            <w:r>
              <w:rPr/>
              <w:t>Auto title loan bad debt</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32</w:t>
            </w:r>
          </w:p>
        </w:tc>
        <w:tc>
          <w:tcPr>
            <w:tcW w:w="3188" w:type="dxa"/>
            <w:tcBorders/>
            <w:shd w:fill="auto" w:val="clear"/>
            <w:vAlign w:val="bottom"/>
          </w:tcPr>
          <w:p>
            <w:pPr>
              <w:pStyle w:val="TableContents"/>
              <w:spacing w:before="0" w:after="0"/>
              <w:ind w:left="900" w:right="0" w:hanging="225"/>
              <w:rPr/>
            </w:pPr>
            <w:r>
              <w:rPr/>
              <w:t>Net revenues</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133,599</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5,143</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68,680</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207,422</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33</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34</w:t>
            </w:r>
          </w:p>
        </w:tc>
        <w:tc>
          <w:tcPr>
            <w:tcW w:w="3188" w:type="dxa"/>
            <w:tcBorders/>
            <w:shd w:fill="CCEEFF" w:val="clear"/>
            <w:vAlign w:val="bottom"/>
          </w:tcPr>
          <w:p>
            <w:pPr>
              <w:pStyle w:val="TableContents"/>
              <w:spacing w:before="0" w:after="0"/>
              <w:ind w:left="450" w:right="0" w:hanging="225"/>
              <w:rPr/>
            </w:pPr>
            <w:r>
              <w:rPr/>
              <w:t>Operations expense</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72,831</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2,810</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41,667</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117,308</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0"/>
              <w:ind w:left="67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35</w:t>
            </w:r>
          </w:p>
        </w:tc>
        <w:tc>
          <w:tcPr>
            <w:tcW w:w="3188" w:type="dxa"/>
            <w:tcBorders/>
            <w:shd w:fill="auto" w:val="clear"/>
            <w:vAlign w:val="bottom"/>
          </w:tcPr>
          <w:p>
            <w:pPr>
              <w:pStyle w:val="TableContents"/>
              <w:spacing w:before="0" w:after="0"/>
              <w:ind w:left="900" w:right="0" w:hanging="225"/>
              <w:rPr/>
            </w:pPr>
            <w:r>
              <w:rPr/>
              <w:t>Store operating income</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93" w:type="dxa"/>
            <w:tcBorders/>
            <w:shd w:fill="auto" w:val="clear"/>
            <w:vAlign w:val="bottom"/>
          </w:tcPr>
          <w:p>
            <w:pPr>
              <w:pStyle w:val="TableContents"/>
              <w:spacing w:before="0" w:after="283"/>
              <w:jc w:val="right"/>
              <w:rPr/>
            </w:pPr>
            <w:r>
              <w:rPr/>
              <w:t>60,768</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2,333</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27,013</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155" w:type="dxa"/>
            <w:tcBorders/>
            <w:shd w:fill="auto" w:val="clear"/>
            <w:vAlign w:val="bottom"/>
          </w:tcPr>
          <w:p>
            <w:pPr>
              <w:pStyle w:val="TableContents"/>
              <w:spacing w:before="0" w:after="283"/>
              <w:jc w:val="right"/>
              <w:rPr/>
            </w:pPr>
            <w:r>
              <w:rPr/>
              <w:t>90,114</w:t>
            </w:r>
          </w:p>
        </w:tc>
        <w:tc>
          <w:tcPr>
            <w:tcW w:w="71" w:type="dxa"/>
            <w:tcBorders/>
            <w:shd w:fill="auto" w:val="clear"/>
            <w:vAlign w:val="bottom"/>
          </w:tcPr>
          <w:p>
            <w:pPr>
              <w:pStyle w:val="TableContents"/>
              <w:spacing w:before="0" w:after="283"/>
              <w:rPr/>
            </w:pPr>
            <w:r>
              <w:rPr/>
              <w:t> </w:t>
            </w:r>
          </w:p>
        </w:tc>
      </w:tr>
      <w:tr>
        <w:trPr/>
        <w:tc>
          <w:tcPr>
            <w:tcW w:w="369" w:type="dxa"/>
            <w:tcBorders/>
            <w:shd w:fill="auto" w:val="clear"/>
            <w:vAlign w:val="center"/>
          </w:tcPr>
          <w:p>
            <w:pPr>
              <w:pStyle w:val="TableContents"/>
              <w:spacing w:before="0" w:after="283"/>
              <w:rPr/>
            </w:pPr>
            <w:r>
              <w:rPr/>
              <w:t> </w:t>
            </w:r>
          </w:p>
        </w:tc>
        <w:tc>
          <w:tcPr>
            <w:tcW w:w="3188"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3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36</w:t>
            </w:r>
          </w:p>
        </w:tc>
        <w:tc>
          <w:tcPr>
            <w:tcW w:w="3188" w:type="dxa"/>
            <w:tcBorders/>
            <w:shd w:fill="auto" w:val="clear"/>
            <w:vAlign w:val="bottom"/>
          </w:tcPr>
          <w:p>
            <w:pPr>
              <w:pStyle w:val="TableContents"/>
              <w:spacing w:before="0" w:after="0"/>
              <w:ind w:left="225" w:right="0" w:hanging="225"/>
              <w:rPr/>
            </w:pPr>
            <w:r>
              <w:rPr/>
              <w:t> </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369" w:type="dxa"/>
            <w:tcBorders/>
            <w:shd w:fill="CCEEFF" w:val="clear"/>
            <w:vAlign w:val="bottom"/>
          </w:tcPr>
          <w:p>
            <w:pPr>
              <w:pStyle w:val="TableContents"/>
              <w:spacing w:before="0" w:after="283"/>
              <w:rPr/>
            </w:pPr>
            <w:r>
              <w:rPr/>
              <w:t>37</w:t>
            </w:r>
          </w:p>
        </w:tc>
        <w:tc>
          <w:tcPr>
            <w:tcW w:w="3188" w:type="dxa"/>
            <w:tcBorders/>
            <w:shd w:fill="CCEEFF" w:val="clear"/>
            <w:vAlign w:val="bottom"/>
          </w:tcPr>
          <w:p>
            <w:pPr>
              <w:pStyle w:val="TableContents"/>
              <w:spacing w:before="0" w:after="0"/>
              <w:ind w:left="450" w:right="0" w:hanging="225"/>
              <w:rPr/>
            </w:pPr>
            <w:r>
              <w:rPr/>
              <w:t>Pawn store count  end of period</w:t>
            </w:r>
          </w:p>
        </w:tc>
        <w:tc>
          <w:tcPr>
            <w:tcW w:w="28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294</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30</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324</w:t>
            </w:r>
          </w:p>
        </w:tc>
        <w:tc>
          <w:tcPr>
            <w:tcW w:w="71" w:type="dxa"/>
            <w:tcBorders/>
            <w:shd w:fill="CCEEFF" w:val="clear"/>
            <w:vAlign w:val="bottom"/>
          </w:tcPr>
          <w:p>
            <w:pPr>
              <w:pStyle w:val="TableContents"/>
              <w:spacing w:before="0" w:after="283"/>
              <w:rPr/>
            </w:pPr>
            <w:r>
              <w:rPr/>
              <w:t> </w:t>
            </w:r>
          </w:p>
        </w:tc>
      </w:tr>
      <w:tr>
        <w:trPr/>
        <w:tc>
          <w:tcPr>
            <w:tcW w:w="369" w:type="dxa"/>
            <w:tcBorders/>
            <w:shd w:fill="auto" w:val="clear"/>
            <w:vAlign w:val="bottom"/>
          </w:tcPr>
          <w:p>
            <w:pPr>
              <w:pStyle w:val="TableContents"/>
              <w:spacing w:before="0" w:after="283"/>
              <w:rPr/>
            </w:pPr>
            <w:r>
              <w:rPr/>
              <w:t>38</w:t>
            </w:r>
          </w:p>
        </w:tc>
        <w:tc>
          <w:tcPr>
            <w:tcW w:w="3188" w:type="dxa"/>
            <w:tcBorders/>
            <w:shd w:fill="auto" w:val="clear"/>
            <w:vAlign w:val="bottom"/>
          </w:tcPr>
          <w:p>
            <w:pPr>
              <w:pStyle w:val="TableContents"/>
              <w:spacing w:before="0" w:after="0"/>
              <w:ind w:left="450" w:right="0" w:hanging="225"/>
              <w:rPr/>
            </w:pPr>
            <w:r>
              <w:rPr/>
              <w:t>Signature loan store count  end of period</w:t>
            </w:r>
          </w:p>
        </w:tc>
        <w:tc>
          <w:tcPr>
            <w:tcW w:w="28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6</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455</w:t>
            </w:r>
          </w:p>
        </w:tc>
        <w:tc>
          <w:tcPr>
            <w:tcW w:w="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461</w:t>
            </w:r>
          </w:p>
        </w:tc>
        <w:tc>
          <w:tcPr>
            <w:tcW w:w="71" w:type="dxa"/>
            <w:tcBorders/>
            <w:shd w:fill="auto" w:val="clear"/>
            <w:vAlign w:val="bottom"/>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Page 7 of 7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2735</Words>
  <CharactersWithSpaces>17518</CharactersWithSpaces>
  <Paragraphs>3181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