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8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CURRENT REPORT</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 xml:space="preserve">PURSUANT TO SECTION 13 OR 15(d) OF THE SECURITIES EXCHANGE ACT OF </w:t>
      </w:r>
      <w:r>
        <w:rPr>
          <w:rFonts w:ascii="Arial" w:cs="Arial" w:eastAsia="Arial" w:hAnsi="Arial"/>
          <w:sz w:val="20"/>
          <w:szCs w:val="20"/>
          <w:b w:val="1"/>
          <w:bCs w:val="1"/>
          <w:color w:val="auto"/>
        </w:rPr>
        <w:t>1934</w:t>
      </w:r>
    </w:p>
    <w:p>
      <w:pPr>
        <w:spacing w:after="0" w:line="256"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13, 2015</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15" w:right="359" w:bottom="1440" w:gutter="0" w:footer="0" w:header="0"/>
        </w:sectPr>
      </w:pPr>
    </w:p>
    <w:p>
      <w:pPr>
        <w:spacing w:after="0" w:line="365" w:lineRule="exact"/>
        <w:rPr>
          <w:sz w:val="24"/>
          <w:szCs w:val="24"/>
          <w:color w:val="auto"/>
        </w:rPr>
      </w:pPr>
    </w:p>
    <w:p>
      <w:pPr>
        <w:ind w:left="11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500"/>
        <w:spacing w:after="0"/>
        <w:rPr>
          <w:sz w:val="20"/>
          <w:szCs w:val="20"/>
          <w:color w:val="auto"/>
        </w:rPr>
      </w:pPr>
      <w:r>
        <w:rPr>
          <w:rFonts w:ascii="Arial" w:cs="Arial" w:eastAsia="Arial" w:hAnsi="Arial"/>
          <w:sz w:val="19"/>
          <w:szCs w:val="19"/>
          <w:b w:val="1"/>
          <w:bCs w:val="1"/>
          <w:color w:val="auto"/>
        </w:rPr>
        <w:t>0-19424</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74-2540145</w:t>
      </w:r>
    </w:p>
    <w:p>
      <w:pPr>
        <w:spacing w:after="0" w:line="61" w:lineRule="exact"/>
        <w:rPr>
          <w:sz w:val="24"/>
          <w:szCs w:val="24"/>
          <w:color w:val="auto"/>
        </w:rPr>
      </w:pPr>
    </w:p>
    <w:p>
      <w:pPr>
        <w:sectPr>
          <w:pgSz w:w="11900" w:h="16838" w:orient="portrait"/>
          <w:cols w:equalWidth="0" w:num="3">
            <w:col w:w="4640" w:space="720"/>
            <w:col w:w="3220" w:space="720"/>
            <w:col w:w="2000"/>
          </w:cols>
          <w:pgMar w:left="240" w:top="1415" w:right="359" w:bottom="1440" w:gutter="0" w:footer="0" w:header="0"/>
          <w:type w:val="continuous"/>
        </w:sectPr>
      </w:pPr>
    </w:p>
    <w:p>
      <w:pPr>
        <w:spacing w:after="0" w:line="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w:t>
      </w:r>
    </w:p>
    <w:p>
      <w:pPr>
        <w:spacing w:after="0" w:line="22"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8"/>
          <w:szCs w:val="18"/>
          <w:color w:val="auto"/>
        </w:rPr>
        <w:t>(IRS Employer</w:t>
      </w:r>
    </w:p>
    <w:p>
      <w:pPr>
        <w:jc w:val="center"/>
        <w:ind w:right="8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720" w:space="720"/>
            <w:col w:w="2140"/>
          </w:cols>
          <w:pgMar w:left="240" w:top="1415" w:right="359" w:bottom="1440" w:gutter="0" w:footer="0" w:header="0"/>
          <w:type w:val="continuous"/>
        </w:sectPr>
      </w:pPr>
    </w:p>
    <w:p>
      <w:pPr>
        <w:spacing w:after="0" w:line="1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2500 Bee Cave Road, Austin, Texas 78746</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10"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9"/>
          <w:szCs w:val="19"/>
          <w:color w:val="auto"/>
        </w:rPr>
        <w:t>(</w:t>
      </w:r>
      <w:r>
        <w:rPr>
          <w:rFonts w:ascii="Arial" w:cs="Arial" w:eastAsia="Arial" w:hAnsi="Arial"/>
          <w:sz w:val="19"/>
          <w:szCs w:val="19"/>
          <w:b w:val="1"/>
          <w:bCs w:val="1"/>
          <w:color w:val="auto"/>
        </w:rPr>
        <w:t>512) 314-3400</w:t>
      </w:r>
    </w:p>
    <w:p>
      <w:pPr>
        <w:spacing w:after="0" w:line="267"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_______________________________________________________</w:t>
      </w:r>
    </w:p>
    <w:p>
      <w:pPr>
        <w:sectPr>
          <w:pgSz w:w="11900" w:h="16838" w:orient="portrait"/>
          <w:cols w:equalWidth="0" w:num="1">
            <w:col w:w="11300"/>
          </w:cols>
          <w:pgMar w:left="240" w:top="1415"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15" w:right="359" w:bottom="1440" w:gutter="0" w:footer="0" w:header="0"/>
          <w:type w:val="continuous"/>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120" w:hanging="652"/>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November 13, 2015, the Compensation Committee of the Board of Directors approved “Retention Bonus” awards to the Company’s Executive Officers. These Retention Bonus awards accompany retention bonuses that will also be paid to other key employees. In approving such awards, the Compensation Committee recognized that the Company’s fiscal 2015 performance would not generate any payout under the previously-approved Fiscal 2105 Incentive Compensation Plan. Nevertheless, the Compensation Committee considered the need to provide appropriate compensation opportunities in order to attract and retain high performing executives and other key employees who are critical to the Company’s future success.</w:t>
      </w:r>
    </w:p>
    <w:p>
      <w:pPr>
        <w:spacing w:after="0" w:line="117"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The following table sets forth the amounts of the Retention Bonuses that were approved for each of the current Named Executive Officers, as well as each of the other Executive Officers who are expected to be Named Executive Officers in fiscal 2016.</w:t>
      </w:r>
    </w:p>
    <w:p>
      <w:pPr>
        <w:spacing w:after="0" w:line="293" w:lineRule="exact"/>
        <w:rPr>
          <w:sz w:val="20"/>
          <w:szCs w:val="20"/>
          <w:color w:val="auto"/>
        </w:rPr>
      </w:pPr>
    </w:p>
    <w:tbl>
      <w:tblPr>
        <w:tblLayout w:type="fixed"/>
        <w:tblInd w:w="2300" w:type="dxa"/>
        <w:tblCellMar>
          <w:top w:w="0" w:type="dxa"/>
          <w:left w:w="0" w:type="dxa"/>
          <w:bottom w:w="0" w:type="dxa"/>
          <w:right w:w="0" w:type="dxa"/>
        </w:tblCellMar>
      </w:tblPr>
      <w:tr>
        <w:trPr>
          <w:trHeight w:val="21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Name and Title</w:t>
            </w:r>
          </w:p>
        </w:tc>
        <w:tc>
          <w:tcPr>
            <w:tcW w:w="3360" w:type="dxa"/>
            <w:vAlign w:val="bottom"/>
          </w:tcPr>
          <w:p>
            <w:pPr>
              <w:ind w:left="1180"/>
              <w:spacing w:after="0"/>
              <w:rPr>
                <w:sz w:val="20"/>
                <w:szCs w:val="20"/>
                <w:color w:val="auto"/>
              </w:rPr>
            </w:pPr>
            <w:r>
              <w:rPr>
                <w:rFonts w:ascii="Arial" w:cs="Arial" w:eastAsia="Arial" w:hAnsi="Arial"/>
                <w:sz w:val="16"/>
                <w:szCs w:val="16"/>
                <w:b w:val="1"/>
                <w:bCs w:val="1"/>
                <w:color w:val="auto"/>
              </w:rPr>
              <w:t>Retention Bonus (1)</w:t>
            </w:r>
          </w:p>
        </w:tc>
      </w:tr>
      <w:tr>
        <w:trPr>
          <w:trHeight w:val="33"/>
        </w:trPr>
        <w:tc>
          <w:tcPr>
            <w:tcW w:w="34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22"/>
        </w:trPr>
        <w:tc>
          <w:tcPr>
            <w:tcW w:w="3460" w:type="dxa"/>
            <w:vAlign w:val="bottom"/>
            <w:shd w:val="clear" w:color="auto" w:fill="00FFFF"/>
          </w:tcPr>
          <w:p>
            <w:pPr>
              <w:ind w:left="40"/>
              <w:spacing w:after="0"/>
              <w:rPr>
                <w:sz w:val="20"/>
                <w:szCs w:val="20"/>
                <w:color w:val="auto"/>
              </w:rPr>
            </w:pPr>
            <w:r>
              <w:rPr>
                <w:rFonts w:ascii="Arial" w:cs="Arial" w:eastAsia="Arial" w:hAnsi="Arial"/>
                <w:sz w:val="18"/>
                <w:szCs w:val="18"/>
                <w:b w:val="1"/>
                <w:bCs w:val="1"/>
                <w:color w:val="auto"/>
              </w:rPr>
              <w:t>Stuart I. Grimshaw</w:t>
            </w:r>
          </w:p>
        </w:tc>
        <w:tc>
          <w:tcPr>
            <w:tcW w:w="3360" w:type="dxa"/>
            <w:vAlign w:val="bottom"/>
            <w:shd w:val="clear" w:color="auto" w:fill="00FFFF"/>
          </w:tcPr>
          <w:p>
            <w:pPr>
              <w:spacing w:after="0"/>
              <w:rPr>
                <w:sz w:val="19"/>
                <w:szCs w:val="19"/>
                <w:color w:val="auto"/>
              </w:rPr>
            </w:pPr>
          </w:p>
        </w:tc>
      </w:tr>
      <w:tr>
        <w:trPr>
          <w:trHeight w:val="237"/>
        </w:trPr>
        <w:tc>
          <w:tcPr>
            <w:tcW w:w="3460" w:type="dxa"/>
            <w:vAlign w:val="bottom"/>
            <w:tcBorders>
              <w:bottom w:val="single" w:sz="8" w:color="00FFFF"/>
            </w:tcBorders>
            <w:shd w:val="clear" w:color="auto" w:fill="00FFFF"/>
          </w:tcPr>
          <w:p>
            <w:pPr>
              <w:ind w:left="40"/>
              <w:spacing w:after="0"/>
              <w:rPr>
                <w:sz w:val="20"/>
                <w:szCs w:val="20"/>
                <w:color w:val="auto"/>
              </w:rPr>
            </w:pPr>
            <w:r>
              <w:rPr>
                <w:rFonts w:ascii="Arial" w:cs="Arial" w:eastAsia="Arial" w:hAnsi="Arial"/>
                <w:sz w:val="18"/>
                <w:szCs w:val="18"/>
                <w:color w:val="auto"/>
              </w:rPr>
              <w:t>Chief Executive Officer</w:t>
            </w:r>
          </w:p>
        </w:tc>
        <w:tc>
          <w:tcPr>
            <w:tcW w:w="3360" w:type="dxa"/>
            <w:vAlign w:val="bottom"/>
            <w:tcBorders>
              <w:bottom w:val="single" w:sz="8" w:color="00FFFF"/>
            </w:tcBorders>
            <w:shd w:val="clear" w:color="auto" w:fill="00FFFF"/>
          </w:tcPr>
          <w:p>
            <w:pPr>
              <w:jc w:val="center"/>
              <w:ind w:left="291"/>
              <w:spacing w:after="0"/>
              <w:rPr>
                <w:sz w:val="20"/>
                <w:szCs w:val="20"/>
                <w:color w:val="auto"/>
              </w:rPr>
            </w:pPr>
            <w:r>
              <w:rPr>
                <w:rFonts w:ascii="Arial" w:cs="Arial" w:eastAsia="Arial" w:hAnsi="Arial"/>
                <w:sz w:val="18"/>
                <w:szCs w:val="18"/>
                <w:color w:val="auto"/>
                <w:w w:val="90"/>
              </w:rPr>
              <w:t>$1,250,000</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Lachlan P. Given</w:t>
            </w:r>
          </w:p>
        </w:tc>
        <w:tc>
          <w:tcPr>
            <w:tcW w:w="3360" w:type="dxa"/>
            <w:vAlign w:val="bottom"/>
          </w:tcPr>
          <w:p>
            <w:pPr>
              <w:spacing w:after="0"/>
              <w:rPr>
                <w:sz w:val="19"/>
                <w:szCs w:val="19"/>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Executive Chairman</w:t>
            </w:r>
          </w:p>
        </w:tc>
        <w:tc>
          <w:tcPr>
            <w:tcW w:w="3360" w:type="dxa"/>
            <w:vAlign w:val="bottom"/>
          </w:tcPr>
          <w:p>
            <w:pPr>
              <w:jc w:val="center"/>
              <w:ind w:left="271"/>
              <w:spacing w:after="0"/>
              <w:rPr>
                <w:sz w:val="20"/>
                <w:szCs w:val="20"/>
                <w:color w:val="auto"/>
              </w:rPr>
            </w:pPr>
            <w:r>
              <w:rPr>
                <w:rFonts w:ascii="Arial" w:cs="Arial" w:eastAsia="Arial" w:hAnsi="Arial"/>
                <w:sz w:val="18"/>
                <w:szCs w:val="18"/>
                <w:color w:val="auto"/>
                <w:w w:val="90"/>
              </w:rPr>
              <w:t>$450,000</w:t>
            </w:r>
          </w:p>
        </w:tc>
      </w:tr>
      <w:tr>
        <w:trPr>
          <w:trHeight w:val="27"/>
        </w:trPr>
        <w:tc>
          <w:tcPr>
            <w:tcW w:w="34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29"/>
        </w:trPr>
        <w:tc>
          <w:tcPr>
            <w:tcW w:w="3460" w:type="dxa"/>
            <w:vAlign w:val="bottom"/>
            <w:shd w:val="clear" w:color="auto" w:fill="00FFFF"/>
          </w:tcPr>
          <w:p>
            <w:pPr>
              <w:ind w:left="40"/>
              <w:spacing w:after="0"/>
              <w:rPr>
                <w:sz w:val="20"/>
                <w:szCs w:val="20"/>
                <w:color w:val="auto"/>
              </w:rPr>
            </w:pPr>
            <w:r>
              <w:rPr>
                <w:rFonts w:ascii="Arial" w:cs="Arial" w:eastAsia="Arial" w:hAnsi="Arial"/>
                <w:sz w:val="18"/>
                <w:szCs w:val="18"/>
                <w:b w:val="1"/>
                <w:bCs w:val="1"/>
                <w:color w:val="auto"/>
              </w:rPr>
              <w:t>Mark Ashby (2)</w:t>
            </w:r>
          </w:p>
        </w:tc>
        <w:tc>
          <w:tcPr>
            <w:tcW w:w="3360" w:type="dxa"/>
            <w:vAlign w:val="bottom"/>
            <w:shd w:val="clear" w:color="auto" w:fill="00FFFF"/>
          </w:tcPr>
          <w:p>
            <w:pPr>
              <w:spacing w:after="0"/>
              <w:rPr>
                <w:sz w:val="19"/>
                <w:szCs w:val="19"/>
                <w:color w:val="auto"/>
              </w:rPr>
            </w:pPr>
          </w:p>
        </w:tc>
      </w:tr>
      <w:tr>
        <w:trPr>
          <w:trHeight w:val="237"/>
        </w:trPr>
        <w:tc>
          <w:tcPr>
            <w:tcW w:w="3460" w:type="dxa"/>
            <w:vAlign w:val="bottom"/>
            <w:tcBorders>
              <w:bottom w:val="single" w:sz="8" w:color="00FFFF"/>
            </w:tcBorders>
            <w:shd w:val="clear" w:color="auto" w:fill="00FFFF"/>
          </w:tcPr>
          <w:p>
            <w:pPr>
              <w:ind w:left="40"/>
              <w:spacing w:after="0"/>
              <w:rPr>
                <w:sz w:val="20"/>
                <w:szCs w:val="20"/>
                <w:color w:val="auto"/>
              </w:rPr>
            </w:pPr>
            <w:r>
              <w:rPr>
                <w:rFonts w:ascii="Arial" w:cs="Arial" w:eastAsia="Arial" w:hAnsi="Arial"/>
                <w:sz w:val="18"/>
                <w:szCs w:val="18"/>
                <w:color w:val="auto"/>
              </w:rPr>
              <w:t>Chief Financial Officer</w:t>
            </w:r>
          </w:p>
        </w:tc>
        <w:tc>
          <w:tcPr>
            <w:tcW w:w="3360" w:type="dxa"/>
            <w:vAlign w:val="bottom"/>
            <w:tcBorders>
              <w:bottom w:val="single" w:sz="8" w:color="00FFFF"/>
            </w:tcBorders>
            <w:shd w:val="clear" w:color="auto" w:fill="00FFFF"/>
          </w:tcPr>
          <w:p>
            <w:pPr>
              <w:jc w:val="center"/>
              <w:ind w:left="271"/>
              <w:spacing w:after="0"/>
              <w:rPr>
                <w:sz w:val="20"/>
                <w:szCs w:val="20"/>
                <w:color w:val="auto"/>
              </w:rPr>
            </w:pPr>
            <w:r>
              <w:rPr>
                <w:rFonts w:ascii="Arial" w:cs="Arial" w:eastAsia="Arial" w:hAnsi="Arial"/>
                <w:sz w:val="18"/>
                <w:szCs w:val="18"/>
                <w:color w:val="auto"/>
                <w:w w:val="90"/>
              </w:rPr>
              <w:t>$122,750</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Jodie Maccarrone</w:t>
            </w:r>
          </w:p>
        </w:tc>
        <w:tc>
          <w:tcPr>
            <w:tcW w:w="3360" w:type="dxa"/>
            <w:vAlign w:val="bottom"/>
          </w:tcPr>
          <w:p>
            <w:pPr>
              <w:spacing w:after="0"/>
              <w:rPr>
                <w:sz w:val="19"/>
                <w:szCs w:val="19"/>
                <w:color w:val="auto"/>
              </w:rPr>
            </w:pPr>
          </w:p>
        </w:tc>
      </w:tr>
      <w:tr>
        <w:trPr>
          <w:trHeight w:val="216"/>
        </w:trPr>
        <w:tc>
          <w:tcPr>
            <w:tcW w:w="3460" w:type="dxa"/>
            <w:vAlign w:val="bottom"/>
          </w:tcPr>
          <w:p>
            <w:pPr>
              <w:ind w:left="40"/>
              <w:spacing w:after="0"/>
              <w:rPr>
                <w:sz w:val="20"/>
                <w:szCs w:val="20"/>
                <w:color w:val="auto"/>
              </w:rPr>
            </w:pPr>
            <w:r>
              <w:rPr>
                <w:rFonts w:ascii="Arial" w:cs="Arial" w:eastAsia="Arial" w:hAnsi="Arial"/>
                <w:sz w:val="18"/>
                <w:szCs w:val="18"/>
                <w:color w:val="auto"/>
              </w:rPr>
              <w:t>Chief Strategy Officer and</w:t>
            </w:r>
          </w:p>
        </w:tc>
        <w:tc>
          <w:tcPr>
            <w:tcW w:w="3360" w:type="dxa"/>
            <w:vAlign w:val="bottom"/>
          </w:tcPr>
          <w:p>
            <w:pPr>
              <w:spacing w:after="0"/>
              <w:rPr>
                <w:sz w:val="18"/>
                <w:szCs w:val="18"/>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Vice Chair, Grupo Finmart</w:t>
            </w:r>
          </w:p>
        </w:tc>
        <w:tc>
          <w:tcPr>
            <w:tcW w:w="3360" w:type="dxa"/>
            <w:vAlign w:val="bottom"/>
          </w:tcPr>
          <w:p>
            <w:pPr>
              <w:jc w:val="center"/>
              <w:ind w:left="271"/>
              <w:spacing w:after="0"/>
              <w:rPr>
                <w:sz w:val="20"/>
                <w:szCs w:val="20"/>
                <w:color w:val="auto"/>
              </w:rPr>
            </w:pPr>
            <w:r>
              <w:rPr>
                <w:rFonts w:ascii="Arial" w:cs="Arial" w:eastAsia="Arial" w:hAnsi="Arial"/>
                <w:sz w:val="18"/>
                <w:szCs w:val="18"/>
                <w:color w:val="auto"/>
                <w:w w:val="90"/>
              </w:rPr>
              <w:t>$200,000</w:t>
            </w:r>
          </w:p>
        </w:tc>
      </w:tr>
      <w:tr>
        <w:trPr>
          <w:trHeight w:val="27"/>
        </w:trPr>
        <w:tc>
          <w:tcPr>
            <w:tcW w:w="34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29"/>
        </w:trPr>
        <w:tc>
          <w:tcPr>
            <w:tcW w:w="3460" w:type="dxa"/>
            <w:vAlign w:val="bottom"/>
            <w:shd w:val="clear" w:color="auto" w:fill="00FFFF"/>
          </w:tcPr>
          <w:p>
            <w:pPr>
              <w:ind w:left="40"/>
              <w:spacing w:after="0"/>
              <w:rPr>
                <w:sz w:val="20"/>
                <w:szCs w:val="20"/>
                <w:color w:val="auto"/>
              </w:rPr>
            </w:pPr>
            <w:r>
              <w:rPr>
                <w:rFonts w:ascii="Arial" w:cs="Arial" w:eastAsia="Arial" w:hAnsi="Arial"/>
                <w:sz w:val="18"/>
                <w:szCs w:val="18"/>
                <w:b w:val="1"/>
                <w:bCs w:val="1"/>
                <w:color w:val="auto"/>
              </w:rPr>
              <w:t>Thomas H. Welch, Jr.</w:t>
            </w:r>
          </w:p>
        </w:tc>
        <w:tc>
          <w:tcPr>
            <w:tcW w:w="3360" w:type="dxa"/>
            <w:vAlign w:val="bottom"/>
            <w:shd w:val="clear" w:color="auto" w:fill="00FFFF"/>
          </w:tcPr>
          <w:p>
            <w:pPr>
              <w:spacing w:after="0"/>
              <w:rPr>
                <w:sz w:val="19"/>
                <w:szCs w:val="19"/>
                <w:color w:val="auto"/>
              </w:rPr>
            </w:pPr>
          </w:p>
        </w:tc>
      </w:tr>
      <w:tr>
        <w:trPr>
          <w:trHeight w:val="216"/>
        </w:trPr>
        <w:tc>
          <w:tcPr>
            <w:tcW w:w="3460" w:type="dxa"/>
            <w:vAlign w:val="bottom"/>
            <w:shd w:val="clear" w:color="auto" w:fill="00FFFF"/>
          </w:tcPr>
          <w:p>
            <w:pPr>
              <w:ind w:left="40"/>
              <w:spacing w:after="0"/>
              <w:rPr>
                <w:sz w:val="20"/>
                <w:szCs w:val="20"/>
                <w:color w:val="auto"/>
              </w:rPr>
            </w:pPr>
            <w:r>
              <w:rPr>
                <w:rFonts w:ascii="Arial" w:cs="Arial" w:eastAsia="Arial" w:hAnsi="Arial"/>
                <w:sz w:val="18"/>
                <w:szCs w:val="18"/>
                <w:color w:val="auto"/>
              </w:rPr>
              <w:t>Senior Vice President,</w:t>
            </w:r>
          </w:p>
        </w:tc>
        <w:tc>
          <w:tcPr>
            <w:tcW w:w="3360" w:type="dxa"/>
            <w:vAlign w:val="bottom"/>
            <w:shd w:val="clear" w:color="auto" w:fill="00FFFF"/>
          </w:tcPr>
          <w:p>
            <w:pPr>
              <w:spacing w:after="0"/>
              <w:rPr>
                <w:sz w:val="18"/>
                <w:szCs w:val="18"/>
                <w:color w:val="auto"/>
              </w:rPr>
            </w:pPr>
          </w:p>
        </w:tc>
      </w:tr>
      <w:tr>
        <w:trPr>
          <w:trHeight w:val="291"/>
        </w:trPr>
        <w:tc>
          <w:tcPr>
            <w:tcW w:w="3460" w:type="dxa"/>
            <w:vAlign w:val="bottom"/>
            <w:tcBorders>
              <w:bottom w:val="single" w:sz="8" w:color="00FFFF"/>
            </w:tcBorders>
            <w:shd w:val="clear" w:color="auto" w:fill="00FFFF"/>
          </w:tcPr>
          <w:p>
            <w:pPr>
              <w:ind w:left="40"/>
              <w:spacing w:after="0"/>
              <w:rPr>
                <w:sz w:val="20"/>
                <w:szCs w:val="20"/>
                <w:color w:val="auto"/>
              </w:rPr>
            </w:pPr>
            <w:r>
              <w:rPr>
                <w:rFonts w:ascii="Arial" w:cs="Arial" w:eastAsia="Arial" w:hAnsi="Arial"/>
                <w:sz w:val="18"/>
                <w:szCs w:val="18"/>
                <w:color w:val="auto"/>
              </w:rPr>
              <w:t>General Counsel and Secretary</w:t>
            </w:r>
          </w:p>
        </w:tc>
        <w:tc>
          <w:tcPr>
            <w:tcW w:w="3360" w:type="dxa"/>
            <w:vAlign w:val="bottom"/>
            <w:tcBorders>
              <w:bottom w:val="single" w:sz="8" w:color="00FFFF"/>
            </w:tcBorders>
            <w:shd w:val="clear" w:color="auto" w:fill="00FFFF"/>
          </w:tcPr>
          <w:p>
            <w:pPr>
              <w:jc w:val="center"/>
              <w:ind w:left="271"/>
              <w:spacing w:after="0"/>
              <w:rPr>
                <w:sz w:val="20"/>
                <w:szCs w:val="20"/>
                <w:color w:val="auto"/>
              </w:rPr>
            </w:pPr>
            <w:r>
              <w:rPr>
                <w:rFonts w:ascii="Arial" w:cs="Arial" w:eastAsia="Arial" w:hAnsi="Arial"/>
                <w:sz w:val="18"/>
                <w:szCs w:val="18"/>
                <w:color w:val="auto"/>
                <w:w w:val="90"/>
              </w:rPr>
              <w:t>$153,750</w:t>
            </w:r>
          </w:p>
        </w:tc>
      </w:tr>
      <w:tr>
        <w:trPr>
          <w:trHeight w:val="20"/>
        </w:trPr>
        <w:tc>
          <w:tcPr>
            <w:tcW w:w="346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1140" w:right="620" w:hanging="484"/>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each case, the amount of the Retention Bonus is equal to 50% of the target payout that would have been paid under the Fiscal 2015 Incentive Bonus Plan.</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Ashby’s Retention Bonus is prorated to reflect the number of days he was employed by the Company during fiscal 2015.</w:t>
      </w:r>
    </w:p>
    <w:p>
      <w:pPr>
        <w:sectPr>
          <w:pgSz w:w="11900" w:h="16838" w:orient="portrait"/>
          <w:cols w:equalWidth="0" w:num="1">
            <w:col w:w="11380"/>
          </w:cols>
          <w:pgMar w:left="240" w:top="58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880" w:val="left"/>
          <w:tab w:leader="none" w:pos="7320" w:val="left"/>
        </w:tabs>
        <w:rPr>
          <w:sz w:val="20"/>
          <w:szCs w:val="20"/>
          <w:color w:val="auto"/>
        </w:rPr>
      </w:pPr>
      <w:r>
        <w:rPr>
          <w:rFonts w:ascii="Arial" w:cs="Arial" w:eastAsia="Arial" w:hAnsi="Arial"/>
          <w:sz w:val="18"/>
          <w:szCs w:val="18"/>
          <w:color w:val="auto"/>
        </w:rPr>
        <w:t>Date: November 19,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2020-01-25T07:17:47Z</dcterms:created>
  <dcterms:modified xsi:type="dcterms:W3CDTF">2020-01-25T07:17:47Z</dcterms:modified>
</cp:coreProperties>
</file>