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40" w:before="0" w:after="0"/>
        <w:jc w:val="center"/>
        <w:rPr>
          <w:rFonts w:ascii="inherit" w:hAnsi="inherit"/>
          <w:b/>
          <w:sz w:val="15"/>
        </w:rPr>
      </w:pPr>
      <w:bookmarkStart w:id="0" w:name="s19FAF90AF6F0302CD4C09E9ED3A75982"/>
      <w:bookmarkStart w:id="1" w:name="a2013109-2006ipformsx8ezco.htm"/>
      <w:bookmarkStart w:id="2" w:name="ksa20131092006ipformsx8ezco"/>
      <w:bookmarkEnd w:id="0"/>
      <w:bookmarkEnd w:id="1"/>
      <w:bookmarkEnd w:id="2"/>
      <w:r>
        <w:rPr>
          <w:rFonts w:ascii="inherit" w:hAnsi="inherit"/>
          <w:b/>
          <w:sz w:val="15"/>
        </w:rPr>
        <w:t>As filed with the Securities and Exchange Commission on October 10, 2013</w:t>
      </w:r>
    </w:p>
    <w:p>
      <w:pPr>
        <w:pStyle w:val="TextBody"/>
        <w:spacing w:lineRule="auto" w:line="240" w:before="0" w:after="0"/>
        <w:jc w:val="right"/>
        <w:rPr>
          <w:rFonts w:ascii="inherit" w:hAnsi="inherit"/>
          <w:b/>
          <w:sz w:val="15"/>
        </w:rPr>
      </w:pPr>
      <w:r>
        <w:rPr>
          <w:rFonts w:ascii="inherit" w:hAnsi="inherit"/>
          <w:b/>
          <w:sz w:val="15"/>
        </w:rPr>
        <w:t>Registration No. 333-   </w:t>
      </w:r>
    </w:p>
    <w:tbl>
      <w:tblPr>
        <w:tblW w:w="309" w:type="dxa"/>
        <w:jc w:val="center"/>
        <w:tblInd w:w="0" w:type="dxa"/>
        <w:tblCellMar>
          <w:top w:w="0" w:type="dxa"/>
          <w:left w:w="0" w:type="dxa"/>
          <w:bottom w:w="0" w:type="dxa"/>
          <w:right w:w="0" w:type="dxa"/>
        </w:tblCellMar>
      </w:tblPr>
      <w:tblGrid>
        <w:gridCol w:w="105"/>
        <w:gridCol w:w="102"/>
        <w:gridCol w:w="102"/>
      </w:tblGrid>
      <w:tr>
        <w:trPr/>
        <w:tc>
          <w:tcPr>
            <w:tcW w:w="309" w:type="dxa"/>
            <w:gridSpan w:val="3"/>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02" w:type="dxa"/>
            <w:tcBorders>
              <w:bottom w:val="double" w:sz="6" w:space="0" w:color="000000"/>
            </w:tcBorders>
            <w:shd w:fill="auto" w:val="clear"/>
            <w:tcMar>
              <w:bottom w:w="30" w:type="dxa"/>
            </w:tcMar>
            <w:vAlign w:val="center"/>
          </w:tcPr>
          <w:p>
            <w:pPr>
              <w:pStyle w:val="TableContents"/>
              <w:spacing w:before="0" w:after="0"/>
              <w:ind w:left="0" w:right="0" w:firstLine="30"/>
              <w:rPr/>
            </w:pPr>
            <w:r>
              <w:rPr/>
              <w:t> </w:t>
            </w:r>
          </w:p>
        </w:tc>
        <w:tc>
          <w:tcPr>
            <w:tcW w:w="102" w:type="dxa"/>
            <w:tcBorders>
              <w:bottom w:val="double" w:sz="6" w:space="0" w:color="000000"/>
            </w:tcBorders>
            <w:shd w:fill="auto" w:val="clear"/>
            <w:tcMar>
              <w:bottom w:w="30" w:type="dxa"/>
            </w:tcMar>
            <w:vAlign w:val="center"/>
          </w:tcPr>
          <w:p>
            <w:pPr>
              <w:pStyle w:val="TableContents"/>
              <w:spacing w:before="0" w:after="0"/>
              <w:rPr/>
            </w:pPr>
            <w:r>
              <w:rPr/>
              <w:t> </w:t>
            </w:r>
          </w:p>
        </w:tc>
      </w:tr>
    </w:tbl>
    <w:p>
      <w:pPr>
        <w:pStyle w:val="TextBody"/>
        <w:spacing w:lineRule="auto" w:line="240" w:before="0" w:after="0"/>
        <w:jc w:val="center"/>
        <w:rPr/>
      </w:pPr>
      <w:r>
        <w:rPr/>
        <w:t>      </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sz w:val="23"/>
        </w:rPr>
      </w:pPr>
      <w:r>
        <w:rPr>
          <w:rFonts w:ascii="inherit" w:hAnsi="inherit"/>
          <w:b/>
          <w:sz w:val="23"/>
        </w:rPr>
        <w:t>UNITED STATES</w:t>
      </w:r>
      <w:r>
        <w:rPr>
          <w:sz w:val="23"/>
        </w:rPr>
        <w:t xml:space="preserve"> </w:t>
      </w:r>
      <w:r>
        <w:rPr>
          <w:rFonts w:ascii="inherit" w:hAnsi="inherit"/>
          <w:sz w:val="17"/>
        </w:rPr>
        <w:br/>
      </w:r>
      <w:r>
        <w:rPr>
          <w:rFonts w:ascii="inherit" w:hAnsi="inherit"/>
          <w:b/>
          <w:sz w:val="23"/>
        </w:rPr>
        <w:t>SECURITIES AND EXCHANGE COMMISSION</w:t>
      </w:r>
    </w:p>
    <w:p>
      <w:pPr>
        <w:pStyle w:val="TextBody"/>
        <w:spacing w:lineRule="auto" w:line="288" w:before="0" w:after="0"/>
        <w:jc w:val="center"/>
        <w:rPr>
          <w:rFonts w:ascii="inherit" w:hAnsi="inherit"/>
          <w:b/>
          <w:sz w:val="17"/>
        </w:rPr>
      </w:pPr>
      <w:r>
        <w:rPr>
          <w:rFonts w:ascii="inherit" w:hAnsi="inherit"/>
          <w:b/>
          <w:sz w:val="17"/>
        </w:rPr>
        <w:t>Washington, D.C. 20549</w:t>
      </w:r>
    </w:p>
    <w:p>
      <w:pPr>
        <w:pStyle w:val="TextBody"/>
        <w:spacing w:lineRule="auto" w:line="288" w:before="0" w:after="0"/>
        <w:jc w:val="center"/>
        <w:rPr>
          <w:rFonts w:ascii="inherit" w:hAnsi="inherit"/>
          <w:b/>
          <w:sz w:val="33"/>
        </w:rPr>
      </w:pPr>
      <w:r>
        <w:rPr>
          <w:rFonts w:ascii="inherit" w:hAnsi="inherit"/>
          <w:b/>
          <w:sz w:val="33"/>
        </w:rPr>
        <w:t>FORM S</w:t>
        <w:noBreakHyphen/>
        <w:t xml:space="preserve">8 </w:t>
      </w:r>
    </w:p>
    <w:p>
      <w:pPr>
        <w:pStyle w:val="TextBody"/>
        <w:spacing w:lineRule="auto" w:line="240" w:before="0" w:after="0"/>
        <w:jc w:val="center"/>
        <w:rPr>
          <w:sz w:val="17"/>
        </w:rPr>
      </w:pPr>
      <w:r>
        <w:rPr>
          <w:rFonts w:ascii="inherit" w:hAnsi="inherit"/>
          <w:b/>
          <w:sz w:val="17"/>
        </w:rPr>
        <w:t>REGISTRATION STATEMENT</w:t>
      </w:r>
      <w:r>
        <w:rPr>
          <w:sz w:val="17"/>
        </w:rPr>
        <w:t xml:space="preserve"> </w:t>
      </w:r>
      <w:r>
        <w:rPr>
          <w:rFonts w:ascii="inherit" w:hAnsi="inherit"/>
          <w:sz w:val="17"/>
        </w:rPr>
        <w:br/>
      </w:r>
      <w:r>
        <w:rPr>
          <w:rFonts w:ascii="inherit" w:hAnsi="inherit"/>
          <w:b/>
          <w:sz w:val="17"/>
        </w:rPr>
        <w:t>UNDER</w:t>
      </w:r>
      <w:r>
        <w:rPr>
          <w:sz w:val="17"/>
        </w:rPr>
        <w:t xml:space="preserve"> </w:t>
      </w:r>
      <w:r>
        <w:rPr>
          <w:rFonts w:ascii="inherit" w:hAnsi="inherit"/>
          <w:sz w:val="17"/>
        </w:rPr>
        <w:br/>
      </w:r>
      <w:r>
        <w:rPr>
          <w:rFonts w:ascii="inherit" w:hAnsi="inherit"/>
          <w:b/>
          <w:sz w:val="17"/>
        </w:rPr>
        <w:t>THE SECURITIES ACT OF 1933</w:t>
      </w:r>
    </w:p>
    <w:p>
      <w:pPr>
        <w:pStyle w:val="TextBody"/>
        <w:spacing w:lineRule="auto" w:line="240" w:before="0" w:after="0"/>
        <w:jc w:val="center"/>
        <w:rPr>
          <w:rFonts w:ascii="inherit" w:hAnsi="inherit"/>
          <w:sz w:val="17"/>
        </w:rPr>
      </w:pPr>
      <w:r>
        <w:rPr>
          <w:rFonts w:ascii="inherit" w:hAnsi="inherit"/>
          <w:sz w:val="17"/>
        </w:rPr>
      </w:r>
    </w:p>
    <w:p>
      <w:pPr>
        <w:pStyle w:val="TextBody"/>
        <w:spacing w:lineRule="auto" w:line="240" w:before="0" w:after="0"/>
        <w:jc w:val="center"/>
        <w:rPr>
          <w:rFonts w:ascii="inherit" w:hAnsi="inherit"/>
          <w:sz w:val="17"/>
        </w:rPr>
      </w:pPr>
      <w:r>
        <w:rPr>
          <w:rFonts w:ascii="inherit" w:hAnsi="inherit"/>
          <w:sz w:val="17"/>
        </w:rPr>
      </w:r>
    </w:p>
    <w:p>
      <w:pPr>
        <w:pStyle w:val="TextBody"/>
        <w:spacing w:lineRule="auto" w:line="240" w:before="0" w:after="0"/>
        <w:jc w:val="center"/>
        <w:rPr>
          <w:rFonts w:ascii="inherit" w:hAnsi="inherit"/>
          <w:b/>
          <w:sz w:val="20"/>
        </w:rPr>
      </w:pPr>
      <w:r>
        <w:rPr>
          <w:rFonts w:ascii="inherit" w:hAnsi="inherit"/>
          <w:b/>
          <w:sz w:val="20"/>
        </w:rPr>
        <w:t>EZCORP, INC.</w:t>
      </w:r>
    </w:p>
    <w:p>
      <w:pPr>
        <w:pStyle w:val="TextBody"/>
        <w:spacing w:lineRule="auto" w:line="240" w:before="0" w:after="0"/>
        <w:jc w:val="center"/>
        <w:rPr>
          <w:rFonts w:ascii="inherit" w:hAnsi="inherit"/>
          <w:i/>
          <w:sz w:val="13"/>
        </w:rPr>
      </w:pPr>
      <w:r>
        <w:rPr>
          <w:rFonts w:ascii="inherit" w:hAnsi="inherit"/>
          <w:i/>
          <w:sz w:val="13"/>
        </w:rPr>
        <w:t>(Exact name of registrant as specified in its charter)</w:t>
      </w:r>
    </w:p>
    <w:p>
      <w:pPr>
        <w:pStyle w:val="TextBody"/>
        <w:spacing w:lineRule="auto" w:line="240" w:before="0" w:after="0"/>
        <w:jc w:val="center"/>
        <w:rPr>
          <w:rFonts w:ascii="inherit" w:hAnsi="inherit"/>
          <w:sz w:val="13"/>
        </w:rPr>
      </w:pPr>
      <w:r>
        <w:rPr>
          <w:rFonts w:ascii="inherit" w:hAnsi="inherit"/>
          <w:sz w:val="13"/>
        </w:rPr>
      </w:r>
    </w:p>
    <w:tbl>
      <w:tblPr>
        <w:tblW w:w="5764" w:type="dxa"/>
        <w:jc w:val="left"/>
        <w:tblInd w:w="0" w:type="dxa"/>
        <w:tblCellMar>
          <w:top w:w="0" w:type="dxa"/>
          <w:left w:w="0" w:type="dxa"/>
          <w:bottom w:w="0" w:type="dxa"/>
          <w:right w:w="0" w:type="dxa"/>
        </w:tblCellMar>
      </w:tblPr>
      <w:tblGrid>
        <w:gridCol w:w="2882"/>
        <w:gridCol w:w="2882"/>
      </w:tblGrid>
      <w:tr>
        <w:trPr/>
        <w:tc>
          <w:tcPr>
            <w:tcW w:w="5764" w:type="dxa"/>
            <w:gridSpan w:val="2"/>
            <w:tcBorders/>
            <w:shd w:fill="auto" w:val="clear"/>
            <w:vAlign w:val="center"/>
          </w:tcPr>
          <w:p>
            <w:pPr>
              <w:pStyle w:val="TableContents"/>
              <w:spacing w:before="0" w:after="283"/>
              <w:rPr>
                <w:sz w:val="4"/>
                <w:szCs w:val="4"/>
              </w:rPr>
            </w:pPr>
            <w:r>
              <w:rPr>
                <w:sz w:val="4"/>
                <w:szCs w:val="4"/>
              </w:rPr>
            </w:r>
          </w:p>
        </w:tc>
      </w:tr>
      <w:tr>
        <w:trPr/>
        <w:tc>
          <w:tcPr>
            <w:tcW w:w="2882" w:type="dxa"/>
            <w:tcBorders/>
            <w:shd w:fill="auto" w:val="clear"/>
            <w:vAlign w:val="center"/>
          </w:tcPr>
          <w:p>
            <w:pPr>
              <w:pStyle w:val="TableContents"/>
              <w:spacing w:before="0" w:after="283"/>
              <w:rPr>
                <w:sz w:val="4"/>
                <w:szCs w:val="4"/>
              </w:rPr>
            </w:pPr>
            <w:r>
              <w:rPr>
                <w:sz w:val="4"/>
                <w:szCs w:val="4"/>
              </w:rPr>
            </w:r>
          </w:p>
        </w:tc>
        <w:tc>
          <w:tcPr>
            <w:tcW w:w="288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82" w:type="dxa"/>
            <w:tcBorders/>
            <w:shd w:fill="auto" w:val="clear"/>
            <w:vAlign w:val="center"/>
          </w:tcPr>
          <w:p>
            <w:pPr>
              <w:pStyle w:val="TableContents"/>
              <w:spacing w:before="0" w:after="0"/>
              <w:jc w:val="center"/>
              <w:rPr>
                <w:rFonts w:ascii="inherit" w:hAnsi="inherit"/>
                <w:b/>
                <w:sz w:val="13"/>
              </w:rPr>
            </w:pPr>
            <w:r>
              <w:rPr>
                <w:rFonts w:ascii="inherit" w:hAnsi="inherit"/>
                <w:b/>
                <w:sz w:val="13"/>
              </w:rPr>
              <w:t>Delaware</w:t>
            </w:r>
          </w:p>
          <w:p>
            <w:pPr>
              <w:pStyle w:val="TableContents"/>
              <w:spacing w:before="0" w:after="0"/>
              <w:ind w:left="0" w:right="0" w:firstLine="30"/>
              <w:jc w:val="center"/>
              <w:rPr>
                <w:rFonts w:ascii="inherit" w:hAnsi="inherit"/>
                <w:i/>
                <w:sz w:val="13"/>
              </w:rPr>
            </w:pPr>
            <w:r>
              <w:rPr>
                <w:rFonts w:ascii="inherit" w:hAnsi="inherit"/>
                <w:i/>
                <w:sz w:val="13"/>
              </w:rPr>
              <w:t xml:space="preserve">(State or other jurisdiction </w:t>
              <w:br/>
              <w:t>of incorporation or organization)</w:t>
            </w:r>
          </w:p>
        </w:tc>
        <w:tc>
          <w:tcPr>
            <w:tcW w:w="2882" w:type="dxa"/>
            <w:tcBorders/>
            <w:shd w:fill="auto" w:val="clear"/>
            <w:vAlign w:val="center"/>
          </w:tcPr>
          <w:p>
            <w:pPr>
              <w:pStyle w:val="TableContents"/>
              <w:spacing w:before="0" w:after="0"/>
              <w:jc w:val="center"/>
              <w:rPr>
                <w:rFonts w:ascii="inherit" w:hAnsi="inherit"/>
                <w:b/>
                <w:sz w:val="13"/>
              </w:rPr>
            </w:pPr>
            <w:r>
              <w:rPr>
                <w:rFonts w:ascii="inherit" w:hAnsi="inherit"/>
                <w:b/>
                <w:sz w:val="13"/>
              </w:rPr>
              <w:t>74</w:t>
              <w:noBreakHyphen/>
              <w:t>2540145</w:t>
            </w:r>
          </w:p>
          <w:p>
            <w:pPr>
              <w:pStyle w:val="TableContents"/>
              <w:spacing w:before="0" w:after="0"/>
              <w:ind w:left="0" w:right="0" w:firstLine="30"/>
              <w:jc w:val="center"/>
              <w:rPr>
                <w:rFonts w:ascii="inherit" w:hAnsi="inherit"/>
                <w:i/>
                <w:sz w:val="13"/>
              </w:rPr>
            </w:pPr>
            <w:r>
              <w:rPr>
                <w:rFonts w:ascii="inherit" w:hAnsi="inherit"/>
                <w:i/>
                <w:sz w:val="13"/>
              </w:rPr>
              <w:t xml:space="preserve">(I.R.S. Employer </w:t>
              <w:br/>
              <w:t>Identification Number)</w:t>
            </w:r>
          </w:p>
        </w:tc>
      </w:tr>
      <w:tr>
        <w:trPr/>
        <w:tc>
          <w:tcPr>
            <w:tcW w:w="2882" w:type="dxa"/>
            <w:tcBorders/>
            <w:shd w:fill="auto" w:val="clear"/>
            <w:vAlign w:val="center"/>
          </w:tcPr>
          <w:p>
            <w:pPr>
              <w:pStyle w:val="TableContents"/>
              <w:spacing w:before="0" w:after="0"/>
              <w:jc w:val="center"/>
              <w:rPr>
                <w:rFonts w:ascii="inherit" w:hAnsi="inherit"/>
                <w:b/>
                <w:sz w:val="13"/>
              </w:rPr>
            </w:pPr>
            <w:r>
              <w:rPr>
                <w:rFonts w:ascii="inherit" w:hAnsi="inherit"/>
                <w:b/>
                <w:sz w:val="13"/>
              </w:rPr>
              <w:t xml:space="preserve">1901 Capital Parkway </w:t>
              <w:br/>
              <w:t>Austin, Texas</w:t>
            </w:r>
          </w:p>
          <w:p>
            <w:pPr>
              <w:pStyle w:val="TableContents"/>
              <w:spacing w:before="0" w:after="0"/>
              <w:ind w:left="0" w:right="0" w:firstLine="30"/>
              <w:jc w:val="center"/>
              <w:rPr>
                <w:rFonts w:ascii="inherit" w:hAnsi="inherit"/>
                <w:i/>
                <w:sz w:val="13"/>
              </w:rPr>
            </w:pPr>
            <w:r>
              <w:rPr>
                <w:rFonts w:ascii="inherit" w:hAnsi="inherit"/>
                <w:i/>
                <w:sz w:val="13"/>
              </w:rPr>
              <w:t>(Address of principal executive offices)</w:t>
            </w:r>
          </w:p>
        </w:tc>
        <w:tc>
          <w:tcPr>
            <w:tcW w:w="2882" w:type="dxa"/>
            <w:tcBorders/>
            <w:shd w:fill="auto" w:val="clear"/>
            <w:vAlign w:val="center"/>
          </w:tcPr>
          <w:p>
            <w:pPr>
              <w:pStyle w:val="TableContents"/>
              <w:spacing w:before="0" w:after="0"/>
              <w:jc w:val="center"/>
              <w:rPr>
                <w:rFonts w:ascii="inherit" w:hAnsi="inherit"/>
                <w:b/>
                <w:sz w:val="13"/>
              </w:rPr>
            </w:pPr>
            <w:r>
              <w:rPr>
                <w:rFonts w:ascii="inherit" w:hAnsi="inherit"/>
                <w:b/>
                <w:sz w:val="13"/>
              </w:rPr>
              <w:t>78746</w:t>
            </w:r>
          </w:p>
          <w:p>
            <w:pPr>
              <w:pStyle w:val="TableContents"/>
              <w:spacing w:before="0" w:after="0"/>
              <w:jc w:val="center"/>
              <w:rPr>
                <w:rFonts w:ascii="inherit" w:hAnsi="inherit"/>
                <w:i/>
                <w:sz w:val="13"/>
              </w:rPr>
            </w:pPr>
            <w:r>
              <w:rPr>
                <w:rFonts w:ascii="inherit" w:hAnsi="inherit"/>
                <w:i/>
                <w:sz w:val="13"/>
              </w:rPr>
              <w:t>(Zip Code)</w:t>
            </w:r>
          </w:p>
        </w:tc>
      </w:tr>
    </w:tbl>
    <w:p>
      <w:pPr>
        <w:pStyle w:val="TextBody"/>
        <w:spacing w:lineRule="auto" w:line="240" w:before="0" w:after="0"/>
        <w:jc w:val="center"/>
        <w:rPr>
          <w:rFonts w:ascii="inherit" w:hAnsi="inherit"/>
          <w:sz w:val="13"/>
        </w:rPr>
      </w:pPr>
      <w:r>
        <w:rPr>
          <w:rFonts w:ascii="inherit" w:hAnsi="inherit"/>
          <w:sz w:val="13"/>
        </w:rPr>
      </w:r>
    </w:p>
    <w:p>
      <w:pPr>
        <w:pStyle w:val="TextBody"/>
        <w:spacing w:lineRule="auto" w:line="240" w:before="0" w:after="0"/>
        <w:jc w:val="center"/>
        <w:rPr>
          <w:sz w:val="17"/>
        </w:rPr>
      </w:pPr>
      <w:r>
        <w:rPr>
          <w:rFonts w:ascii="inherit" w:hAnsi="inherit"/>
          <w:b/>
          <w:sz w:val="13"/>
        </w:rPr>
        <w:t>EZCORP, Inc. 2006 Incentive Plan</w:t>
      </w:r>
      <w:r>
        <w:rPr>
          <w:sz w:val="17"/>
        </w:rPr>
        <w:t xml:space="preserve"> </w:t>
      </w:r>
      <w:r>
        <w:rPr>
          <w:rFonts w:ascii="inherit" w:hAnsi="inherit"/>
          <w:sz w:val="17"/>
        </w:rPr>
        <w:br/>
      </w:r>
      <w:r>
        <w:rPr>
          <w:rFonts w:ascii="inherit" w:hAnsi="inherit"/>
          <w:i/>
          <w:sz w:val="13"/>
        </w:rPr>
        <w:t>(Full title of plan)</w:t>
      </w:r>
    </w:p>
    <w:p>
      <w:pPr>
        <w:pStyle w:val="TextBody"/>
        <w:spacing w:lineRule="auto" w:line="240" w:before="0" w:after="0"/>
        <w:jc w:val="center"/>
        <w:rPr>
          <w:rFonts w:ascii="inherit" w:hAnsi="inherit"/>
          <w:sz w:val="13"/>
        </w:rPr>
      </w:pPr>
      <w:r>
        <w:rPr>
          <w:rFonts w:ascii="inherit" w:hAnsi="inherit"/>
          <w:sz w:val="13"/>
        </w:rPr>
      </w:r>
    </w:p>
    <w:p>
      <w:pPr>
        <w:pStyle w:val="TextBody"/>
        <w:spacing w:lineRule="auto" w:line="240" w:before="0" w:after="0"/>
        <w:jc w:val="center"/>
        <w:rPr>
          <w:rFonts w:ascii="inherit" w:hAnsi="inherit"/>
          <w:b/>
          <w:sz w:val="13"/>
        </w:rPr>
      </w:pPr>
      <w:r>
        <w:rPr>
          <w:rFonts w:ascii="inherit" w:hAnsi="inherit"/>
          <w:b/>
          <w:sz w:val="13"/>
        </w:rPr>
        <w:t xml:space="preserve">Thomas H. Welch, Jr. </w:t>
        <w:br/>
        <w:t xml:space="preserve">1901 Capital Parkway </w:t>
        <w:br/>
        <w:t>Austin, Texas 78746</w:t>
      </w:r>
    </w:p>
    <w:p>
      <w:pPr>
        <w:pStyle w:val="TextBody"/>
        <w:spacing w:lineRule="auto" w:line="240" w:before="0" w:after="0"/>
        <w:jc w:val="center"/>
        <w:rPr>
          <w:sz w:val="17"/>
        </w:rPr>
      </w:pPr>
      <w:r>
        <w:rPr>
          <w:rFonts w:ascii="inherit" w:hAnsi="inherit"/>
          <w:i/>
          <w:sz w:val="13"/>
        </w:rPr>
        <w:t>(Name and address of agent for service)</w:t>
      </w:r>
      <w:r>
        <w:rPr>
          <w:sz w:val="17"/>
        </w:rPr>
        <w:t xml:space="preserve"> </w:t>
      </w:r>
      <w:r>
        <w:rPr>
          <w:rFonts w:ascii="inherit" w:hAnsi="inherit"/>
          <w:sz w:val="17"/>
        </w:rPr>
        <w:br/>
      </w:r>
      <w:r>
        <w:rPr>
          <w:rFonts w:ascii="inherit" w:hAnsi="inherit"/>
          <w:b/>
          <w:sz w:val="13"/>
        </w:rPr>
        <w:t>(512) 314</w:t>
        <w:noBreakHyphen/>
        <w:t>3400</w:t>
      </w:r>
      <w:r>
        <w:rPr>
          <w:sz w:val="17"/>
        </w:rPr>
        <w:t xml:space="preserve"> </w:t>
      </w:r>
      <w:r>
        <w:rPr>
          <w:rFonts w:ascii="inherit" w:hAnsi="inherit"/>
          <w:sz w:val="17"/>
        </w:rPr>
        <w:br/>
      </w:r>
      <w:r>
        <w:rPr>
          <w:rFonts w:ascii="inherit" w:hAnsi="inherit"/>
          <w:i/>
          <w:sz w:val="13"/>
        </w:rPr>
        <w:t>(Telephone number, including area code, for agent of service)</w:t>
      </w:r>
    </w:p>
    <w:p>
      <w:pPr>
        <w:pStyle w:val="TextBody"/>
        <w:spacing w:lineRule="auto" w:line="240" w:before="0" w:after="0"/>
        <w:jc w:val="center"/>
        <w:rPr>
          <w:rFonts w:ascii="inherit" w:hAnsi="inherit"/>
          <w:sz w:val="13"/>
        </w:rPr>
      </w:pPr>
      <w:r>
        <w:rPr>
          <w:rFonts w:ascii="inherit" w:hAnsi="inherit"/>
          <w:sz w:val="13"/>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both"/>
        <w:rPr>
          <w:rFonts w:ascii="inherit" w:hAnsi="inherit"/>
          <w:sz w:val="15"/>
        </w:rPr>
      </w:pPr>
      <w:r>
        <w:rPr>
          <w:rFonts w:ascii="inherit" w:hAnsi="inherit"/>
          <w:sz w:val="15"/>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w:t>
      </w:r>
    </w:p>
    <w:tbl>
      <w:tblPr>
        <w:tblW w:w="10205" w:type="dxa"/>
        <w:jc w:val="center"/>
        <w:tblInd w:w="0" w:type="dxa"/>
        <w:tblCellMar>
          <w:top w:w="0" w:type="dxa"/>
          <w:left w:w="0" w:type="dxa"/>
          <w:bottom w:w="0" w:type="dxa"/>
          <w:right w:w="0" w:type="dxa"/>
        </w:tblCellMar>
      </w:tblPr>
      <w:tblGrid>
        <w:gridCol w:w="2149"/>
        <w:gridCol w:w="398"/>
        <w:gridCol w:w="2149"/>
        <w:gridCol w:w="398"/>
        <w:gridCol w:w="2183"/>
        <w:gridCol w:w="398"/>
        <w:gridCol w:w="2324"/>
        <w:gridCol w:w="206"/>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214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214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2183"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232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149" w:type="dxa"/>
            <w:tcBorders/>
            <w:shd w:fill="auto" w:val="clear"/>
            <w:vAlign w:val="center"/>
          </w:tcPr>
          <w:p>
            <w:pPr>
              <w:pStyle w:val="TableContents"/>
              <w:spacing w:before="0" w:after="0"/>
              <w:ind w:left="0" w:right="0" w:firstLine="30"/>
              <w:rPr>
                <w:sz w:val="15"/>
              </w:rPr>
            </w:pPr>
            <w:r>
              <w:rPr>
                <w:rFonts w:ascii="inherit" w:hAnsi="inherit"/>
                <w:b/>
                <w:sz w:val="15"/>
              </w:rPr>
              <w:t xml:space="preserve">Large accelerated filer </w:t>
            </w:r>
            <w:r>
              <w:rPr>
                <w:rFonts w:ascii="Wingdings" w:hAnsi="Wingdings"/>
                <w:sz w:val="15"/>
              </w:rPr>
              <w:t>x</w:t>
            </w:r>
          </w:p>
        </w:tc>
        <w:tc>
          <w:tcPr>
            <w:tcW w:w="398" w:type="dxa"/>
            <w:tcBorders/>
            <w:shd w:fill="auto" w:val="clear"/>
            <w:vAlign w:val="center"/>
          </w:tcPr>
          <w:p>
            <w:pPr>
              <w:pStyle w:val="TableContents"/>
              <w:spacing w:before="0" w:after="0"/>
              <w:ind w:left="0" w:right="0" w:firstLine="30"/>
              <w:rPr/>
            </w:pPr>
            <w:r>
              <w:rPr/>
              <w:t> </w:t>
            </w:r>
          </w:p>
        </w:tc>
        <w:tc>
          <w:tcPr>
            <w:tcW w:w="2149" w:type="dxa"/>
            <w:tcBorders/>
            <w:shd w:fill="auto" w:val="clear"/>
            <w:vAlign w:val="center"/>
          </w:tcPr>
          <w:p>
            <w:pPr>
              <w:pStyle w:val="TableContents"/>
              <w:spacing w:before="0" w:after="0"/>
              <w:ind w:left="0" w:right="0" w:firstLine="30"/>
              <w:rPr>
                <w:sz w:val="15"/>
              </w:rPr>
            </w:pPr>
            <w:r>
              <w:rPr>
                <w:rFonts w:ascii="inherit" w:hAnsi="inherit"/>
                <w:b/>
                <w:sz w:val="15"/>
              </w:rPr>
              <w:t xml:space="preserve">Accelerated filer </w:t>
            </w:r>
            <w:r>
              <w:rPr>
                <w:rFonts w:ascii="Wingdings" w:hAnsi="Wingdings"/>
                <w:sz w:val="15"/>
              </w:rPr>
              <w:t>o</w:t>
            </w:r>
          </w:p>
        </w:tc>
        <w:tc>
          <w:tcPr>
            <w:tcW w:w="398" w:type="dxa"/>
            <w:tcBorders/>
            <w:shd w:fill="auto" w:val="clear"/>
            <w:vAlign w:val="center"/>
          </w:tcPr>
          <w:p>
            <w:pPr>
              <w:pStyle w:val="TableContents"/>
              <w:spacing w:before="0" w:after="0"/>
              <w:ind w:left="0" w:right="0" w:firstLine="30"/>
              <w:rPr/>
            </w:pPr>
            <w:r>
              <w:rPr/>
              <w:t> </w:t>
            </w:r>
          </w:p>
        </w:tc>
        <w:tc>
          <w:tcPr>
            <w:tcW w:w="2183" w:type="dxa"/>
            <w:tcBorders/>
            <w:shd w:fill="auto" w:val="clear"/>
            <w:vAlign w:val="center"/>
          </w:tcPr>
          <w:p>
            <w:pPr>
              <w:pStyle w:val="TableContents"/>
              <w:spacing w:before="0" w:after="0"/>
              <w:ind w:left="0" w:right="0" w:firstLine="30"/>
              <w:rPr>
                <w:sz w:val="15"/>
              </w:rPr>
            </w:pPr>
            <w:r>
              <w:rPr>
                <w:rFonts w:ascii="inherit" w:hAnsi="inherit"/>
                <w:b/>
                <w:sz w:val="15"/>
              </w:rPr>
              <w:t xml:space="preserve">Non-accelerated filer  </w:t>
            </w:r>
            <w:r>
              <w:rPr>
                <w:rFonts w:ascii="Wingdings" w:hAnsi="Wingdings"/>
                <w:sz w:val="15"/>
              </w:rPr>
              <w:t>o</w:t>
            </w:r>
          </w:p>
        </w:tc>
        <w:tc>
          <w:tcPr>
            <w:tcW w:w="398" w:type="dxa"/>
            <w:tcBorders/>
            <w:shd w:fill="auto" w:val="clear"/>
            <w:vAlign w:val="center"/>
          </w:tcPr>
          <w:p>
            <w:pPr>
              <w:pStyle w:val="TableContents"/>
              <w:spacing w:before="0" w:after="0"/>
              <w:ind w:left="0" w:right="0" w:firstLine="30"/>
              <w:rPr/>
            </w:pPr>
            <w:r>
              <w:rPr/>
              <w:t> </w:t>
            </w:r>
          </w:p>
        </w:tc>
        <w:tc>
          <w:tcPr>
            <w:tcW w:w="2324" w:type="dxa"/>
            <w:tcBorders/>
            <w:shd w:fill="auto" w:val="clear"/>
            <w:vAlign w:val="center"/>
          </w:tcPr>
          <w:p>
            <w:pPr>
              <w:pStyle w:val="TableContents"/>
              <w:spacing w:before="0" w:after="0"/>
              <w:ind w:left="0" w:right="0" w:firstLine="30"/>
              <w:rPr>
                <w:sz w:val="15"/>
              </w:rPr>
            </w:pPr>
            <w:r>
              <w:rPr>
                <w:rFonts w:ascii="inherit" w:hAnsi="inherit"/>
                <w:b/>
                <w:sz w:val="15"/>
              </w:rPr>
              <w:t xml:space="preserve">Smaller reporting company </w:t>
            </w:r>
            <w:r>
              <w:rPr>
                <w:rFonts w:ascii="Wingdings" w:hAnsi="Wingdings"/>
                <w:sz w:val="15"/>
              </w:rPr>
              <w:t>o</w:t>
            </w:r>
          </w:p>
        </w:tc>
        <w:tc>
          <w:tcPr>
            <w:tcW w:w="206" w:type="dxa"/>
            <w:tcBorders/>
            <w:shd w:fill="auto" w:val="clear"/>
            <w:vAlign w:val="center"/>
          </w:tcPr>
          <w:p>
            <w:pPr>
              <w:pStyle w:val="TableContents"/>
              <w:spacing w:before="0" w:after="0"/>
              <w:rPr/>
            </w:pPr>
            <w:r>
              <w:rPr/>
              <w:t> </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CALCULATION OF REGISTRATION FEE</w:t>
      </w:r>
    </w:p>
    <w:tbl>
      <w:tblPr>
        <w:tblW w:w="10205" w:type="dxa"/>
        <w:jc w:val="center"/>
        <w:tblInd w:w="0" w:type="dxa"/>
        <w:tblCellMar>
          <w:top w:w="0" w:type="dxa"/>
          <w:left w:w="0" w:type="dxa"/>
          <w:bottom w:w="0" w:type="dxa"/>
          <w:right w:w="0" w:type="dxa"/>
        </w:tblCellMar>
      </w:tblPr>
      <w:tblGrid>
        <w:gridCol w:w="3438"/>
        <w:gridCol w:w="1646"/>
        <w:gridCol w:w="1545"/>
        <w:gridCol w:w="1881"/>
        <w:gridCol w:w="1695"/>
      </w:tblGrid>
      <w:tr>
        <w:trPr/>
        <w:tc>
          <w:tcPr>
            <w:tcW w:w="10205" w:type="dxa"/>
            <w:gridSpan w:val="5"/>
            <w:tcBorders/>
            <w:shd w:fill="auto" w:val="clear"/>
            <w:vAlign w:val="center"/>
          </w:tcPr>
          <w:p>
            <w:pPr>
              <w:pStyle w:val="TableContents"/>
              <w:spacing w:before="0" w:after="283"/>
              <w:rPr>
                <w:sz w:val="4"/>
                <w:szCs w:val="4"/>
              </w:rPr>
            </w:pPr>
            <w:r>
              <w:rPr>
                <w:sz w:val="4"/>
                <w:szCs w:val="4"/>
              </w:rPr>
            </w:r>
          </w:p>
        </w:tc>
      </w:tr>
      <w:tr>
        <w:trPr/>
        <w:tc>
          <w:tcPr>
            <w:tcW w:w="3438" w:type="dxa"/>
            <w:tcBorders/>
            <w:shd w:fill="auto" w:val="clear"/>
            <w:vAlign w:val="center"/>
          </w:tcPr>
          <w:p>
            <w:pPr>
              <w:pStyle w:val="TableContents"/>
              <w:spacing w:before="0" w:after="283"/>
              <w:rPr>
                <w:sz w:val="4"/>
                <w:szCs w:val="4"/>
              </w:rPr>
            </w:pPr>
            <w:r>
              <w:rPr>
                <w:sz w:val="4"/>
                <w:szCs w:val="4"/>
              </w:rPr>
            </w:r>
          </w:p>
        </w:tc>
        <w:tc>
          <w:tcPr>
            <w:tcW w:w="1646" w:type="dxa"/>
            <w:tcBorders/>
            <w:shd w:fill="auto" w:val="clear"/>
            <w:vAlign w:val="center"/>
          </w:tcPr>
          <w:p>
            <w:pPr>
              <w:pStyle w:val="TableContents"/>
              <w:spacing w:before="0" w:after="283"/>
              <w:rPr>
                <w:sz w:val="4"/>
                <w:szCs w:val="4"/>
              </w:rPr>
            </w:pPr>
            <w:r>
              <w:rPr>
                <w:sz w:val="4"/>
                <w:szCs w:val="4"/>
              </w:rPr>
            </w:r>
          </w:p>
        </w:tc>
        <w:tc>
          <w:tcPr>
            <w:tcW w:w="1545" w:type="dxa"/>
            <w:tcBorders/>
            <w:shd w:fill="auto" w:val="clear"/>
            <w:vAlign w:val="center"/>
          </w:tcPr>
          <w:p>
            <w:pPr>
              <w:pStyle w:val="TableContents"/>
              <w:spacing w:before="0" w:after="283"/>
              <w:rPr>
                <w:sz w:val="4"/>
                <w:szCs w:val="4"/>
              </w:rPr>
            </w:pPr>
            <w:r>
              <w:rPr>
                <w:sz w:val="4"/>
                <w:szCs w:val="4"/>
              </w:rPr>
            </w:r>
          </w:p>
        </w:tc>
        <w:tc>
          <w:tcPr>
            <w:tcW w:w="1881" w:type="dxa"/>
            <w:tcBorders/>
            <w:shd w:fill="auto" w:val="clear"/>
            <w:vAlign w:val="center"/>
          </w:tcPr>
          <w:p>
            <w:pPr>
              <w:pStyle w:val="TableContents"/>
              <w:spacing w:before="0" w:after="283"/>
              <w:rPr>
                <w:sz w:val="4"/>
                <w:szCs w:val="4"/>
              </w:rPr>
            </w:pPr>
            <w:r>
              <w:rPr>
                <w:sz w:val="4"/>
                <w:szCs w:val="4"/>
              </w:rPr>
            </w:r>
          </w:p>
        </w:tc>
        <w:tc>
          <w:tcPr>
            <w:tcW w:w="16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38" w:type="dxa"/>
            <w:tcBorders>
              <w:top w:val="double" w:sz="6"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Title Of Securities </w:t>
              <w:br/>
              <w:t>To Be Registered</w:t>
            </w:r>
          </w:p>
        </w:tc>
        <w:tc>
          <w:tcPr>
            <w:tcW w:w="1646" w:type="dxa"/>
            <w:tcBorders>
              <w:top w:val="double" w:sz="6"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Amount To Be </w:t>
              <w:br/>
              <w:t>Registered(1)</w:t>
            </w:r>
          </w:p>
        </w:tc>
        <w:tc>
          <w:tcPr>
            <w:tcW w:w="1545" w:type="dxa"/>
            <w:tcBorders>
              <w:top w:val="double" w:sz="6"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Proposed Maximum Offering Price Per Share(2)</w:t>
            </w:r>
          </w:p>
        </w:tc>
        <w:tc>
          <w:tcPr>
            <w:tcW w:w="1881" w:type="dxa"/>
            <w:tcBorders>
              <w:top w:val="double" w:sz="6"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Proposed Maximum Aggregate </w:t>
              <w:br/>
              <w:t>Offering Price(2)</w:t>
            </w:r>
          </w:p>
        </w:tc>
        <w:tc>
          <w:tcPr>
            <w:tcW w:w="1695" w:type="dxa"/>
            <w:tcBorders>
              <w:top w:val="double" w:sz="6" w:space="0" w:color="000000"/>
              <w:left w:val="single" w:sz="2" w:space="0" w:color="000000"/>
              <w:bottom w:val="single" w:sz="2" w:space="0" w:color="000000"/>
            </w:tcBorders>
            <w:shd w:fill="auto" w:val="clear"/>
            <w:tcMar>
              <w:top w:w="30" w:type="dxa"/>
              <w:left w:w="28" w:type="dxa"/>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Amount Of </w:t>
              <w:br/>
              <w:t>Registration Fee</w:t>
            </w:r>
          </w:p>
        </w:tc>
      </w:tr>
      <w:tr>
        <w:trPr/>
        <w:tc>
          <w:tcPr>
            <w:tcW w:w="3438" w:type="dxa"/>
            <w:tcBorders>
              <w:top w:val="single" w:sz="2"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before="0" w:after="0"/>
              <w:ind w:left="0" w:right="0" w:firstLine="30"/>
              <w:jc w:val="left"/>
              <w:rPr>
                <w:rFonts w:ascii="inherit" w:hAnsi="inherit"/>
                <w:sz w:val="15"/>
              </w:rPr>
            </w:pPr>
            <w:r>
              <w:rPr>
                <w:rFonts w:ascii="inherit" w:hAnsi="inherit"/>
                <w:sz w:val="15"/>
              </w:rPr>
              <w:t>Class A Non-Voting Common Stock, par value $0.01 per share</w:t>
            </w:r>
          </w:p>
        </w:tc>
        <w:tc>
          <w:tcPr>
            <w:tcW w:w="1646" w:type="dxa"/>
            <w:tcBorders>
              <w:top w:val="single" w:sz="2"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before="0" w:after="0"/>
              <w:jc w:val="center"/>
              <w:rPr>
                <w:rFonts w:ascii="inherit" w:hAnsi="inherit"/>
                <w:sz w:val="15"/>
              </w:rPr>
            </w:pPr>
            <w:r>
              <w:rPr>
                <w:rFonts w:ascii="inherit" w:hAnsi="inherit"/>
                <w:sz w:val="15"/>
              </w:rPr>
            </w:r>
          </w:p>
          <w:p>
            <w:pPr>
              <w:pStyle w:val="TableContents"/>
              <w:spacing w:before="0" w:after="0"/>
              <w:ind w:left="0" w:right="0" w:firstLine="30"/>
              <w:jc w:val="center"/>
              <w:rPr>
                <w:rFonts w:ascii="inherit" w:hAnsi="inherit"/>
                <w:sz w:val="15"/>
              </w:rPr>
            </w:pPr>
            <w:r>
              <w:rPr>
                <w:rFonts w:ascii="inherit" w:hAnsi="inherit"/>
                <w:sz w:val="15"/>
              </w:rPr>
              <w:t>270,000</w:t>
            </w:r>
          </w:p>
        </w:tc>
        <w:tc>
          <w:tcPr>
            <w:tcW w:w="1545"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30"/>
              <w:jc w:val="center"/>
              <w:rPr>
                <w:rFonts w:ascii="inherit" w:hAnsi="inherit"/>
                <w:sz w:val="15"/>
              </w:rPr>
            </w:pPr>
            <w:r>
              <w:rPr>
                <w:rFonts w:ascii="inherit" w:hAnsi="inherit"/>
                <w:sz w:val="15"/>
              </w:rPr>
              <w:t>$15.83</w:t>
            </w:r>
          </w:p>
        </w:tc>
        <w:tc>
          <w:tcPr>
            <w:tcW w:w="1881"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30"/>
              <w:jc w:val="center"/>
              <w:rPr>
                <w:rFonts w:ascii="inherit" w:hAnsi="inherit"/>
                <w:sz w:val="15"/>
              </w:rPr>
            </w:pPr>
            <w:r>
              <w:rPr>
                <w:rFonts w:ascii="inherit" w:hAnsi="inherit"/>
                <w:sz w:val="15"/>
              </w:rPr>
              <w:t>$4,274,100</w:t>
            </w:r>
          </w:p>
        </w:tc>
        <w:tc>
          <w:tcPr>
            <w:tcW w:w="1695" w:type="dxa"/>
            <w:tcBorders>
              <w:top w:val="single" w:sz="2" w:space="0" w:color="000000"/>
              <w:left w:val="single" w:sz="2" w:space="0" w:color="000000"/>
              <w:bottom w:val="single" w:sz="2" w:space="0" w:color="000000"/>
            </w:tcBorders>
            <w:shd w:fill="auto" w:val="clear"/>
            <w:tcMar>
              <w:top w:w="30" w:type="dxa"/>
              <w:left w:w="28" w:type="dxa"/>
              <w:bottom w:w="30" w:type="dxa"/>
            </w:tcMar>
            <w:vAlign w:val="center"/>
          </w:tcPr>
          <w:p>
            <w:pPr>
              <w:pStyle w:val="TableContents"/>
              <w:spacing w:before="0" w:after="0"/>
              <w:jc w:val="center"/>
              <w:rPr>
                <w:rFonts w:ascii="inherit" w:hAnsi="inherit"/>
                <w:sz w:val="15"/>
              </w:rPr>
            </w:pPr>
            <w:r>
              <w:rPr>
                <w:rFonts w:ascii="inherit" w:hAnsi="inherit"/>
                <w:sz w:val="15"/>
              </w:rPr>
              <w:t>$550.50</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5"/>
        </w:rPr>
      </w:pPr>
      <w:r>
        <w:rPr>
          <w:rFonts w:ascii="inherit" w:hAnsi="inherit"/>
          <w:sz w:val="15"/>
        </w:rPr>
        <w:t xml:space="preserve">(1) Pursuant to Rule 416 under the Securities Act of 1933, as amended (the “Securities Act”), this Registration Statement shall also cover any of the Registrant’s additional shares of Class A Non-Voting Common Stock that become issuable under the EZCORP, Inc. 2006 Incentive Plan, as amended from time to time (the “Plan”) as a result of the antidilution provisions under the Plan. </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88" w:before="0" w:after="0"/>
        <w:jc w:val="left"/>
        <w:rPr>
          <w:rFonts w:ascii="inherit" w:hAnsi="inherit"/>
          <w:sz w:val="15"/>
        </w:rPr>
      </w:pPr>
      <w:r>
        <w:rPr>
          <w:rFonts w:ascii="inherit" w:hAnsi="inherit"/>
          <w:sz w:val="15"/>
        </w:rPr>
        <w:t xml:space="preserve">(2) Estimated solely for the purpose of calculating the registration fee pursuant to Rules 457(c) and 457(h) under the Securities Act on the basis of the average of the high and low sales prices of the Class A Non-Voting Common Stock reported on The NASDAQ Global Select Market on October 7, 2013. </w:t>
      </w:r>
    </w:p>
    <w:p>
      <w:pPr>
        <w:pStyle w:val="TextBody"/>
        <w:spacing w:lineRule="auto" w:line="288" w:before="0" w:after="0"/>
        <w:jc w:val="left"/>
        <w:rPr>
          <w:rFonts w:ascii="inherit" w:hAnsi="inherit"/>
          <w:sz w:val="15"/>
        </w:rPr>
      </w:pPr>
      <w:r>
        <w:rPr>
          <w:rFonts w:ascii="inherit" w:hAnsi="inherit"/>
          <w:sz w:val="15"/>
        </w:rPr>
      </w:r>
    </w:p>
    <w:p>
      <w:pPr>
        <w:pStyle w:val="TextBody"/>
        <w:spacing w:lineRule="auto" w:line="240" w:before="0" w:after="0"/>
        <w:jc w:val="left"/>
        <w:rPr>
          <w:rFonts w:ascii="inherit" w:hAnsi="inherit"/>
          <w:sz w:val="12"/>
        </w:rPr>
      </w:pPr>
      <w:r>
        <w:rPr>
          <w:rFonts w:ascii="inherit" w:hAnsi="inherit"/>
          <w:sz w:val="12"/>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bookmarkStart w:id="3" w:name="s16FFDB6A9C57C9589C649E9ED3C7CE8D"/>
      <w:bookmarkStart w:id="4" w:name="s16FFDB6A9C57C9589C649E9ED3C7CE8D"/>
      <w:bookmarkEnd w:id="4"/>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EXPLANATORY NOTE</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 xml:space="preserve">On October 2, 2013, pursuant to the Agreement and Plan of Merger, dated as of October 1, 2013 (the “Merger Agreement”), between EZCORP, Inc., a Delaware corporation (“Old EZCORP”), and EZMergeco, Inc., a Delaware corporation and a newly formed direct wholly owned subsidiary of Old EZCORP (“MergeCo”), in an internal reorganization transaction structured as a merger, Old EZCORP merged with and into MergeCo, with MergeCo continuing as the surviving corporation (the “Reorganization”). At the effective time of the Reorganization, MergeCo changed its name to “EZCORP, Inc.” (referred to herein as “EZCORP” or the “Registrant”) and succeeded to all of the assets and liabilities of Old EZCORP. In connection with the Reorganization, each outstanding and unexercised option, grant, right to purchase or other right to acquire Old EZCORP Class A Non-Voting Common Stock, par value $0.01 per share (“Old EZCORP Class A Non-Voting Common Stock”), granted under the Plan and outstanding as of the effective time of the Reorganization was converted into the same option, grant, right to purchase or other right to acquire shares of EZCORP Class A Non-Voting Common Stock, par value $0.01 per share (the “Class A Non-Voting Common Stock”). This Registration Statement on Form S-8 (this “Registration Statement”) registers the aggregate number of shares of Class A Non-Voting Common Stock that may be issued on the exercise of such outstanding awards. As of the effective time of the Reorganization, EZCORP assumed the obligations of Old EZCORP under the Plan as to outstanding awards.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PART I</w:t>
      </w:r>
    </w:p>
    <w:p>
      <w:pPr>
        <w:pStyle w:val="TextBody"/>
        <w:spacing w:lineRule="auto" w:line="288" w:before="0" w:after="0"/>
        <w:jc w:val="center"/>
        <w:rPr>
          <w:rFonts w:ascii="inherit" w:hAnsi="inherit"/>
          <w:b/>
          <w:sz w:val="17"/>
        </w:rPr>
      </w:pPr>
      <w:r>
        <w:rPr>
          <w:rFonts w:ascii="inherit" w:hAnsi="inherit"/>
          <w:b/>
          <w:sz w:val="17"/>
        </w:rPr>
        <w:t>INFORMATION REQUIRED IN THE SECTION 10(a) PROSPECTUS</w:t>
      </w:r>
    </w:p>
    <w:p>
      <w:pPr>
        <w:pStyle w:val="TextBody"/>
        <w:spacing w:lineRule="auto" w:line="288" w:before="0" w:after="0"/>
        <w:jc w:val="both"/>
        <w:rPr>
          <w:rFonts w:ascii="inherit" w:hAnsi="inherit"/>
          <w:sz w:val="17"/>
        </w:rPr>
      </w:pPr>
      <w:r>
        <w:rPr>
          <w:rFonts w:ascii="inherit" w:hAnsi="inherit"/>
          <w:sz w:val="17"/>
        </w:rPr>
        <w:t xml:space="preserve">EZCORP will send or give to all participants in the Plan the document(s) containing information required by Part I of Form S-8, as specified in Rule 428(b)(1) promulgated by the Securities and Exchange Commission (the “Commission”) under the Securities Act. EZCORP has not filed such document(s) with the Commission, but such documents (along with the documents incorporated by reference into this Registration Statement pursuant to Item 3 of Part II hereof) shall constitute a prospectus that meets the requirements of Section 10(a) of the Securities Act. </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PART II</w:t>
      </w:r>
    </w:p>
    <w:p>
      <w:pPr>
        <w:pStyle w:val="TextBody"/>
        <w:spacing w:lineRule="auto" w:line="288" w:before="0" w:after="0"/>
        <w:jc w:val="center"/>
        <w:rPr>
          <w:rFonts w:ascii="inherit" w:hAnsi="inherit"/>
          <w:b/>
          <w:sz w:val="17"/>
        </w:rPr>
      </w:pPr>
      <w:r>
        <w:rPr>
          <w:rFonts w:ascii="inherit" w:hAnsi="inherit"/>
          <w:b/>
          <w:sz w:val="17"/>
        </w:rPr>
        <w:t>INFORMATION REQUIRED IN THE REGISTRATION STATEMENT</w:t>
      </w:r>
    </w:p>
    <w:p>
      <w:pPr>
        <w:pStyle w:val="TextBody"/>
        <w:spacing w:lineRule="auto" w:line="288" w:before="0" w:after="0"/>
        <w:jc w:val="both"/>
        <w:rPr>
          <w:rFonts w:ascii="inherit" w:hAnsi="inherit"/>
          <w:b/>
          <w:sz w:val="17"/>
        </w:rPr>
      </w:pPr>
      <w:r>
        <w:rPr>
          <w:rFonts w:ascii="inherit" w:hAnsi="inherit"/>
          <w:b/>
          <w:sz w:val="17"/>
        </w:rPr>
        <w:t>Item 3.    Incorporation of Documents by Reference.</w:t>
      </w:r>
    </w:p>
    <w:p>
      <w:pPr>
        <w:pStyle w:val="TextBody"/>
        <w:spacing w:lineRule="auto" w:line="288" w:before="0" w:after="0"/>
        <w:jc w:val="both"/>
        <w:rPr>
          <w:rFonts w:ascii="inherit" w:hAnsi="inherit"/>
          <w:sz w:val="17"/>
        </w:rPr>
      </w:pPr>
      <w:r>
        <w:rPr>
          <w:rFonts w:ascii="inherit" w:hAnsi="inherit"/>
          <w:sz w:val="17"/>
        </w:rPr>
        <w:t>Except to the extent that information is deemed furnished and not filed pursuant to securities laws and regulations, the following documents have been filed by Old EZCORP or EZCORP, as applicable, with the Commission and are incorporated by reference into this Registration Statement and will be deemed to be a part hereof:</w:t>
      </w:r>
    </w:p>
    <w:tbl>
      <w:tblPr>
        <w:tblW w:w="10205" w:type="dxa"/>
        <w:jc w:val="left"/>
        <w:tblInd w:w="0" w:type="dxa"/>
        <w:tblCellMar>
          <w:top w:w="0" w:type="dxa"/>
          <w:left w:w="0" w:type="dxa"/>
          <w:bottom w:w="0" w:type="dxa"/>
          <w:right w:w="0" w:type="dxa"/>
        </w:tblCellMar>
      </w:tblPr>
      <w:tblGrid>
        <w:gridCol w:w="513"/>
        <w:gridCol w:w="9692"/>
      </w:tblGrid>
      <w:tr>
        <w:trPr/>
        <w:tc>
          <w:tcPr>
            <w:tcW w:w="513" w:type="dxa"/>
            <w:tcBorders/>
            <w:shd w:fill="auto" w:val="clear"/>
            <w:vAlign w:val="center"/>
          </w:tcPr>
          <w:p>
            <w:pPr>
              <w:pStyle w:val="TableContents"/>
              <w:spacing w:before="0" w:after="283"/>
              <w:rPr>
                <w:sz w:val="4"/>
                <w:szCs w:val="4"/>
              </w:rPr>
            </w:pPr>
            <w:r>
              <w:rPr>
                <w:sz w:val="4"/>
                <w:szCs w:val="4"/>
              </w:rPr>
            </w:r>
          </w:p>
        </w:tc>
        <w:tc>
          <w:tcPr>
            <w:tcW w:w="9692" w:type="dxa"/>
            <w:tcBorders/>
            <w:shd w:fill="auto" w:val="clear"/>
            <w:vAlign w:val="center"/>
          </w:tcPr>
          <w:p>
            <w:pPr>
              <w:pStyle w:val="TableContents"/>
              <w:spacing w:before="0" w:after="283"/>
              <w:rPr>
                <w:sz w:val="4"/>
                <w:szCs w:val="4"/>
              </w:rPr>
            </w:pPr>
            <w:r>
              <w:rPr>
                <w:sz w:val="4"/>
                <w:szCs w:val="4"/>
              </w:rPr>
            </w:r>
          </w:p>
        </w:tc>
      </w:tr>
      <w:tr>
        <w:trPr/>
        <w:tc>
          <w:tcPr>
            <w:tcW w:w="513" w:type="dxa"/>
            <w:tcBorders/>
            <w:shd w:fill="auto" w:val="clear"/>
            <w:vAlign w:val="center"/>
          </w:tcPr>
          <w:p>
            <w:pPr>
              <w:pStyle w:val="TableContents"/>
              <w:spacing w:lineRule="auto" w:line="288" w:before="0" w:after="0"/>
              <w:ind w:left="0" w:right="0" w:firstLine="360"/>
              <w:rPr>
                <w:rFonts w:ascii="inherit" w:hAnsi="inherit"/>
                <w:sz w:val="17"/>
              </w:rPr>
            </w:pPr>
            <w:r>
              <w:rPr>
                <w:rFonts w:ascii="inherit" w:hAnsi="inherit"/>
                <w:sz w:val="17"/>
              </w:rPr>
              <w:t>a)</w:t>
            </w:r>
          </w:p>
        </w:tc>
        <w:tc>
          <w:tcPr>
            <w:tcW w:w="9692"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Annual Report on Form 10-K for the fiscal year ended September 30, 2012 (excluding the information contained therein under “Item 1. Business,” “Item 2. Properties,” “Item 6. Selected Financial Data,” “Item 7. Management’s Discussion and Analysis of Financial Condition and Results of Operations” and “Item 8. Financial Statements and Supplementary Data” as updated by EZCORP’s Current Report on Form 8-K filed with the Commission on October 3, 2013);</w:t>
            </w:r>
          </w:p>
        </w:tc>
      </w:tr>
    </w:tbl>
    <w:tbl>
      <w:tblPr>
        <w:tblW w:w="10205" w:type="dxa"/>
        <w:jc w:val="left"/>
        <w:tblInd w:w="0" w:type="dxa"/>
        <w:tblCellMar>
          <w:top w:w="0" w:type="dxa"/>
          <w:left w:w="0" w:type="dxa"/>
          <w:bottom w:w="0" w:type="dxa"/>
          <w:right w:w="0" w:type="dxa"/>
        </w:tblCellMar>
      </w:tblPr>
      <w:tblGrid>
        <w:gridCol w:w="558"/>
        <w:gridCol w:w="9647"/>
      </w:tblGrid>
      <w:tr>
        <w:trPr/>
        <w:tc>
          <w:tcPr>
            <w:tcW w:w="558" w:type="dxa"/>
            <w:tcBorders/>
            <w:shd w:fill="auto" w:val="clear"/>
            <w:vAlign w:val="center"/>
          </w:tcPr>
          <w:p>
            <w:pPr>
              <w:pStyle w:val="TableContents"/>
              <w:spacing w:before="0" w:after="283"/>
              <w:rPr>
                <w:sz w:val="4"/>
                <w:szCs w:val="4"/>
              </w:rPr>
            </w:pPr>
            <w:r>
              <w:rPr>
                <w:sz w:val="4"/>
                <w:szCs w:val="4"/>
              </w:rPr>
            </w:r>
          </w:p>
        </w:tc>
        <w:tc>
          <w:tcPr>
            <w:tcW w:w="9647" w:type="dxa"/>
            <w:tcBorders/>
            <w:shd w:fill="auto" w:val="clear"/>
            <w:vAlign w:val="center"/>
          </w:tcPr>
          <w:p>
            <w:pPr>
              <w:pStyle w:val="TableContents"/>
              <w:spacing w:before="0" w:after="283"/>
              <w:rPr>
                <w:sz w:val="4"/>
                <w:szCs w:val="4"/>
              </w:rPr>
            </w:pPr>
            <w:r>
              <w:rPr>
                <w:sz w:val="4"/>
                <w:szCs w:val="4"/>
              </w:rPr>
            </w:r>
          </w:p>
        </w:tc>
      </w:tr>
      <w:tr>
        <w:trPr/>
        <w:tc>
          <w:tcPr>
            <w:tcW w:w="558" w:type="dxa"/>
            <w:tcBorders/>
            <w:shd w:fill="auto" w:val="clear"/>
            <w:vAlign w:val="center"/>
          </w:tcPr>
          <w:p>
            <w:pPr>
              <w:pStyle w:val="TableContents"/>
              <w:spacing w:lineRule="auto" w:line="288" w:before="0" w:after="0"/>
              <w:ind w:left="0" w:right="0" w:firstLine="360"/>
              <w:rPr>
                <w:rFonts w:ascii="inherit" w:hAnsi="inherit"/>
                <w:sz w:val="17"/>
              </w:rPr>
            </w:pPr>
            <w:r>
              <w:rPr>
                <w:rFonts w:ascii="inherit" w:hAnsi="inherit"/>
                <w:sz w:val="17"/>
              </w:rPr>
              <w:t>b)</w:t>
            </w:r>
          </w:p>
        </w:tc>
        <w:tc>
          <w:tcPr>
            <w:tcW w:w="9647"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 xml:space="preserve">Quarterly Reports on Form 10-Q for the fiscal quarters ended December 31, 2012, March 31, 2013 and June 30, 2013; </w:t>
            </w:r>
          </w:p>
        </w:tc>
      </w:tr>
    </w:tbl>
    <w:tbl>
      <w:tblPr>
        <w:tblW w:w="10205" w:type="dxa"/>
        <w:jc w:val="left"/>
        <w:tblInd w:w="0" w:type="dxa"/>
        <w:tblCellMar>
          <w:top w:w="0" w:type="dxa"/>
          <w:left w:w="0" w:type="dxa"/>
          <w:bottom w:w="0" w:type="dxa"/>
          <w:right w:w="0" w:type="dxa"/>
        </w:tblCellMar>
      </w:tblPr>
      <w:tblGrid>
        <w:gridCol w:w="510"/>
        <w:gridCol w:w="9695"/>
      </w:tblGrid>
      <w:tr>
        <w:trPr/>
        <w:tc>
          <w:tcPr>
            <w:tcW w:w="510" w:type="dxa"/>
            <w:tcBorders/>
            <w:shd w:fill="auto" w:val="clear"/>
            <w:vAlign w:val="center"/>
          </w:tcPr>
          <w:p>
            <w:pPr>
              <w:pStyle w:val="TableContents"/>
              <w:spacing w:before="0" w:after="283"/>
              <w:rPr>
                <w:sz w:val="4"/>
                <w:szCs w:val="4"/>
              </w:rPr>
            </w:pPr>
            <w:r>
              <w:rPr>
                <w:sz w:val="4"/>
                <w:szCs w:val="4"/>
              </w:rPr>
            </w:r>
          </w:p>
        </w:tc>
        <w:tc>
          <w:tcPr>
            <w:tcW w:w="9695" w:type="dxa"/>
            <w:tcBorders/>
            <w:shd w:fill="auto" w:val="clear"/>
            <w:vAlign w:val="center"/>
          </w:tcPr>
          <w:p>
            <w:pPr>
              <w:pStyle w:val="TableContents"/>
              <w:spacing w:before="0" w:after="283"/>
              <w:rPr>
                <w:sz w:val="4"/>
                <w:szCs w:val="4"/>
              </w:rPr>
            </w:pPr>
            <w:r>
              <w:rPr>
                <w:sz w:val="4"/>
                <w:szCs w:val="4"/>
              </w:rPr>
            </w:r>
          </w:p>
        </w:tc>
      </w:tr>
      <w:tr>
        <w:trPr/>
        <w:tc>
          <w:tcPr>
            <w:tcW w:w="510" w:type="dxa"/>
            <w:tcBorders/>
            <w:shd w:fill="auto" w:val="clear"/>
            <w:vAlign w:val="center"/>
          </w:tcPr>
          <w:p>
            <w:pPr>
              <w:pStyle w:val="TableContents"/>
              <w:spacing w:lineRule="auto" w:line="288" w:before="0" w:after="0"/>
              <w:ind w:left="0" w:right="0" w:firstLine="360"/>
              <w:rPr>
                <w:rFonts w:ascii="inherit" w:hAnsi="inherit"/>
                <w:sz w:val="17"/>
              </w:rPr>
            </w:pPr>
            <w:r>
              <w:rPr>
                <w:rFonts w:ascii="inherit" w:hAnsi="inherit"/>
                <w:sz w:val="17"/>
              </w:rPr>
              <w:t>c)</w:t>
            </w:r>
          </w:p>
        </w:tc>
        <w:tc>
          <w:tcPr>
            <w:tcW w:w="969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Current Reports on Form 8-K filed on October 4, 2012, October 29, 2012, November 27, 2012, December 4, 2012, December 13, 2012, December 20, 2012 (2), February 25, 2013, June 5, 2013, July 1, 2013, August 1, 2013, October 2, 2013 and October 3, 2013; and</w:t>
            </w:r>
          </w:p>
        </w:tc>
      </w:tr>
    </w:tbl>
    <w:tbl>
      <w:tblPr>
        <w:tblW w:w="10205" w:type="dxa"/>
        <w:jc w:val="left"/>
        <w:tblInd w:w="0" w:type="dxa"/>
        <w:tblCellMar>
          <w:top w:w="0" w:type="dxa"/>
          <w:left w:w="0" w:type="dxa"/>
          <w:bottom w:w="0" w:type="dxa"/>
          <w:right w:w="0" w:type="dxa"/>
        </w:tblCellMar>
      </w:tblPr>
      <w:tblGrid>
        <w:gridCol w:w="532"/>
        <w:gridCol w:w="9673"/>
      </w:tblGrid>
      <w:tr>
        <w:trPr/>
        <w:tc>
          <w:tcPr>
            <w:tcW w:w="532" w:type="dxa"/>
            <w:tcBorders/>
            <w:shd w:fill="auto" w:val="clear"/>
            <w:vAlign w:val="center"/>
          </w:tcPr>
          <w:p>
            <w:pPr>
              <w:pStyle w:val="TableContents"/>
              <w:spacing w:before="0" w:after="283"/>
              <w:rPr>
                <w:sz w:val="4"/>
                <w:szCs w:val="4"/>
              </w:rPr>
            </w:pPr>
            <w:r>
              <w:rPr>
                <w:sz w:val="4"/>
                <w:szCs w:val="4"/>
              </w:rPr>
            </w:r>
          </w:p>
        </w:tc>
        <w:tc>
          <w:tcPr>
            <w:tcW w:w="9673" w:type="dxa"/>
            <w:tcBorders/>
            <w:shd w:fill="auto" w:val="clear"/>
            <w:vAlign w:val="center"/>
          </w:tcPr>
          <w:p>
            <w:pPr>
              <w:pStyle w:val="TableContents"/>
              <w:spacing w:before="0" w:after="283"/>
              <w:rPr>
                <w:sz w:val="4"/>
                <w:szCs w:val="4"/>
              </w:rPr>
            </w:pPr>
            <w:r>
              <w:rPr>
                <w:sz w:val="4"/>
                <w:szCs w:val="4"/>
              </w:rPr>
            </w:r>
          </w:p>
        </w:tc>
      </w:tr>
      <w:tr>
        <w:trPr/>
        <w:tc>
          <w:tcPr>
            <w:tcW w:w="532" w:type="dxa"/>
            <w:tcBorders/>
            <w:shd w:fill="auto" w:val="clear"/>
            <w:vAlign w:val="center"/>
          </w:tcPr>
          <w:p>
            <w:pPr>
              <w:pStyle w:val="TableContents"/>
              <w:spacing w:lineRule="auto" w:line="288" w:before="0" w:after="0"/>
              <w:ind w:left="0" w:right="0" w:firstLine="360"/>
              <w:rPr>
                <w:rFonts w:ascii="inherit" w:hAnsi="inherit"/>
                <w:sz w:val="17"/>
              </w:rPr>
            </w:pPr>
            <w:r>
              <w:rPr>
                <w:rFonts w:ascii="inherit" w:hAnsi="inherit"/>
                <w:sz w:val="17"/>
              </w:rPr>
              <w:t>d)</w:t>
            </w:r>
          </w:p>
        </w:tc>
        <w:tc>
          <w:tcPr>
            <w:tcW w:w="9673"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description of the Class A Non-Voting Common Stock filed as Exhibit 4.1 to the Current Report on Form 8-K filed on October 2, 2013, including any amendment or report filed to update such description.</w:t>
            </w:r>
          </w:p>
        </w:tc>
      </w:tr>
    </w:tbl>
    <w:p>
      <w:pPr>
        <w:pStyle w:val="TextBody"/>
        <w:spacing w:lineRule="auto" w:line="288" w:before="0" w:after="0"/>
        <w:jc w:val="both"/>
        <w:rPr>
          <w:rFonts w:ascii="inherit" w:hAnsi="inherit"/>
          <w:sz w:val="17"/>
        </w:rPr>
      </w:pPr>
      <w:r>
        <w:rPr>
          <w:rFonts w:ascii="inherit" w:hAnsi="inherit"/>
          <w:sz w:val="17"/>
        </w:rPr>
        <w:t xml:space="preserve">Except to the extent that information is deemed furnished and not filed pursuant to securities laws and regulations, all documents subsequently filed by EZCORP pursuant to Sections 13(a), 13(c), 14 and 15(d) of the Securities Exchange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lineRule="auto" w:line="288" w:before="0" w:after="0"/>
        <w:jc w:val="left"/>
        <w:rPr>
          <w:rFonts w:ascii="inherit" w:hAnsi="inherit"/>
          <w:sz w:val="17"/>
        </w:rPr>
      </w:pPr>
      <w:r>
        <w:rPr>
          <w:rFonts w:ascii="inherit" w:hAnsi="inherit"/>
          <w:sz w:val="17"/>
        </w:rPr>
      </w:r>
      <w:bookmarkStart w:id="5" w:name="s16FFDB6A9C57C9589C649E9ED3C7CE8D1"/>
      <w:bookmarkStart w:id="6" w:name="s16FFDB6A9C57C9589C649E9ED3C7CE8D1"/>
      <w:bookmarkEnd w:id="6"/>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 xml:space="preserve">Act of 1934 (the “Exchange Act”) prior to the filing of a post-effective amendment that indicates that all securities offered have been sold or that deregisters all securities then remaining unsold shall also be deemed to be incorporated by reference herein and to be a part hereof from the dates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 </w:t>
      </w:r>
    </w:p>
    <w:p>
      <w:pPr>
        <w:pStyle w:val="TextBody"/>
        <w:spacing w:lineRule="auto" w:line="288" w:before="0" w:after="0"/>
        <w:jc w:val="both"/>
        <w:rPr>
          <w:rFonts w:ascii="inherit" w:hAnsi="inherit"/>
          <w:b/>
          <w:sz w:val="17"/>
        </w:rPr>
      </w:pPr>
      <w:r>
        <w:rPr>
          <w:rFonts w:ascii="inherit" w:hAnsi="inherit"/>
          <w:b/>
          <w:sz w:val="17"/>
        </w:rPr>
        <w:t>Item 4.    Description of Securities.</w:t>
      </w:r>
    </w:p>
    <w:p>
      <w:pPr>
        <w:pStyle w:val="TextBody"/>
        <w:spacing w:lineRule="auto" w:line="288" w:before="0" w:after="0"/>
        <w:jc w:val="both"/>
        <w:rPr>
          <w:rFonts w:ascii="inherit" w:hAnsi="inherit"/>
          <w:sz w:val="17"/>
        </w:rPr>
      </w:pPr>
      <w:r>
        <w:rPr>
          <w:rFonts w:ascii="inherit" w:hAnsi="inherit"/>
          <w:sz w:val="17"/>
        </w:rPr>
        <w:t xml:space="preserve">Not applicable. </w:t>
      </w:r>
    </w:p>
    <w:p>
      <w:pPr>
        <w:pStyle w:val="TextBody"/>
        <w:spacing w:lineRule="auto" w:line="288" w:before="0" w:after="0"/>
        <w:jc w:val="both"/>
        <w:rPr/>
      </w:pPr>
      <w:r>
        <w:rPr/>
        <w:t> </w:t>
      </w:r>
    </w:p>
    <w:p>
      <w:pPr>
        <w:pStyle w:val="TextBody"/>
        <w:spacing w:lineRule="auto" w:line="288" w:before="0" w:after="0"/>
        <w:jc w:val="both"/>
        <w:rPr>
          <w:rFonts w:ascii="inherit" w:hAnsi="inherit"/>
          <w:b/>
          <w:sz w:val="17"/>
        </w:rPr>
      </w:pPr>
      <w:r>
        <w:rPr>
          <w:rFonts w:ascii="inherit" w:hAnsi="inherit"/>
          <w:b/>
          <w:sz w:val="17"/>
        </w:rPr>
        <w:t>Item 5.    Interests of Named Experts and Counsel.</w:t>
      </w:r>
    </w:p>
    <w:p>
      <w:pPr>
        <w:pStyle w:val="TextBody"/>
        <w:spacing w:lineRule="auto" w:line="288" w:before="0" w:after="0"/>
        <w:jc w:val="both"/>
        <w:rPr>
          <w:rFonts w:ascii="inherit" w:hAnsi="inherit"/>
          <w:sz w:val="17"/>
        </w:rPr>
      </w:pPr>
      <w:r>
        <w:rPr>
          <w:rFonts w:ascii="inherit" w:hAnsi="inherit"/>
          <w:sz w:val="17"/>
        </w:rPr>
        <w:t>Not applicable.</w:t>
      </w:r>
    </w:p>
    <w:p>
      <w:pPr>
        <w:pStyle w:val="TextBody"/>
        <w:spacing w:lineRule="auto" w:line="288" w:before="0" w:after="0"/>
        <w:jc w:val="both"/>
        <w:rPr>
          <w:rFonts w:ascii="inherit" w:hAnsi="inherit"/>
          <w:b/>
          <w:sz w:val="17"/>
        </w:rPr>
      </w:pPr>
      <w:r>
        <w:rPr>
          <w:rFonts w:ascii="inherit" w:hAnsi="inherit"/>
          <w:b/>
          <w:sz w:val="17"/>
        </w:rPr>
        <w:t xml:space="preserve">Item 6.    Indemnification of Directors and Officers. </w:t>
      </w:r>
    </w:p>
    <w:p>
      <w:pPr>
        <w:pStyle w:val="TextBody"/>
        <w:spacing w:lineRule="auto" w:line="288" w:before="0" w:after="0"/>
        <w:jc w:val="both"/>
        <w:rPr>
          <w:rFonts w:ascii="inherit" w:hAnsi="inherit"/>
          <w:sz w:val="17"/>
        </w:rPr>
      </w:pPr>
      <w:r>
        <w:rPr>
          <w:rFonts w:ascii="inherit" w:hAnsi="inherit"/>
          <w:sz w:val="17"/>
        </w:rPr>
        <w:t>Article Eighth of EZCORP’s Amended and Restated Certificate of Incorporation provides that EZCORP shall indemnify its present or former directors and officers, and may indemnify any employee or agent of EZCORP, to the fullest extent permitted by law, including under the Delaware General Corporation Law (the “DGCL”).</w:t>
      </w:r>
    </w:p>
    <w:p>
      <w:pPr>
        <w:pStyle w:val="TextBody"/>
        <w:spacing w:lineRule="auto" w:line="288" w:before="0" w:after="0"/>
        <w:jc w:val="both"/>
        <w:rPr>
          <w:rFonts w:ascii="inherit" w:hAnsi="inherit"/>
          <w:sz w:val="17"/>
        </w:rPr>
      </w:pPr>
      <w:r>
        <w:rPr>
          <w:rFonts w:ascii="inherit" w:hAnsi="inherit"/>
          <w:sz w:val="17"/>
        </w:rPr>
        <w:t>Section 145(a) of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he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spacing w:lineRule="auto" w:line="288" w:before="0" w:after="0"/>
        <w:jc w:val="both"/>
        <w:rPr>
          <w:rFonts w:ascii="inherit" w:hAnsi="inherit"/>
          <w:sz w:val="17"/>
        </w:rPr>
      </w:pPr>
      <w:r>
        <w:rPr>
          <w:rFonts w:ascii="inherit" w:hAnsi="inherit"/>
          <w:sz w:val="17"/>
        </w:rPr>
        <w:t>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the action or suit if the person acted in good faith and in a manner the person reasonably believed to be in or not opposed to the best interests of the corporation and except that no indemnification shall be made in respect of any claim, issue or matter as to which the person shall have been adjudged to be liable to the corporation unless and only to the extent that the Delaware Court of Chancery or the court in which the action or suit was brought shall determine upon application that, despite the adjudication of liability but in view of all the circumstances of the case, the person is fairly and reasonably entitled to indemnity for the expenses which the Delaware Court of Chancery or such other court shall deem proper.</w:t>
      </w:r>
    </w:p>
    <w:p>
      <w:pPr>
        <w:pStyle w:val="TextBody"/>
        <w:spacing w:lineRule="auto" w:line="288" w:before="0" w:after="0"/>
        <w:jc w:val="both"/>
        <w:rPr>
          <w:rFonts w:ascii="inherit" w:hAnsi="inherit"/>
          <w:sz w:val="17"/>
        </w:rPr>
      </w:pPr>
      <w:r>
        <w:rPr>
          <w:rFonts w:ascii="inherit" w:hAnsi="inherit"/>
          <w:sz w:val="17"/>
        </w:rPr>
        <w:t>Section 145(c) of the DGCL provides that to the extent that a present or former director or officer of a corporation has been successful on the merits or otherwise in defense of any action, suit or proceeding referred to in Section 145(a) and (b), or in defense of any claim, issue or matter therein, the person shall be indemnified against expenses (including attorneys’ fees) actually and reasonably incurred by the person in connection therewith.</w:t>
      </w:r>
    </w:p>
    <w:p>
      <w:pPr>
        <w:pStyle w:val="TextBody"/>
        <w:spacing w:lineRule="auto" w:line="288" w:before="0" w:after="0"/>
        <w:jc w:val="both"/>
        <w:rPr>
          <w:rFonts w:ascii="inherit" w:hAnsi="inherit"/>
          <w:sz w:val="17"/>
        </w:rPr>
      </w:pPr>
      <w:r>
        <w:rPr>
          <w:rFonts w:ascii="inherit" w:hAnsi="inherit"/>
          <w:sz w:val="17"/>
        </w:rPr>
        <w:t xml:space="preserve">Section 145(d) of the DGCL provides that any indemnification under Section 145(a) and (b)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Section 145(a) and (b). The determination shall be made, with respect to a person who is a director or officer of the corporation at the time of such determination, (1) by a majority vote of the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lineRule="auto" w:line="288" w:before="0" w:after="0"/>
        <w:jc w:val="left"/>
        <w:rPr>
          <w:rFonts w:ascii="inherit" w:hAnsi="inherit"/>
          <w:sz w:val="17"/>
        </w:rPr>
      </w:pPr>
      <w:r>
        <w:rPr>
          <w:rFonts w:ascii="inherit" w:hAnsi="inherit"/>
          <w:sz w:val="17"/>
        </w:rPr>
      </w:r>
      <w:bookmarkStart w:id="7" w:name="s16FFDB6A9C57C9589C649E9ED3C7CE8D2"/>
      <w:bookmarkStart w:id="8" w:name="s16FFDB6A9C57C9589C649E9ED3C7CE8D2"/>
      <w:bookmarkEnd w:id="8"/>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w:t>
      </w:r>
    </w:p>
    <w:p>
      <w:pPr>
        <w:pStyle w:val="TextBody"/>
        <w:spacing w:lineRule="auto" w:line="288" w:before="0" w:after="0"/>
        <w:jc w:val="both"/>
        <w:rPr>
          <w:rFonts w:ascii="inherit" w:hAnsi="inherit"/>
          <w:sz w:val="17"/>
        </w:rPr>
      </w:pPr>
      <w:r>
        <w:rPr>
          <w:rFonts w:ascii="inherit" w:hAnsi="inherit"/>
          <w:sz w:val="17"/>
        </w:rPr>
        <w:t>Section 145(e) of the DGCL provides that expenses (including attorneys’ fees) incurred by an officer or director of the corporation in defending any civil, criminal, administrative or investigative action, suit or proceeding may be paid by the corporation in advance of the final disposition of such action, suit or proceeding upon receipt of an undertaking by or on behalf of the director or officer to repay such amount if it shall ultimately be determined that the person is not entitled to be indemnified by the corporation as authorized under Section 145. The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those terms and conditions, if any, as the corporation deems appropriate.</w:t>
      </w:r>
    </w:p>
    <w:p>
      <w:pPr>
        <w:pStyle w:val="TextBody"/>
        <w:spacing w:lineRule="auto" w:line="288" w:before="0" w:after="0"/>
        <w:jc w:val="both"/>
        <w:rPr>
          <w:rFonts w:ascii="inherit" w:hAnsi="inherit"/>
          <w:sz w:val="17"/>
        </w:rPr>
      </w:pPr>
      <w:r>
        <w:rPr>
          <w:rFonts w:ascii="inherit" w:hAnsi="inherit"/>
          <w:sz w:val="17"/>
        </w:rPr>
        <w:t>Section 145(f) of the DGCL provides that the indemnification and advancement of expenses provided by, or granted pursuant to, Section 145 shall not be deemed exclusive of any other rights to which those seeking indemnification or advancement of expenses may be entitled under any bylaw, agreement, vote of stockholders or disinterested directors or otherwise.</w:t>
      </w:r>
    </w:p>
    <w:p>
      <w:pPr>
        <w:pStyle w:val="TextBody"/>
        <w:spacing w:lineRule="auto" w:line="288" w:before="0" w:after="0"/>
        <w:jc w:val="both"/>
        <w:rPr>
          <w:rFonts w:ascii="inherit" w:hAnsi="inherit"/>
          <w:sz w:val="17"/>
        </w:rPr>
      </w:pPr>
      <w:r>
        <w:rPr>
          <w:rFonts w:ascii="inherit" w:hAnsi="inherit"/>
          <w:sz w:val="17"/>
        </w:rPr>
        <w:t>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the person and incurred by the person in any such capacity, or arising out of the person’s status as such, whether or not the corporation would have the power to indemnify the person against such liability under Section 145. EZCORP maintains directors’ and officers’ liability insurance for the benefit of its directors and officers.</w:t>
      </w:r>
    </w:p>
    <w:p>
      <w:pPr>
        <w:pStyle w:val="TextBody"/>
        <w:spacing w:lineRule="auto" w:line="288" w:before="0" w:after="0"/>
        <w:jc w:val="both"/>
        <w:rPr>
          <w:rFonts w:ascii="inherit" w:hAnsi="inherit"/>
          <w:sz w:val="17"/>
        </w:rPr>
      </w:pPr>
      <w:r>
        <w:rPr>
          <w:rFonts w:ascii="inherit" w:hAnsi="inherit"/>
          <w:sz w:val="17"/>
        </w:rPr>
        <w:t>Section 145(j) of the DGCL provides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w:t>
      </w:r>
    </w:p>
    <w:p>
      <w:pPr>
        <w:pStyle w:val="TextBody"/>
        <w:spacing w:lineRule="auto" w:line="288" w:before="0" w:after="0"/>
        <w:jc w:val="both"/>
        <w:rPr>
          <w:rFonts w:ascii="inherit" w:hAnsi="inherit"/>
          <w:sz w:val="17"/>
        </w:rPr>
      </w:pPr>
      <w:r>
        <w:rPr>
          <w:rFonts w:ascii="inherit" w:hAnsi="inherit"/>
          <w:sz w:val="17"/>
        </w:rPr>
        <w:t>The above discussion of EZCORP’s Amended and Restated Certificate of Incorporation and the DGCL is not intended to be exhaustive and is respectively qualified by entirety to EZCORP’s Amended and Restated Certificate of Incorporation and the DGCL.</w:t>
      </w:r>
    </w:p>
    <w:p>
      <w:pPr>
        <w:pStyle w:val="TextBody"/>
        <w:spacing w:lineRule="auto" w:line="288" w:before="0" w:after="0"/>
        <w:jc w:val="both"/>
        <w:rPr>
          <w:rFonts w:ascii="inherit" w:hAnsi="inherit"/>
          <w:b/>
          <w:sz w:val="17"/>
        </w:rPr>
      </w:pPr>
      <w:r>
        <w:rPr>
          <w:rFonts w:ascii="inherit" w:hAnsi="inherit"/>
          <w:b/>
          <w:sz w:val="17"/>
        </w:rPr>
        <w:t>Item 7.    Exemption from Registration Claimed.</w:t>
      </w:r>
    </w:p>
    <w:p>
      <w:pPr>
        <w:pStyle w:val="TextBody"/>
        <w:spacing w:lineRule="auto" w:line="288" w:before="0" w:after="0"/>
        <w:jc w:val="both"/>
        <w:rPr>
          <w:rFonts w:ascii="inherit" w:hAnsi="inherit"/>
          <w:sz w:val="17"/>
        </w:rPr>
      </w:pPr>
      <w:r>
        <w:rPr>
          <w:rFonts w:ascii="inherit" w:hAnsi="inherit"/>
          <w:sz w:val="17"/>
        </w:rPr>
        <w:t>Not applicable.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lineRule="auto" w:line="288" w:before="0" w:after="0"/>
        <w:jc w:val="left"/>
        <w:rPr>
          <w:rFonts w:ascii="inherit" w:hAnsi="inherit"/>
          <w:sz w:val="17"/>
        </w:rPr>
      </w:pPr>
      <w:r>
        <w:rPr>
          <w:rFonts w:ascii="inherit" w:hAnsi="inherit"/>
          <w:sz w:val="17"/>
        </w:rPr>
      </w:r>
      <w:bookmarkStart w:id="9" w:name="s16FFDB6A9C57C9589C649E9ED3C7CE8D3"/>
      <w:bookmarkStart w:id="10" w:name="s16FFDB6A9C57C9589C649E9ED3C7CE8D3"/>
      <w:bookmarkEnd w:id="10"/>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sz w:val="17"/>
        </w:rPr>
      </w:pPr>
      <w:r>
        <w:rPr>
          <w:rFonts w:ascii="inherit" w:hAnsi="inherit"/>
          <w:b/>
          <w:sz w:val="17"/>
        </w:rPr>
        <w:t xml:space="preserve">Item 8.    Exhibits. </w:t>
      </w:r>
    </w:p>
    <w:p>
      <w:pPr>
        <w:pStyle w:val="TextBody"/>
        <w:spacing w:lineRule="auto" w:line="288" w:before="0" w:after="0"/>
        <w:ind w:left="0" w:right="0" w:hanging="360"/>
        <w:jc w:val="left"/>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 xml:space="preserve">Unless otherwise indicated below as being incorporated by reference to another filing of Old EZCORP or EZCORP with the Commission, each of the following exhibits is filed herewith: </w:t>
      </w:r>
    </w:p>
    <w:tbl>
      <w:tblPr>
        <w:tblW w:w="10205" w:type="dxa"/>
        <w:jc w:val="left"/>
        <w:tblInd w:w="0" w:type="dxa"/>
        <w:tblCellMar>
          <w:top w:w="0" w:type="dxa"/>
          <w:left w:w="0" w:type="dxa"/>
          <w:bottom w:w="0" w:type="dxa"/>
          <w:right w:w="0" w:type="dxa"/>
        </w:tblCellMar>
      </w:tblPr>
      <w:tblGrid>
        <w:gridCol w:w="237"/>
        <w:gridCol w:w="676"/>
        <w:gridCol w:w="257"/>
        <w:gridCol w:w="413"/>
        <w:gridCol w:w="106"/>
        <w:gridCol w:w="8516"/>
      </w:tblGrid>
      <w:tr>
        <w:trPr/>
        <w:tc>
          <w:tcPr>
            <w:tcW w:w="10205" w:type="dxa"/>
            <w:gridSpan w:val="6"/>
            <w:tcBorders/>
            <w:shd w:fill="auto" w:val="clear"/>
            <w:vAlign w:val="center"/>
          </w:tcPr>
          <w:p>
            <w:pPr>
              <w:pStyle w:val="TableContents"/>
              <w:spacing w:before="0" w:after="283"/>
              <w:rPr>
                <w:sz w:val="4"/>
                <w:szCs w:val="4"/>
              </w:rPr>
            </w:pPr>
            <w:r>
              <w:rPr>
                <w:sz w:val="4"/>
                <w:szCs w:val="4"/>
              </w:rPr>
            </w:r>
          </w:p>
        </w:tc>
      </w:tr>
      <w:tr>
        <w:trPr/>
        <w:tc>
          <w:tcPr>
            <w:tcW w:w="237"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851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170"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Exhibit </w:t>
              <w:br/>
              <w:t>Number</w:t>
            </w:r>
          </w:p>
        </w:tc>
        <w:tc>
          <w:tcPr>
            <w:tcW w:w="519" w:type="dxa"/>
            <w:gridSpan w:val="2"/>
            <w:tcBorders/>
            <w:shd w:fill="auto" w:val="clear"/>
            <w:vAlign w:val="center"/>
          </w:tcPr>
          <w:p>
            <w:pPr>
              <w:pStyle w:val="TableContents"/>
              <w:spacing w:before="0" w:after="0"/>
              <w:ind w:left="0" w:right="0" w:firstLine="30"/>
              <w:rPr/>
            </w:pPr>
            <w:r>
              <w:rPr/>
              <w:t> </w:t>
            </w:r>
          </w:p>
        </w:tc>
        <w:tc>
          <w:tcPr>
            <w:tcW w:w="8516"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Description</w:t>
            </w:r>
          </w:p>
        </w:tc>
      </w:tr>
      <w:tr>
        <w:trPr/>
        <w:tc>
          <w:tcPr>
            <w:tcW w:w="237" w:type="dxa"/>
            <w:tcBorders/>
            <w:shd w:fill="auto" w:val="clear"/>
            <w:vAlign w:val="center"/>
          </w:tcPr>
          <w:p>
            <w:pPr>
              <w:pStyle w:val="TableContents"/>
              <w:spacing w:before="0" w:after="0"/>
              <w:ind w:left="0" w:right="0" w:firstLine="30"/>
              <w:rPr/>
            </w:pPr>
            <w:r>
              <w:rPr/>
              <w:t> </w:t>
            </w:r>
          </w:p>
        </w:tc>
        <w:tc>
          <w:tcPr>
            <w:tcW w:w="67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4.1</w:t>
            </w:r>
          </w:p>
        </w:tc>
        <w:tc>
          <w:tcPr>
            <w:tcW w:w="257" w:type="dxa"/>
            <w:tcBorders/>
            <w:shd w:fill="auto" w:val="clear"/>
            <w:vAlign w:val="center"/>
          </w:tcPr>
          <w:p>
            <w:pPr>
              <w:pStyle w:val="TableContents"/>
              <w:spacing w:before="0" w:after="0"/>
              <w:ind w:left="0" w:right="0" w:firstLine="30"/>
              <w:rPr/>
            </w:pPr>
            <w:r>
              <w:rPr/>
              <w:t> </w:t>
            </w:r>
          </w:p>
        </w:tc>
        <w:tc>
          <w:tcPr>
            <w:tcW w:w="413"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16"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Amended and Restated Certificate of Incorporation of EZCORP, Inc. (incorporated herein by reference to Exhibit 3.1 of EZCORP’s Current Report on Form 8-K filed on October 2, 2013 (File No. 001-19424))</w:t>
            </w:r>
          </w:p>
        </w:tc>
      </w:tr>
      <w:tr>
        <w:trPr/>
        <w:tc>
          <w:tcPr>
            <w:tcW w:w="237" w:type="dxa"/>
            <w:tcBorders/>
            <w:shd w:fill="auto" w:val="clear"/>
            <w:vAlign w:val="center"/>
          </w:tcPr>
          <w:p>
            <w:pPr>
              <w:pStyle w:val="TableContents"/>
              <w:spacing w:before="0" w:after="0"/>
              <w:ind w:left="0" w:right="0" w:firstLine="30"/>
              <w:rPr/>
            </w:pPr>
            <w:r>
              <w:rPr/>
              <w:t> </w:t>
            </w:r>
          </w:p>
        </w:tc>
        <w:tc>
          <w:tcPr>
            <w:tcW w:w="67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4.2</w:t>
            </w:r>
          </w:p>
        </w:tc>
        <w:tc>
          <w:tcPr>
            <w:tcW w:w="257" w:type="dxa"/>
            <w:tcBorders/>
            <w:shd w:fill="auto" w:val="clear"/>
            <w:vAlign w:val="center"/>
          </w:tcPr>
          <w:p>
            <w:pPr>
              <w:pStyle w:val="TableContents"/>
              <w:spacing w:before="0" w:after="0"/>
              <w:ind w:left="0" w:right="0" w:firstLine="30"/>
              <w:rPr/>
            </w:pPr>
            <w:r>
              <w:rPr/>
              <w:t> </w:t>
            </w:r>
          </w:p>
        </w:tc>
        <w:tc>
          <w:tcPr>
            <w:tcW w:w="413"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16"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By-Laws of EZCORP, Inc. (incorporated herein by reference to Exhibit 3.2 of EZCORP’s Current Report on Form 8-K filed on October 2, 2013 (File No. 001-19424))</w:t>
            </w:r>
          </w:p>
        </w:tc>
      </w:tr>
      <w:tr>
        <w:trPr/>
        <w:tc>
          <w:tcPr>
            <w:tcW w:w="237" w:type="dxa"/>
            <w:tcBorders/>
            <w:shd w:fill="auto" w:val="clear"/>
            <w:vAlign w:val="center"/>
          </w:tcPr>
          <w:p>
            <w:pPr>
              <w:pStyle w:val="TableContents"/>
              <w:spacing w:before="0" w:after="0"/>
              <w:ind w:left="0" w:right="0" w:firstLine="30"/>
              <w:rPr/>
            </w:pPr>
            <w:r>
              <w:rPr/>
              <w:t> </w:t>
            </w:r>
          </w:p>
        </w:tc>
        <w:tc>
          <w:tcPr>
            <w:tcW w:w="67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4.3</w:t>
            </w:r>
          </w:p>
        </w:tc>
        <w:tc>
          <w:tcPr>
            <w:tcW w:w="257" w:type="dxa"/>
            <w:tcBorders/>
            <w:shd w:fill="auto" w:val="clear"/>
            <w:vAlign w:val="center"/>
          </w:tcPr>
          <w:p>
            <w:pPr>
              <w:pStyle w:val="TableContents"/>
              <w:spacing w:before="0" w:after="0"/>
              <w:ind w:left="0" w:right="0" w:firstLine="30"/>
              <w:rPr/>
            </w:pPr>
            <w:r>
              <w:rPr/>
              <w:t> </w:t>
            </w:r>
          </w:p>
        </w:tc>
        <w:tc>
          <w:tcPr>
            <w:tcW w:w="413"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16"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Specimen of Class A Non-Voting Common Stock certificate (incorporated herein by reference to Exhibit 4.1 to Old EZCORP’s Registration Statement on Form S-1 effective August 23, 1991 (File No. 33-41317))</w:t>
            </w:r>
          </w:p>
        </w:tc>
      </w:tr>
      <w:tr>
        <w:trPr/>
        <w:tc>
          <w:tcPr>
            <w:tcW w:w="237" w:type="dxa"/>
            <w:tcBorders/>
            <w:shd w:fill="auto" w:val="clear"/>
            <w:vAlign w:val="center"/>
          </w:tcPr>
          <w:p>
            <w:pPr>
              <w:pStyle w:val="TableContents"/>
              <w:spacing w:before="0" w:after="0"/>
              <w:ind w:left="0" w:right="0" w:firstLine="30"/>
              <w:rPr/>
            </w:pPr>
            <w:r>
              <w:rPr/>
              <w:t> </w:t>
            </w:r>
          </w:p>
        </w:tc>
        <w:tc>
          <w:tcPr>
            <w:tcW w:w="67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4.4</w:t>
            </w:r>
          </w:p>
        </w:tc>
        <w:tc>
          <w:tcPr>
            <w:tcW w:w="257" w:type="dxa"/>
            <w:tcBorders/>
            <w:shd w:fill="auto" w:val="clear"/>
            <w:vAlign w:val="center"/>
          </w:tcPr>
          <w:p>
            <w:pPr>
              <w:pStyle w:val="TableContents"/>
              <w:spacing w:before="0" w:after="0"/>
              <w:ind w:left="0" w:right="0" w:firstLine="30"/>
              <w:rPr/>
            </w:pPr>
            <w:r>
              <w:rPr/>
              <w:t> </w:t>
            </w:r>
          </w:p>
        </w:tc>
        <w:tc>
          <w:tcPr>
            <w:tcW w:w="413"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16"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2006 Incentive Plan (incorporated herein by reference to Exhibit 10.104 to Old EZCORP’s Annual Report on Form 10-K for year ending September 30, 2006 (File No. 0-19424))</w:t>
            </w:r>
          </w:p>
        </w:tc>
      </w:tr>
      <w:tr>
        <w:trPr/>
        <w:tc>
          <w:tcPr>
            <w:tcW w:w="237" w:type="dxa"/>
            <w:tcBorders/>
            <w:shd w:fill="auto" w:val="clear"/>
            <w:vAlign w:val="center"/>
          </w:tcPr>
          <w:p>
            <w:pPr>
              <w:pStyle w:val="TableContents"/>
              <w:spacing w:before="0" w:after="0"/>
              <w:ind w:left="0" w:right="0" w:firstLine="30"/>
              <w:rPr/>
            </w:pPr>
            <w:r>
              <w:rPr/>
              <w:t> </w:t>
            </w:r>
          </w:p>
        </w:tc>
        <w:tc>
          <w:tcPr>
            <w:tcW w:w="67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5.1</w:t>
            </w:r>
          </w:p>
        </w:tc>
        <w:tc>
          <w:tcPr>
            <w:tcW w:w="2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13"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16"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Opinion of Vinson &amp; Elkins L.L.P.</w:t>
            </w:r>
          </w:p>
        </w:tc>
      </w:tr>
      <w:tr>
        <w:trPr/>
        <w:tc>
          <w:tcPr>
            <w:tcW w:w="237" w:type="dxa"/>
            <w:tcBorders/>
            <w:shd w:fill="auto" w:val="clear"/>
            <w:vAlign w:val="center"/>
          </w:tcPr>
          <w:p>
            <w:pPr>
              <w:pStyle w:val="TableContents"/>
              <w:spacing w:before="0" w:after="0"/>
              <w:ind w:left="0" w:right="0" w:firstLine="30"/>
              <w:rPr/>
            </w:pPr>
            <w:r>
              <w:rPr/>
              <w:t> </w:t>
            </w:r>
          </w:p>
        </w:tc>
        <w:tc>
          <w:tcPr>
            <w:tcW w:w="67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23.1</w:t>
            </w:r>
          </w:p>
        </w:tc>
        <w:tc>
          <w:tcPr>
            <w:tcW w:w="2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13"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16"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Consent of Independent Registered Public Accounting Firm</w:t>
            </w:r>
          </w:p>
        </w:tc>
      </w:tr>
      <w:tr>
        <w:trPr/>
        <w:tc>
          <w:tcPr>
            <w:tcW w:w="237" w:type="dxa"/>
            <w:tcBorders/>
            <w:shd w:fill="auto" w:val="clear"/>
            <w:vAlign w:val="center"/>
          </w:tcPr>
          <w:p>
            <w:pPr>
              <w:pStyle w:val="TableContents"/>
              <w:spacing w:before="0" w:after="0"/>
              <w:ind w:left="0" w:right="0" w:firstLine="30"/>
              <w:rPr/>
            </w:pPr>
            <w:r>
              <w:rPr/>
              <w:t> </w:t>
            </w:r>
          </w:p>
        </w:tc>
        <w:tc>
          <w:tcPr>
            <w:tcW w:w="67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23.2</w:t>
            </w:r>
          </w:p>
        </w:tc>
        <w:tc>
          <w:tcPr>
            <w:tcW w:w="2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13"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16"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Consent of Vinson &amp; Elkins L.L.P. (contained in Exhibit 5.1)</w:t>
            </w:r>
          </w:p>
        </w:tc>
      </w:tr>
      <w:tr>
        <w:trPr/>
        <w:tc>
          <w:tcPr>
            <w:tcW w:w="237" w:type="dxa"/>
            <w:tcBorders/>
            <w:shd w:fill="auto" w:val="clear"/>
            <w:vAlign w:val="center"/>
          </w:tcPr>
          <w:p>
            <w:pPr>
              <w:pStyle w:val="TableContents"/>
              <w:spacing w:before="0" w:after="0"/>
              <w:ind w:left="0" w:right="0" w:firstLine="30"/>
              <w:rPr/>
            </w:pPr>
            <w:r>
              <w:rPr/>
              <w:t> </w:t>
            </w:r>
          </w:p>
        </w:tc>
        <w:tc>
          <w:tcPr>
            <w:tcW w:w="676"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24.1</w:t>
            </w:r>
          </w:p>
        </w:tc>
        <w:tc>
          <w:tcPr>
            <w:tcW w:w="2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13"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516" w:type="dxa"/>
            <w:tcBorders/>
            <w:shd w:fill="auto" w:val="clear"/>
            <w:vAlign w:val="center"/>
          </w:tcPr>
          <w:p>
            <w:pPr>
              <w:pStyle w:val="TableContents"/>
              <w:spacing w:before="0" w:after="0"/>
              <w:ind w:left="0" w:right="0" w:hanging="210"/>
              <w:jc w:val="both"/>
              <w:rPr>
                <w:rFonts w:ascii="inherit" w:hAnsi="inherit"/>
                <w:sz w:val="17"/>
              </w:rPr>
            </w:pPr>
            <w:r>
              <w:rPr>
                <w:rFonts w:ascii="inherit" w:hAnsi="inherit"/>
                <w:sz w:val="17"/>
              </w:rPr>
              <w:t>Power of Attorney (included on signature page of this Registration Statement)</w:t>
            </w:r>
          </w:p>
        </w:tc>
      </w:tr>
    </w:tbl>
    <w:tbl>
      <w:tblPr>
        <w:tblW w:w="525" w:type="dxa"/>
        <w:jc w:val="center"/>
        <w:tblInd w:w="0" w:type="dxa"/>
        <w:tblCellMar>
          <w:top w:w="0" w:type="dxa"/>
          <w:left w:w="0" w:type="dxa"/>
          <w:bottom w:w="0" w:type="dxa"/>
          <w:right w:w="0" w:type="dxa"/>
        </w:tblCellMar>
      </w:tblPr>
      <w:tblGrid>
        <w:gridCol w:w="105"/>
        <w:gridCol w:w="105"/>
        <w:gridCol w:w="105"/>
        <w:gridCol w:w="105"/>
        <w:gridCol w:w="105"/>
      </w:tblGrid>
      <w:tr>
        <w:trPr/>
        <w:tc>
          <w:tcPr>
            <w:tcW w:w="525"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rPr/>
            </w:pPr>
            <w:r>
              <w:rPr/>
              <w:t> </w:t>
            </w:r>
          </w:p>
        </w:tc>
      </w:tr>
    </w:tbl>
    <w:tbl>
      <w:tblPr>
        <w:tblW w:w="1375" w:type="dxa"/>
        <w:jc w:val="left"/>
        <w:tblInd w:w="0" w:type="dxa"/>
        <w:tblCellMar>
          <w:top w:w="0" w:type="dxa"/>
          <w:left w:w="0" w:type="dxa"/>
          <w:bottom w:w="0" w:type="dxa"/>
          <w:right w:w="0" w:type="dxa"/>
        </w:tblCellMar>
      </w:tblPr>
      <w:tblGrid>
        <w:gridCol w:w="125"/>
        <w:gridCol w:w="1250"/>
      </w:tblGrid>
      <w:tr>
        <w:trPr/>
        <w:tc>
          <w:tcPr>
            <w:tcW w:w="125"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w:t>
            </w:r>
          </w:p>
        </w:tc>
        <w:tc>
          <w:tcPr>
            <w:tcW w:w="12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Filed herewith.</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both"/>
        <w:rPr>
          <w:rFonts w:ascii="inherit" w:hAnsi="inherit"/>
          <w:b/>
          <w:sz w:val="17"/>
        </w:rPr>
      </w:pPr>
      <w:r>
        <w:rPr>
          <w:rFonts w:ascii="inherit" w:hAnsi="inherit"/>
          <w:b/>
          <w:sz w:val="17"/>
        </w:rPr>
        <w:t xml:space="preserve">Item 9.    Undertakings.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undersigned Registrant hereby undertakes:</w:t>
      </w:r>
    </w:p>
    <w:tbl>
      <w:tblPr>
        <w:tblW w:w="10205" w:type="dxa"/>
        <w:jc w:val="left"/>
        <w:tblInd w:w="0" w:type="dxa"/>
        <w:tblCellMar>
          <w:top w:w="0" w:type="dxa"/>
          <w:left w:w="0" w:type="dxa"/>
          <w:bottom w:w="0" w:type="dxa"/>
          <w:right w:w="0" w:type="dxa"/>
        </w:tblCellMar>
      </w:tblPr>
      <w:tblGrid>
        <w:gridCol w:w="1688"/>
        <w:gridCol w:w="8517"/>
      </w:tblGrid>
      <w:tr>
        <w:trPr/>
        <w:tc>
          <w:tcPr>
            <w:tcW w:w="1688" w:type="dxa"/>
            <w:tcBorders/>
            <w:shd w:fill="auto" w:val="clear"/>
            <w:vAlign w:val="center"/>
          </w:tcPr>
          <w:p>
            <w:pPr>
              <w:pStyle w:val="TableContents"/>
              <w:spacing w:before="0" w:after="283"/>
              <w:rPr>
                <w:sz w:val="4"/>
                <w:szCs w:val="4"/>
              </w:rPr>
            </w:pPr>
            <w:r>
              <w:rPr>
                <w:sz w:val="4"/>
                <w:szCs w:val="4"/>
              </w:rPr>
            </w:r>
          </w:p>
        </w:tc>
        <w:tc>
          <w:tcPr>
            <w:tcW w:w="8517" w:type="dxa"/>
            <w:tcBorders/>
            <w:shd w:fill="auto" w:val="clear"/>
            <w:vAlign w:val="center"/>
          </w:tcPr>
          <w:p>
            <w:pPr>
              <w:pStyle w:val="TableContents"/>
              <w:spacing w:before="0" w:after="283"/>
              <w:rPr>
                <w:sz w:val="4"/>
                <w:szCs w:val="4"/>
              </w:rPr>
            </w:pPr>
            <w:r>
              <w:rPr>
                <w:sz w:val="4"/>
                <w:szCs w:val="4"/>
              </w:rPr>
            </w:r>
          </w:p>
        </w:tc>
      </w:tr>
      <w:tr>
        <w:trPr/>
        <w:tc>
          <w:tcPr>
            <w:tcW w:w="1688"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(a)</w:t>
            </w:r>
          </w:p>
        </w:tc>
        <w:tc>
          <w:tcPr>
            <w:tcW w:w="8517" w:type="dxa"/>
            <w:tcBorders/>
            <w:shd w:fill="auto" w:val="clear"/>
            <w:vAlign w:val="center"/>
          </w:tcPr>
          <w:p>
            <w:pPr>
              <w:pStyle w:val="TableContents"/>
              <w:spacing w:lineRule="auto" w:line="288" w:before="0" w:after="0"/>
              <w:ind w:left="0" w:right="0" w:hanging="1440"/>
              <w:jc w:val="left"/>
              <w:rPr>
                <w:rFonts w:ascii="inherit" w:hAnsi="inherit"/>
                <w:sz w:val="17"/>
              </w:rPr>
            </w:pPr>
            <w:r>
              <w:rPr>
                <w:rFonts w:ascii="inherit" w:hAnsi="inherit"/>
                <w:sz w:val="17"/>
              </w:rPr>
              <w:t>To file, during any period in which offers or sales are being made, a post-effective amendment to this Registration Statement:</w:t>
            </w:r>
          </w:p>
        </w:tc>
      </w:tr>
    </w:tbl>
    <w:p>
      <w:pPr>
        <w:pStyle w:val="TextBody"/>
        <w:spacing w:lineRule="auto" w:line="288" w:before="0" w:after="0"/>
        <w:jc w:val="left"/>
        <w:rPr>
          <w:rFonts w:ascii="inherit" w:hAnsi="inherit"/>
          <w:sz w:val="17"/>
        </w:rPr>
      </w:pPr>
      <w:r>
        <w:rPr>
          <w:rFonts w:ascii="inherit" w:hAnsi="inherit"/>
          <w:sz w:val="17"/>
        </w:rPr>
      </w:r>
    </w:p>
    <w:tbl>
      <w:tblPr>
        <w:tblW w:w="8740" w:type="dxa"/>
        <w:jc w:val="left"/>
        <w:tblInd w:w="0" w:type="dxa"/>
        <w:tblCellMar>
          <w:top w:w="0" w:type="dxa"/>
          <w:left w:w="0" w:type="dxa"/>
          <w:bottom w:w="0" w:type="dxa"/>
          <w:right w:w="0" w:type="dxa"/>
        </w:tblCellMar>
      </w:tblPr>
      <w:tblGrid>
        <w:gridCol w:w="2360"/>
        <w:gridCol w:w="6380"/>
      </w:tblGrid>
      <w:tr>
        <w:trPr/>
        <w:tc>
          <w:tcPr>
            <w:tcW w:w="2360" w:type="dxa"/>
            <w:tcBorders/>
            <w:shd w:fill="auto" w:val="clear"/>
            <w:vAlign w:val="center"/>
          </w:tcPr>
          <w:p>
            <w:pPr>
              <w:pStyle w:val="TableContents"/>
              <w:spacing w:before="0" w:after="283"/>
              <w:rPr>
                <w:sz w:val="4"/>
                <w:szCs w:val="4"/>
              </w:rPr>
            </w:pPr>
            <w:r>
              <w:rPr>
                <w:sz w:val="4"/>
                <w:szCs w:val="4"/>
              </w:rPr>
            </w:r>
          </w:p>
        </w:tc>
        <w:tc>
          <w:tcPr>
            <w:tcW w:w="6380" w:type="dxa"/>
            <w:tcBorders/>
            <w:shd w:fill="auto" w:val="clear"/>
            <w:vAlign w:val="center"/>
          </w:tcPr>
          <w:p>
            <w:pPr>
              <w:pStyle w:val="TableContents"/>
              <w:spacing w:before="0" w:after="283"/>
              <w:rPr>
                <w:sz w:val="4"/>
                <w:szCs w:val="4"/>
              </w:rPr>
            </w:pPr>
            <w:r>
              <w:rPr>
                <w:sz w:val="4"/>
                <w:szCs w:val="4"/>
              </w:rPr>
            </w:r>
          </w:p>
        </w:tc>
      </w:tr>
      <w:tr>
        <w:trPr/>
        <w:tc>
          <w:tcPr>
            <w:tcW w:w="2360" w:type="dxa"/>
            <w:tcBorders/>
            <w:shd w:fill="auto" w:val="clear"/>
            <w:vAlign w:val="center"/>
          </w:tcPr>
          <w:p>
            <w:pPr>
              <w:pStyle w:val="TableContents"/>
              <w:spacing w:lineRule="auto" w:line="288" w:before="0" w:after="0"/>
              <w:ind w:left="0" w:right="0" w:firstLine="2160"/>
              <w:rPr>
                <w:rFonts w:ascii="inherit" w:hAnsi="inherit"/>
                <w:sz w:val="17"/>
              </w:rPr>
            </w:pPr>
            <w:r>
              <w:rPr>
                <w:rFonts w:ascii="inherit" w:hAnsi="inherit"/>
                <w:sz w:val="17"/>
              </w:rPr>
              <w:t>(i)</w:t>
            </w:r>
          </w:p>
        </w:tc>
        <w:tc>
          <w:tcPr>
            <w:tcW w:w="6380" w:type="dxa"/>
            <w:tcBorders/>
            <w:shd w:fill="auto" w:val="clear"/>
            <w:vAlign w:val="center"/>
          </w:tcPr>
          <w:p>
            <w:pPr>
              <w:pStyle w:val="TableContents"/>
              <w:spacing w:lineRule="auto" w:line="288" w:before="0" w:after="0"/>
              <w:ind w:left="0" w:right="0" w:hanging="2160"/>
              <w:jc w:val="left"/>
              <w:rPr>
                <w:rFonts w:ascii="inherit" w:hAnsi="inherit"/>
                <w:sz w:val="17"/>
              </w:rPr>
            </w:pPr>
            <w:r>
              <w:rPr>
                <w:rFonts w:ascii="inherit" w:hAnsi="inherit"/>
                <w:sz w:val="17"/>
              </w:rPr>
              <w:t>To include any prospectus required by Section 10(a)(3) of the Securities Act;</w:t>
            </w:r>
          </w:p>
        </w:tc>
      </w:tr>
    </w:tbl>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2364"/>
        <w:gridCol w:w="7841"/>
      </w:tblGrid>
      <w:tr>
        <w:trPr/>
        <w:tc>
          <w:tcPr>
            <w:tcW w:w="2364" w:type="dxa"/>
            <w:tcBorders/>
            <w:shd w:fill="auto" w:val="clear"/>
            <w:vAlign w:val="center"/>
          </w:tcPr>
          <w:p>
            <w:pPr>
              <w:pStyle w:val="TableContents"/>
              <w:spacing w:before="0" w:after="283"/>
              <w:rPr>
                <w:sz w:val="4"/>
                <w:szCs w:val="4"/>
              </w:rPr>
            </w:pPr>
            <w:r>
              <w:rPr>
                <w:sz w:val="4"/>
                <w:szCs w:val="4"/>
              </w:rPr>
            </w:r>
          </w:p>
        </w:tc>
        <w:tc>
          <w:tcPr>
            <w:tcW w:w="7841" w:type="dxa"/>
            <w:tcBorders/>
            <w:shd w:fill="auto" w:val="clear"/>
            <w:vAlign w:val="center"/>
          </w:tcPr>
          <w:p>
            <w:pPr>
              <w:pStyle w:val="TableContents"/>
              <w:spacing w:before="0" w:after="283"/>
              <w:rPr>
                <w:sz w:val="4"/>
                <w:szCs w:val="4"/>
              </w:rPr>
            </w:pPr>
            <w:r>
              <w:rPr>
                <w:sz w:val="4"/>
                <w:szCs w:val="4"/>
              </w:rPr>
            </w:r>
          </w:p>
        </w:tc>
      </w:tr>
      <w:tr>
        <w:trPr/>
        <w:tc>
          <w:tcPr>
            <w:tcW w:w="2364" w:type="dxa"/>
            <w:tcBorders/>
            <w:shd w:fill="auto" w:val="clear"/>
            <w:vAlign w:val="center"/>
          </w:tcPr>
          <w:p>
            <w:pPr>
              <w:pStyle w:val="TableContents"/>
              <w:spacing w:lineRule="auto" w:line="288" w:before="0" w:after="0"/>
              <w:ind w:left="0" w:right="0" w:firstLine="2160"/>
              <w:rPr>
                <w:rFonts w:ascii="inherit" w:hAnsi="inherit"/>
                <w:sz w:val="17"/>
              </w:rPr>
            </w:pPr>
            <w:r>
              <w:rPr>
                <w:rFonts w:ascii="inherit" w:hAnsi="inherit"/>
                <w:sz w:val="17"/>
              </w:rPr>
              <w:t>(ii)</w:t>
            </w:r>
          </w:p>
        </w:tc>
        <w:tc>
          <w:tcPr>
            <w:tcW w:w="7841" w:type="dxa"/>
            <w:tcBorders/>
            <w:shd w:fill="auto" w:val="clear"/>
            <w:vAlign w:val="center"/>
          </w:tcPr>
          <w:p>
            <w:pPr>
              <w:pStyle w:val="TableContents"/>
              <w:spacing w:lineRule="auto" w:line="288" w:before="0" w:after="0"/>
              <w:ind w:left="0" w:right="0" w:hanging="2160"/>
              <w:jc w:val="left"/>
              <w:rPr>
                <w:rFonts w:ascii="inherit" w:hAnsi="inherit"/>
                <w:sz w:val="17"/>
              </w:rPr>
            </w:pPr>
            <w:r>
              <w:rPr>
                <w:rFonts w:ascii="inherit" w:hAnsi="inherit"/>
                <w:sz w:val="17"/>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w:t>
            </w:r>
          </w:p>
        </w:tc>
      </w:tr>
    </w:tbl>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2417"/>
        <w:gridCol w:w="7788"/>
      </w:tblGrid>
      <w:tr>
        <w:trPr/>
        <w:tc>
          <w:tcPr>
            <w:tcW w:w="2417" w:type="dxa"/>
            <w:tcBorders/>
            <w:shd w:fill="auto" w:val="clear"/>
            <w:vAlign w:val="center"/>
          </w:tcPr>
          <w:p>
            <w:pPr>
              <w:pStyle w:val="TableContents"/>
              <w:spacing w:before="0" w:after="283"/>
              <w:rPr>
                <w:sz w:val="4"/>
                <w:szCs w:val="4"/>
              </w:rPr>
            </w:pPr>
            <w:r>
              <w:rPr>
                <w:sz w:val="4"/>
                <w:szCs w:val="4"/>
              </w:rPr>
            </w:r>
          </w:p>
        </w:tc>
        <w:tc>
          <w:tcPr>
            <w:tcW w:w="7788" w:type="dxa"/>
            <w:tcBorders/>
            <w:shd w:fill="auto" w:val="clear"/>
            <w:vAlign w:val="center"/>
          </w:tcPr>
          <w:p>
            <w:pPr>
              <w:pStyle w:val="TableContents"/>
              <w:spacing w:before="0" w:after="283"/>
              <w:rPr>
                <w:sz w:val="4"/>
                <w:szCs w:val="4"/>
              </w:rPr>
            </w:pPr>
            <w:r>
              <w:rPr>
                <w:sz w:val="4"/>
                <w:szCs w:val="4"/>
              </w:rPr>
            </w:r>
          </w:p>
        </w:tc>
      </w:tr>
      <w:tr>
        <w:trPr/>
        <w:tc>
          <w:tcPr>
            <w:tcW w:w="2417" w:type="dxa"/>
            <w:tcBorders/>
            <w:shd w:fill="auto" w:val="clear"/>
            <w:vAlign w:val="center"/>
          </w:tcPr>
          <w:p>
            <w:pPr>
              <w:pStyle w:val="TableContents"/>
              <w:spacing w:lineRule="auto" w:line="288" w:before="0" w:after="0"/>
              <w:ind w:left="0" w:right="0" w:firstLine="2160"/>
              <w:rPr>
                <w:rFonts w:ascii="inherit" w:hAnsi="inherit"/>
                <w:sz w:val="17"/>
              </w:rPr>
            </w:pPr>
            <w:r>
              <w:rPr>
                <w:rFonts w:ascii="inherit" w:hAnsi="inherit"/>
                <w:sz w:val="17"/>
              </w:rPr>
              <w:t>(iii)</w:t>
            </w:r>
          </w:p>
        </w:tc>
        <w:tc>
          <w:tcPr>
            <w:tcW w:w="7788" w:type="dxa"/>
            <w:tcBorders/>
            <w:shd w:fill="auto" w:val="clear"/>
            <w:vAlign w:val="center"/>
          </w:tcPr>
          <w:p>
            <w:pPr>
              <w:pStyle w:val="TableContents"/>
              <w:spacing w:lineRule="auto" w:line="288" w:before="0" w:after="0"/>
              <w:ind w:left="0" w:right="0" w:hanging="2160"/>
              <w:jc w:val="left"/>
              <w:rPr>
                <w:rFonts w:ascii="inherit" w:hAnsi="inherit"/>
                <w:sz w:val="17"/>
              </w:rPr>
            </w:pPr>
            <w:r>
              <w:rPr>
                <w:rFonts w:ascii="inherit" w:hAnsi="inherit"/>
                <w:sz w:val="17"/>
              </w:rPr>
              <w:t>To include any material information with respect to the plan of distribution not previously disclosed in this Registration Statement or any material change to such information in this Registration Statement;</w:t>
            </w:r>
          </w:p>
        </w:tc>
      </w:tr>
    </w:tbl>
    <w:p>
      <w:pPr>
        <w:pStyle w:val="TextBody"/>
        <w:spacing w:lineRule="auto" w:line="288" w:before="0" w:after="0"/>
        <w:ind w:left="0" w:right="0" w:firstLine="720"/>
        <w:jc w:val="left"/>
        <w:rPr>
          <w:rFonts w:ascii="inherit" w:hAnsi="inherit"/>
          <w:sz w:val="17"/>
        </w:rPr>
      </w:pPr>
      <w:r>
        <w:rPr>
          <w:rFonts w:ascii="inherit" w:hAnsi="inherit"/>
          <w:sz w:val="17"/>
        </w:rPr>
      </w:r>
    </w:p>
    <w:p>
      <w:pPr>
        <w:pStyle w:val="TextBody"/>
        <w:spacing w:lineRule="auto" w:line="288" w:before="0" w:after="0"/>
        <w:ind w:left="0" w:right="0" w:firstLine="1440"/>
        <w:jc w:val="left"/>
        <w:rPr>
          <w:sz w:val="17"/>
        </w:rPr>
      </w:pPr>
      <w:r>
        <w:rPr>
          <w:rFonts w:ascii="inherit" w:hAnsi="inherit"/>
          <w:i/>
          <w:sz w:val="17"/>
        </w:rPr>
        <w:t>provided, however</w:t>
      </w:r>
      <w:r>
        <w:rPr>
          <w:rFonts w:ascii="inherit" w:hAnsi="inherit"/>
          <w:sz w:val="17"/>
        </w:rPr>
        <w:t>, that paragraphs (a)(i) and (a)(ii) above do not apply if the information required to be included in a post-effective amendment by those paragraphs is contained in periodic reports filed by the Registrant pursuant to Section 13 or Section 15(d) of the Exchange Act that are incorporated by reference in this Registration Statement.</w:t>
      </w:r>
    </w:p>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671"/>
        <w:gridCol w:w="8534"/>
      </w:tblGrid>
      <w:tr>
        <w:trPr/>
        <w:tc>
          <w:tcPr>
            <w:tcW w:w="1671" w:type="dxa"/>
            <w:tcBorders/>
            <w:shd w:fill="auto" w:val="clear"/>
            <w:vAlign w:val="center"/>
          </w:tcPr>
          <w:p>
            <w:pPr>
              <w:pStyle w:val="TableContents"/>
              <w:spacing w:before="0" w:after="283"/>
              <w:rPr>
                <w:sz w:val="4"/>
                <w:szCs w:val="4"/>
              </w:rPr>
            </w:pPr>
            <w:r>
              <w:rPr>
                <w:sz w:val="4"/>
                <w:szCs w:val="4"/>
              </w:rPr>
            </w:r>
          </w:p>
        </w:tc>
        <w:tc>
          <w:tcPr>
            <w:tcW w:w="8534" w:type="dxa"/>
            <w:tcBorders/>
            <w:shd w:fill="auto" w:val="clear"/>
            <w:vAlign w:val="center"/>
          </w:tcPr>
          <w:p>
            <w:pPr>
              <w:pStyle w:val="TableContents"/>
              <w:spacing w:before="0" w:after="283"/>
              <w:rPr>
                <w:sz w:val="4"/>
                <w:szCs w:val="4"/>
              </w:rPr>
            </w:pPr>
            <w:r>
              <w:rPr>
                <w:sz w:val="4"/>
                <w:szCs w:val="4"/>
              </w:rPr>
            </w:r>
          </w:p>
        </w:tc>
      </w:tr>
      <w:tr>
        <w:trPr/>
        <w:tc>
          <w:tcPr>
            <w:tcW w:w="1671"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(b)</w:t>
            </w:r>
          </w:p>
        </w:tc>
        <w:tc>
          <w:tcPr>
            <w:tcW w:w="8534" w:type="dxa"/>
            <w:tcBorders/>
            <w:shd w:fill="auto" w:val="clear"/>
            <w:vAlign w:val="center"/>
          </w:tcPr>
          <w:p>
            <w:pPr>
              <w:pStyle w:val="TableContents"/>
              <w:spacing w:lineRule="auto" w:line="288" w:before="0" w:after="0"/>
              <w:ind w:left="0" w:right="0" w:hanging="1440"/>
              <w:jc w:val="left"/>
              <w:rPr>
                <w:rFonts w:ascii="inherit" w:hAnsi="inherit"/>
                <w:sz w:val="17"/>
              </w:rPr>
            </w:pPr>
            <w:r>
              <w:rPr>
                <w:rFonts w:ascii="inherit" w:hAnsi="inherit"/>
                <w:sz w:val="17"/>
              </w:rPr>
              <w:t xml:space="preserve">That, for the purpose of determining any liability under the Securities Act, each such post-effective amendment shall be deemed to be a new registration statement relating to the securities offered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lineRule="auto" w:line="288" w:before="0" w:after="0"/>
        <w:jc w:val="left"/>
        <w:rPr>
          <w:rFonts w:ascii="inherit" w:hAnsi="inherit"/>
          <w:sz w:val="17"/>
        </w:rPr>
      </w:pPr>
      <w:r>
        <w:rPr>
          <w:rFonts w:ascii="inherit" w:hAnsi="inherit"/>
          <w:sz w:val="17"/>
        </w:rPr>
      </w:r>
      <w:bookmarkStart w:id="11" w:name="s16FFDB6A9C57C9589C649E9ED3C7CE8D4"/>
      <w:bookmarkStart w:id="12" w:name="s16FFDB6A9C57C9589C649E9ED3C7CE8D4"/>
      <w:bookmarkEnd w:id="12"/>
    </w:p>
    <w:p>
      <w:pPr>
        <w:pStyle w:val="TextBody"/>
        <w:spacing w:before="0" w:after="0"/>
        <w:rPr/>
      </w:pPr>
      <w:r>
        <w:rPr/>
      </w:r>
    </w:p>
    <w:p>
      <w:pPr>
        <w:pStyle w:val="TextBody"/>
        <w:spacing w:lineRule="auto" w:line="288" w:before="0" w:after="0"/>
        <w:ind w:left="0" w:right="0" w:firstLine="1440"/>
        <w:jc w:val="left"/>
        <w:rPr/>
      </w:pPr>
      <w:r>
        <w:rPr>
          <w:rFonts w:ascii="inherit" w:hAnsi="inherit"/>
          <w:sz w:val="17"/>
        </w:rPr>
        <w:t xml:space="preserve">therein, and the offering of such securities at that time shall be deemed to be the initial </w:t>
      </w:r>
      <w:r>
        <w:rPr>
          <w:rFonts w:ascii="inherit" w:hAnsi="inherit"/>
          <w:i/>
          <w:sz w:val="17"/>
        </w:rPr>
        <w:t xml:space="preserve">bona fide </w:t>
      </w:r>
      <w:r>
        <w:rPr>
          <w:rFonts w:ascii="inherit" w:hAnsi="inherit"/>
          <w:sz w:val="17"/>
        </w:rPr>
        <w:t>offering thereof.</w:t>
      </w:r>
    </w:p>
    <w:p>
      <w:pPr>
        <w:pStyle w:val="TextBody"/>
        <w:spacing w:lineRule="auto" w:line="288" w:before="0" w:after="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662"/>
        <w:gridCol w:w="8543"/>
      </w:tblGrid>
      <w:tr>
        <w:trPr/>
        <w:tc>
          <w:tcPr>
            <w:tcW w:w="1662" w:type="dxa"/>
            <w:tcBorders/>
            <w:shd w:fill="auto" w:val="clear"/>
            <w:vAlign w:val="center"/>
          </w:tcPr>
          <w:p>
            <w:pPr>
              <w:pStyle w:val="TableContents"/>
              <w:spacing w:before="0" w:after="283"/>
              <w:rPr>
                <w:sz w:val="4"/>
                <w:szCs w:val="4"/>
              </w:rPr>
            </w:pPr>
            <w:r>
              <w:rPr>
                <w:sz w:val="4"/>
                <w:szCs w:val="4"/>
              </w:rPr>
            </w:r>
          </w:p>
        </w:tc>
        <w:tc>
          <w:tcPr>
            <w:tcW w:w="8543" w:type="dxa"/>
            <w:tcBorders/>
            <w:shd w:fill="auto" w:val="clear"/>
            <w:vAlign w:val="center"/>
          </w:tcPr>
          <w:p>
            <w:pPr>
              <w:pStyle w:val="TableContents"/>
              <w:spacing w:before="0" w:after="283"/>
              <w:rPr>
                <w:sz w:val="4"/>
                <w:szCs w:val="4"/>
              </w:rPr>
            </w:pPr>
            <w:r>
              <w:rPr>
                <w:sz w:val="4"/>
                <w:szCs w:val="4"/>
              </w:rPr>
            </w:r>
          </w:p>
        </w:tc>
      </w:tr>
      <w:tr>
        <w:trPr/>
        <w:tc>
          <w:tcPr>
            <w:tcW w:w="1662"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(c)</w:t>
            </w:r>
          </w:p>
        </w:tc>
        <w:tc>
          <w:tcPr>
            <w:tcW w:w="8543" w:type="dxa"/>
            <w:tcBorders/>
            <w:shd w:fill="auto" w:val="clear"/>
            <w:vAlign w:val="center"/>
          </w:tcPr>
          <w:p>
            <w:pPr>
              <w:pStyle w:val="TableContents"/>
              <w:spacing w:lineRule="auto" w:line="288" w:before="0" w:after="0"/>
              <w:ind w:left="0" w:right="0" w:hanging="1440"/>
              <w:jc w:val="left"/>
              <w:rPr>
                <w:rFonts w:ascii="inherit" w:hAnsi="inherit"/>
                <w:sz w:val="17"/>
              </w:rPr>
            </w:pPr>
            <w:r>
              <w:rPr>
                <w:rFonts w:ascii="inherit" w:hAnsi="inherit"/>
                <w:sz w:val="17"/>
              </w:rPr>
              <w:t>To remove from registration by means of a post-effective amendment any of the securities being registered which remain unsold at the termination of the offering.</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the time shall be deemed to be the initial bona fide offering thereof.</w:t>
      </w:r>
    </w:p>
    <w:p>
      <w:pPr>
        <w:pStyle w:val="TextBody"/>
        <w:spacing w:lineRule="auto" w:line="288" w:before="0" w:after="0"/>
        <w:jc w:val="left"/>
        <w:rPr>
          <w:rFonts w:ascii="inherit" w:hAnsi="inherit"/>
          <w:sz w:val="17"/>
        </w:rPr>
      </w:pPr>
      <w:r>
        <w:rPr>
          <w:rFonts w:ascii="inherit" w:hAnsi="inherit"/>
          <w:sz w:val="17"/>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w:t>
      </w:r>
      <w:r>
        <w:br w:type="page"/>
      </w:r>
    </w:p>
    <w:p>
      <w:pPr>
        <w:pStyle w:val="TextBody"/>
        <w:spacing w:lineRule="auto" w:line="288" w:before="0" w:after="0"/>
        <w:jc w:val="left"/>
        <w:rPr>
          <w:rFonts w:ascii="inherit" w:hAnsi="inherit"/>
          <w:sz w:val="17"/>
        </w:rPr>
      </w:pPr>
      <w:r>
        <w:rPr>
          <w:rFonts w:ascii="inherit" w:hAnsi="inherit"/>
          <w:sz w:val="17"/>
        </w:rPr>
      </w:r>
      <w:bookmarkStart w:id="13" w:name="s16FFDB6A9C57C9589C649E9ED3C7CE8D5"/>
      <w:bookmarkStart w:id="14" w:name="s16FFDB6A9C57C9589C649E9ED3C7CE8D5"/>
      <w:bookmarkEnd w:id="14"/>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jc w:val="both"/>
        <w:rPr>
          <w:sz w:val="17"/>
        </w:rPr>
      </w:pPr>
      <w:r>
        <w:rPr>
          <w:rFonts w:ascii="inherit" w:hAnsi="inherit"/>
          <w:sz w:val="17"/>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Austin, State of Texas, on this 10</w:t>
      </w:r>
      <w:r>
        <w:rPr>
          <w:rFonts w:ascii="inherit" w:hAnsi="inherit"/>
          <w:sz w:val="12"/>
        </w:rPr>
        <w:t>th</w:t>
      </w:r>
      <w:r>
        <w:rPr>
          <w:sz w:val="17"/>
        </w:rPr>
        <w:t xml:space="preserve"> </w:t>
      </w:r>
      <w:r>
        <w:rPr>
          <w:rFonts w:ascii="inherit" w:hAnsi="inherit"/>
          <w:sz w:val="17"/>
        </w:rPr>
        <w:t xml:space="preserve">day of October, 2013. </w:t>
      </w:r>
    </w:p>
    <w:tbl>
      <w:tblPr>
        <w:tblW w:w="9510" w:type="dxa"/>
        <w:jc w:val="center"/>
        <w:tblInd w:w="0" w:type="dxa"/>
        <w:tblCellMar>
          <w:top w:w="0" w:type="dxa"/>
          <w:left w:w="0" w:type="dxa"/>
          <w:bottom w:w="0" w:type="dxa"/>
          <w:right w:w="0" w:type="dxa"/>
        </w:tblCellMar>
      </w:tblPr>
      <w:tblGrid>
        <w:gridCol w:w="1902"/>
        <w:gridCol w:w="3519"/>
        <w:gridCol w:w="380"/>
        <w:gridCol w:w="3234"/>
        <w:gridCol w:w="475"/>
      </w:tblGrid>
      <w:tr>
        <w:trPr/>
        <w:tc>
          <w:tcPr>
            <w:tcW w:w="9510" w:type="dxa"/>
            <w:gridSpan w:val="5"/>
            <w:tcBorders/>
            <w:shd w:fill="auto" w:val="clear"/>
            <w:vAlign w:val="center"/>
          </w:tcPr>
          <w:p>
            <w:pPr>
              <w:pStyle w:val="TableContents"/>
              <w:spacing w:before="0" w:after="283"/>
              <w:rPr>
                <w:sz w:val="4"/>
                <w:szCs w:val="4"/>
              </w:rPr>
            </w:pPr>
            <w:r>
              <w:rPr>
                <w:sz w:val="4"/>
                <w:szCs w:val="4"/>
              </w:rPr>
            </w:r>
          </w:p>
        </w:tc>
      </w:tr>
      <w:tr>
        <w:trPr/>
        <w:tc>
          <w:tcPr>
            <w:tcW w:w="1902" w:type="dxa"/>
            <w:tcBorders/>
            <w:shd w:fill="auto" w:val="clear"/>
            <w:vAlign w:val="center"/>
          </w:tcPr>
          <w:p>
            <w:pPr>
              <w:pStyle w:val="TableContents"/>
              <w:spacing w:before="0" w:after="283"/>
              <w:rPr>
                <w:sz w:val="4"/>
                <w:szCs w:val="4"/>
              </w:rPr>
            </w:pPr>
            <w:r>
              <w:rPr>
                <w:sz w:val="4"/>
                <w:szCs w:val="4"/>
              </w:rPr>
            </w:r>
          </w:p>
        </w:tc>
        <w:tc>
          <w:tcPr>
            <w:tcW w:w="351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234"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902" w:type="dxa"/>
            <w:tcBorders/>
            <w:shd w:fill="auto" w:val="clear"/>
            <w:vAlign w:val="center"/>
          </w:tcPr>
          <w:p>
            <w:pPr>
              <w:pStyle w:val="TableContents"/>
              <w:spacing w:before="0" w:after="0"/>
              <w:ind w:left="0" w:right="0" w:firstLine="30"/>
              <w:rPr/>
            </w:pPr>
            <w:r>
              <w:rPr/>
              <w:t> </w:t>
            </w:r>
          </w:p>
        </w:tc>
        <w:tc>
          <w:tcPr>
            <w:tcW w:w="3519" w:type="dxa"/>
            <w:tcBorders/>
            <w:shd w:fill="auto" w:val="clear"/>
            <w:vAlign w:val="center"/>
          </w:tcPr>
          <w:p>
            <w:pPr>
              <w:pStyle w:val="TableContents"/>
              <w:spacing w:before="0" w:after="0"/>
              <w:ind w:left="0" w:right="0" w:firstLine="30"/>
              <w:rPr/>
            </w:pPr>
            <w:r>
              <w:rPr/>
              <w:t> </w:t>
            </w:r>
          </w:p>
        </w:tc>
        <w:tc>
          <w:tcPr>
            <w:tcW w:w="3614" w:type="dxa"/>
            <w:gridSpan w:val="2"/>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EZCORP, INC.</w:t>
            </w:r>
          </w:p>
        </w:tc>
        <w:tc>
          <w:tcPr>
            <w:tcW w:w="475" w:type="dxa"/>
            <w:tcBorders/>
            <w:shd w:fill="auto" w:val="clear"/>
            <w:vAlign w:val="center"/>
          </w:tcPr>
          <w:p>
            <w:pPr>
              <w:pStyle w:val="TableContents"/>
              <w:spacing w:before="0" w:after="0"/>
              <w:ind w:left="0" w:right="0" w:firstLine="30"/>
              <w:rPr/>
            </w:pPr>
            <w:r>
              <w:rPr/>
              <w:t> </w:t>
            </w:r>
          </w:p>
        </w:tc>
      </w:tr>
      <w:tr>
        <w:trPr/>
        <w:tc>
          <w:tcPr>
            <w:tcW w:w="1902" w:type="dxa"/>
            <w:tcBorders/>
            <w:shd w:fill="auto" w:val="clear"/>
            <w:vAlign w:val="center"/>
          </w:tcPr>
          <w:p>
            <w:pPr>
              <w:pStyle w:val="TableContents"/>
              <w:spacing w:before="0" w:after="0"/>
              <w:ind w:left="0" w:right="0" w:firstLine="30"/>
              <w:rPr/>
            </w:pPr>
            <w:r>
              <w:rPr/>
              <w:t> </w:t>
            </w:r>
          </w:p>
        </w:tc>
        <w:tc>
          <w:tcPr>
            <w:tcW w:w="3519"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ind w:left="0" w:right="0" w:firstLine="30"/>
              <w:rPr/>
            </w:pPr>
            <w:r>
              <w:rPr/>
              <w:t> </w:t>
            </w:r>
          </w:p>
        </w:tc>
        <w:tc>
          <w:tcPr>
            <w:tcW w:w="3234" w:type="dxa"/>
            <w:tcBorders/>
            <w:shd w:fill="auto" w:val="clear"/>
            <w:vAlign w:val="center"/>
          </w:tcPr>
          <w:p>
            <w:pPr>
              <w:pStyle w:val="TableContents"/>
              <w:spacing w:before="0" w:after="0"/>
              <w:ind w:left="0" w:right="0" w:firstLine="30"/>
              <w:rPr/>
            </w:pPr>
            <w:r>
              <w:rPr/>
              <w:t> </w:t>
            </w:r>
          </w:p>
        </w:tc>
        <w:tc>
          <w:tcPr>
            <w:tcW w:w="475" w:type="dxa"/>
            <w:tcBorders/>
            <w:shd w:fill="auto" w:val="clear"/>
            <w:vAlign w:val="center"/>
          </w:tcPr>
          <w:p>
            <w:pPr>
              <w:pStyle w:val="TableContents"/>
              <w:spacing w:before="0" w:after="0"/>
              <w:ind w:left="0" w:right="0" w:firstLine="30"/>
              <w:rPr/>
            </w:pPr>
            <w:r>
              <w:rPr/>
              <w:t> </w:t>
            </w:r>
          </w:p>
        </w:tc>
      </w:tr>
      <w:tr>
        <w:trPr/>
        <w:tc>
          <w:tcPr>
            <w:tcW w:w="1902" w:type="dxa"/>
            <w:tcBorders/>
            <w:shd w:fill="auto" w:val="clear"/>
            <w:vAlign w:val="center"/>
          </w:tcPr>
          <w:p>
            <w:pPr>
              <w:pStyle w:val="TableContents"/>
              <w:spacing w:before="0" w:after="0"/>
              <w:ind w:left="0" w:right="0" w:firstLine="30"/>
              <w:rPr/>
            </w:pPr>
            <w:r>
              <w:rPr/>
              <w:t> </w:t>
            </w:r>
          </w:p>
        </w:tc>
        <w:tc>
          <w:tcPr>
            <w:tcW w:w="3519"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323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Paul E. Rothamel</w:t>
            </w:r>
          </w:p>
        </w:tc>
        <w:tc>
          <w:tcPr>
            <w:tcW w:w="475" w:type="dxa"/>
            <w:tcBorders/>
            <w:shd w:fill="auto" w:val="clear"/>
            <w:vAlign w:val="center"/>
          </w:tcPr>
          <w:p>
            <w:pPr>
              <w:pStyle w:val="TableContents"/>
              <w:spacing w:before="0" w:after="0"/>
              <w:ind w:left="0" w:right="0" w:firstLine="30"/>
              <w:rPr/>
            </w:pPr>
            <w:r>
              <w:rPr/>
              <w:t> </w:t>
            </w:r>
          </w:p>
        </w:tc>
      </w:tr>
      <w:tr>
        <w:trPr/>
        <w:tc>
          <w:tcPr>
            <w:tcW w:w="1902" w:type="dxa"/>
            <w:tcBorders/>
            <w:shd w:fill="auto" w:val="clear"/>
            <w:vAlign w:val="center"/>
          </w:tcPr>
          <w:p>
            <w:pPr>
              <w:pStyle w:val="TableContents"/>
              <w:spacing w:before="0" w:after="0"/>
              <w:ind w:left="0" w:right="0" w:firstLine="30"/>
              <w:rPr/>
            </w:pPr>
            <w:r>
              <w:rPr/>
              <w:t> </w:t>
            </w:r>
          </w:p>
        </w:tc>
        <w:tc>
          <w:tcPr>
            <w:tcW w:w="3519"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ind w:left="0" w:right="0" w:firstLine="30"/>
              <w:rPr/>
            </w:pPr>
            <w:r>
              <w:rPr/>
              <w:t> </w:t>
            </w:r>
          </w:p>
        </w:tc>
        <w:tc>
          <w:tcPr>
            <w:tcW w:w="32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Paul E. Rothamel</w:t>
            </w:r>
          </w:p>
        </w:tc>
        <w:tc>
          <w:tcPr>
            <w:tcW w:w="475" w:type="dxa"/>
            <w:tcBorders/>
            <w:shd w:fill="auto" w:val="clear"/>
            <w:vAlign w:val="center"/>
          </w:tcPr>
          <w:p>
            <w:pPr>
              <w:pStyle w:val="TableContents"/>
              <w:spacing w:before="0" w:after="0"/>
              <w:ind w:left="0" w:right="0" w:firstLine="30"/>
              <w:rPr/>
            </w:pPr>
            <w:r>
              <w:rPr/>
              <w:t> </w:t>
            </w:r>
          </w:p>
        </w:tc>
      </w:tr>
      <w:tr>
        <w:trPr/>
        <w:tc>
          <w:tcPr>
            <w:tcW w:w="1902" w:type="dxa"/>
            <w:tcBorders/>
            <w:shd w:fill="auto" w:val="clear"/>
            <w:vAlign w:val="center"/>
          </w:tcPr>
          <w:p>
            <w:pPr>
              <w:pStyle w:val="TableContents"/>
              <w:spacing w:before="0" w:after="0"/>
              <w:ind w:left="0" w:right="0" w:firstLine="30"/>
              <w:rPr/>
            </w:pPr>
            <w:r>
              <w:rPr/>
              <w:t> </w:t>
            </w:r>
          </w:p>
        </w:tc>
        <w:tc>
          <w:tcPr>
            <w:tcW w:w="3519"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ind w:left="0" w:right="0" w:firstLine="30"/>
              <w:rPr/>
            </w:pPr>
            <w:r>
              <w:rPr/>
              <w:t> </w:t>
            </w:r>
          </w:p>
        </w:tc>
        <w:tc>
          <w:tcPr>
            <w:tcW w:w="32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President and Chief Executive Officer</w:t>
            </w:r>
          </w:p>
        </w:tc>
        <w:tc>
          <w:tcPr>
            <w:tcW w:w="475" w:type="dxa"/>
            <w:tcBorders/>
            <w:shd w:fill="auto" w:val="clear"/>
            <w:vAlign w:val="center"/>
          </w:tcPr>
          <w:p>
            <w:pPr>
              <w:pStyle w:val="TableContents"/>
              <w:spacing w:before="0" w:after="0"/>
              <w:rPr/>
            </w:pPr>
            <w:r>
              <w:rPr/>
              <w:t> </w:t>
            </w:r>
          </w:p>
        </w:tc>
      </w:tr>
    </w:tbl>
    <w:p>
      <w:pPr>
        <w:pStyle w:val="TextBody"/>
        <w:spacing w:lineRule="auto" w:line="288" w:before="0" w:after="0"/>
        <w:ind w:left="0" w:right="0" w:hanging="540"/>
        <w:jc w:val="left"/>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 xml:space="preserve">POWER OF ATTORNEY </w:t>
      </w:r>
    </w:p>
    <w:p>
      <w:pPr>
        <w:pStyle w:val="TextBody"/>
        <w:spacing w:lineRule="auto" w:line="288" w:before="0" w:after="0"/>
        <w:jc w:val="both"/>
        <w:rPr>
          <w:rFonts w:ascii="inherit" w:hAnsi="inherit"/>
          <w:sz w:val="17"/>
        </w:rPr>
      </w:pPr>
      <w:r>
        <w:rPr>
          <w:rFonts w:ascii="inherit" w:hAnsi="inherit"/>
          <w:sz w:val="17"/>
        </w:rPr>
        <w:t xml:space="preserve">Each person whose signature appears below appoints Thomas H. Welch, Jr., as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all exhibits thereto, and all other documents in connection therewith, with the Securities and Exchange Commission, granting unto said attorney-in-fact and agent full power and authority to do and perform each and every act and thing requisite and necessary to be done, as fully to all intents and purposes as he might or would do in person, hereby ratifying and confirming all that said attorney-in-fact and agent or his substitute and substitutes, may lawfully do or cause to be done by virtue hereof. </w:t>
      </w:r>
    </w:p>
    <w:p>
      <w:pPr>
        <w:pStyle w:val="TextBody"/>
        <w:spacing w:lineRule="auto" w:line="288" w:before="0" w:after="0"/>
        <w:jc w:val="both"/>
        <w:rPr>
          <w:sz w:val="17"/>
        </w:rPr>
      </w:pPr>
      <w:r>
        <w:rPr>
          <w:rFonts w:ascii="inherit" w:hAnsi="inherit"/>
          <w:sz w:val="17"/>
        </w:rPr>
        <w:t>Pursuant to the requirements of the Securities Act of 1933, this Registration Statement has been signed below by the following persons in the capacities indicated on this 10</w:t>
      </w:r>
      <w:r>
        <w:rPr>
          <w:rFonts w:ascii="inherit" w:hAnsi="inherit"/>
          <w:sz w:val="12"/>
        </w:rPr>
        <w:t>th</w:t>
      </w:r>
      <w:r>
        <w:rPr>
          <w:sz w:val="17"/>
        </w:rPr>
        <w:t xml:space="preserve"> </w:t>
      </w:r>
      <w:r>
        <w:rPr>
          <w:rFonts w:ascii="inherit" w:hAnsi="inherit"/>
          <w:sz w:val="17"/>
        </w:rPr>
        <w:t xml:space="preserve">day of October, 2013. </w:t>
      </w:r>
    </w:p>
    <w:tbl>
      <w:tblPr>
        <w:tblW w:w="10205" w:type="dxa"/>
        <w:jc w:val="center"/>
        <w:tblInd w:w="0" w:type="dxa"/>
        <w:tblCellMar>
          <w:top w:w="0" w:type="dxa"/>
          <w:left w:w="0" w:type="dxa"/>
          <w:bottom w:w="0" w:type="dxa"/>
          <w:right w:w="0" w:type="dxa"/>
        </w:tblCellMar>
      </w:tblPr>
      <w:tblGrid>
        <w:gridCol w:w="5020"/>
        <w:gridCol w:w="121"/>
        <w:gridCol w:w="5064"/>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50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506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02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Signature</w:t>
            </w:r>
          </w:p>
        </w:tc>
        <w:tc>
          <w:tcPr>
            <w:tcW w:w="121" w:type="dxa"/>
            <w:tcBorders/>
            <w:shd w:fill="auto" w:val="clear"/>
            <w:vAlign w:val="center"/>
          </w:tcPr>
          <w:p>
            <w:pPr>
              <w:pStyle w:val="TableContents"/>
              <w:spacing w:before="0" w:after="0"/>
              <w:ind w:left="0" w:right="0" w:firstLine="30"/>
              <w:rPr/>
            </w:pPr>
            <w:r>
              <w:rPr/>
              <w:t> </w:t>
            </w:r>
          </w:p>
        </w:tc>
        <w:tc>
          <w:tcPr>
            <w:tcW w:w="5064"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Title</w:t>
            </w:r>
          </w:p>
        </w:tc>
      </w:tr>
      <w:tr>
        <w:trPr/>
        <w:tc>
          <w:tcPr>
            <w:tcW w:w="5020" w:type="dxa"/>
            <w:tcBorders/>
            <w:shd w:fill="auto" w:val="clear"/>
            <w:vAlign w:val="center"/>
          </w:tcPr>
          <w:p>
            <w:pPr>
              <w:pStyle w:val="TableContents"/>
              <w:spacing w:before="0" w:after="0"/>
              <w:jc w:val="center"/>
              <w:rPr>
                <w:rFonts w:ascii="inherit" w:hAnsi="inherit"/>
                <w:sz w:val="17"/>
              </w:rPr>
            </w:pPr>
            <w:r>
              <w:rPr>
                <w:rFonts w:ascii="inherit" w:hAnsi="inherit"/>
                <w:sz w:val="17"/>
              </w:rPr>
            </w:r>
          </w:p>
          <w:p>
            <w:pPr>
              <w:pStyle w:val="TableContents"/>
              <w:spacing w:before="0" w:after="0"/>
              <w:ind w:left="0" w:right="0" w:firstLine="30"/>
              <w:jc w:val="center"/>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rPr/>
            </w:pPr>
            <w:r>
              <w:rPr/>
              <w:t> </w:t>
            </w:r>
          </w:p>
        </w:tc>
      </w:tr>
      <w:tr>
        <w:trPr/>
        <w:tc>
          <w:tcPr>
            <w:tcW w:w="502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Paul E. Rothamel</w:t>
            </w:r>
          </w:p>
        </w:tc>
        <w:tc>
          <w:tcPr>
            <w:tcW w:w="121" w:type="dxa"/>
            <w:tcBorders/>
            <w:shd w:fill="auto" w:val="clear"/>
            <w:vAlign w:val="center"/>
          </w:tcPr>
          <w:p>
            <w:pPr>
              <w:pStyle w:val="TableContents"/>
              <w:spacing w:before="0" w:after="0"/>
              <w:ind w:left="0" w:right="0" w:firstLine="30"/>
              <w:rPr/>
            </w:pPr>
            <w:r>
              <w:rPr/>
              <w:t> </w:t>
            </w:r>
          </w:p>
        </w:tc>
        <w:tc>
          <w:tcPr>
            <w:tcW w:w="5064" w:type="dxa"/>
            <w:vMerge w:val="restart"/>
            <w:tcBorders/>
            <w:shd w:fill="auto" w:val="clear"/>
            <w:vAlign w:val="center"/>
          </w:tcPr>
          <w:p>
            <w:pPr>
              <w:pStyle w:val="TableContents"/>
              <w:spacing w:before="0" w:after="0"/>
              <w:rPr>
                <w:rFonts w:ascii="inherit" w:hAnsi="inherit"/>
                <w:sz w:val="17"/>
              </w:rPr>
            </w:pPr>
            <w:r>
              <w:rPr>
                <w:rFonts w:ascii="inherit" w:hAnsi="inherit"/>
                <w:sz w:val="17"/>
              </w:rPr>
              <w:t>President and Chief Executive Officer</w:t>
            </w:r>
          </w:p>
          <w:p>
            <w:pPr>
              <w:pStyle w:val="TableContents"/>
              <w:spacing w:before="0" w:after="0"/>
              <w:ind w:left="0" w:right="0" w:firstLine="30"/>
              <w:rPr>
                <w:rFonts w:ascii="inherit" w:hAnsi="inherit"/>
                <w:i/>
                <w:sz w:val="17"/>
              </w:rPr>
            </w:pPr>
            <w:r>
              <w:rPr>
                <w:rFonts w:ascii="inherit" w:hAnsi="inherit"/>
                <w:i/>
                <w:sz w:val="17"/>
              </w:rPr>
              <w:t>(Principal Executive Officer)</w:t>
            </w:r>
          </w:p>
        </w:tc>
      </w:tr>
      <w:tr>
        <w:trPr/>
        <w:tc>
          <w:tcPr>
            <w:tcW w:w="50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Paul E. Rothamel</w:t>
            </w:r>
          </w:p>
        </w:tc>
        <w:tc>
          <w:tcPr>
            <w:tcW w:w="121" w:type="dxa"/>
            <w:tcBorders/>
            <w:shd w:fill="auto" w:val="clear"/>
            <w:vAlign w:val="center"/>
          </w:tcPr>
          <w:p>
            <w:pPr>
              <w:pStyle w:val="TableContents"/>
              <w:spacing w:before="0" w:after="0"/>
              <w:ind w:left="0" w:right="0" w:firstLine="30"/>
              <w:rPr/>
            </w:pPr>
            <w:r>
              <w:rPr/>
              <w:t> </w:t>
            </w:r>
          </w:p>
        </w:tc>
        <w:tc>
          <w:tcPr>
            <w:tcW w:w="5064" w:type="dxa"/>
            <w:vMerge w:val="continue"/>
            <w:tcBorders/>
            <w:shd w:fill="auto" w:val="clear"/>
            <w:vAlign w:val="center"/>
          </w:tcPr>
          <w:p>
            <w:pPr>
              <w:pStyle w:val="Normal"/>
              <w:rPr/>
            </w:pPr>
            <w:r>
              <w:rPr/>
            </w:r>
          </w:p>
        </w:tc>
      </w:tr>
      <w:tr>
        <w:trPr/>
        <w:tc>
          <w:tcPr>
            <w:tcW w:w="5020" w:type="dxa"/>
            <w:tcBorders/>
            <w:shd w:fill="auto" w:val="clear"/>
            <w:vAlign w:val="center"/>
          </w:tcPr>
          <w:p>
            <w:pPr>
              <w:pStyle w:val="TableContents"/>
              <w:spacing w:before="0" w:after="0"/>
              <w:jc w:val="center"/>
              <w:rPr>
                <w:rFonts w:ascii="inherit" w:hAnsi="inherit"/>
                <w:sz w:val="17"/>
              </w:rPr>
            </w:pPr>
            <w:r>
              <w:rPr>
                <w:rFonts w:ascii="inherit" w:hAnsi="inherit"/>
                <w:sz w:val="17"/>
              </w:rPr>
            </w:r>
          </w:p>
          <w:p>
            <w:pPr>
              <w:pStyle w:val="TableContents"/>
              <w:spacing w:before="0" w:after="0"/>
              <w:ind w:left="0" w:right="0" w:firstLine="30"/>
              <w:jc w:val="center"/>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rPr/>
            </w:pPr>
            <w:r>
              <w:rPr/>
              <w:t> </w:t>
            </w:r>
          </w:p>
        </w:tc>
      </w:tr>
      <w:tr>
        <w:trPr/>
        <w:tc>
          <w:tcPr>
            <w:tcW w:w="502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Mark Kuchenrither</w:t>
            </w:r>
          </w:p>
        </w:tc>
        <w:tc>
          <w:tcPr>
            <w:tcW w:w="121" w:type="dxa"/>
            <w:tcBorders/>
            <w:shd w:fill="auto" w:val="clear"/>
            <w:vAlign w:val="center"/>
          </w:tcPr>
          <w:p>
            <w:pPr>
              <w:pStyle w:val="TableContents"/>
              <w:spacing w:before="0" w:after="0"/>
              <w:ind w:left="0" w:right="0" w:firstLine="30"/>
              <w:rPr/>
            </w:pPr>
            <w:r>
              <w:rPr/>
              <w:t> </w:t>
            </w:r>
          </w:p>
        </w:tc>
        <w:tc>
          <w:tcPr>
            <w:tcW w:w="5064" w:type="dxa"/>
            <w:vMerge w:val="restart"/>
            <w:tcBorders/>
            <w:shd w:fill="auto" w:val="clear"/>
            <w:vAlign w:val="center"/>
          </w:tcPr>
          <w:p>
            <w:pPr>
              <w:pStyle w:val="TableContents"/>
              <w:spacing w:before="0" w:after="0"/>
              <w:ind w:left="0" w:right="0" w:firstLine="30"/>
              <w:rPr>
                <w:sz w:val="17"/>
              </w:rPr>
            </w:pPr>
            <w:r>
              <w:rPr>
                <w:rFonts w:ascii="inherit" w:hAnsi="inherit"/>
                <w:sz w:val="17"/>
              </w:rPr>
              <w:t>Executive Vice President and Chief Financial Officer</w:t>
            </w:r>
            <w:r>
              <w:rPr>
                <w:rFonts w:ascii="inherit" w:hAnsi="inherit"/>
                <w:i/>
                <w:sz w:val="17"/>
              </w:rPr>
              <w:t>(Principal Financial Officer)</w:t>
            </w:r>
          </w:p>
        </w:tc>
      </w:tr>
      <w:tr>
        <w:trPr/>
        <w:tc>
          <w:tcPr>
            <w:tcW w:w="50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Mark Kuchenrither</w:t>
            </w:r>
          </w:p>
        </w:tc>
        <w:tc>
          <w:tcPr>
            <w:tcW w:w="121" w:type="dxa"/>
            <w:tcBorders/>
            <w:shd w:fill="auto" w:val="clear"/>
            <w:vAlign w:val="center"/>
          </w:tcPr>
          <w:p>
            <w:pPr>
              <w:pStyle w:val="TableContents"/>
              <w:spacing w:before="0" w:after="0"/>
              <w:ind w:left="0" w:right="0" w:firstLine="30"/>
              <w:rPr/>
            </w:pPr>
            <w:r>
              <w:rPr/>
              <w:t> </w:t>
            </w:r>
          </w:p>
        </w:tc>
        <w:tc>
          <w:tcPr>
            <w:tcW w:w="5064" w:type="dxa"/>
            <w:vMerge w:val="continue"/>
            <w:tcBorders/>
            <w:shd w:fill="auto" w:val="clear"/>
            <w:vAlign w:val="center"/>
          </w:tcPr>
          <w:p>
            <w:pPr>
              <w:pStyle w:val="Normal"/>
              <w:rPr/>
            </w:pPr>
            <w:r>
              <w:rPr/>
            </w:r>
          </w:p>
        </w:tc>
      </w:tr>
      <w:tr>
        <w:trPr/>
        <w:tc>
          <w:tcPr>
            <w:tcW w:w="5020"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rPr/>
            </w:pPr>
            <w:r>
              <w:rPr/>
              <w:t> </w:t>
            </w:r>
          </w:p>
        </w:tc>
      </w:tr>
      <w:tr>
        <w:trPr/>
        <w:tc>
          <w:tcPr>
            <w:tcW w:w="502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Jeffrey S. Byal</w:t>
            </w:r>
          </w:p>
        </w:tc>
        <w:tc>
          <w:tcPr>
            <w:tcW w:w="121" w:type="dxa"/>
            <w:tcBorders/>
            <w:shd w:fill="auto" w:val="clear"/>
            <w:vAlign w:val="center"/>
          </w:tcPr>
          <w:p>
            <w:pPr>
              <w:pStyle w:val="TableContents"/>
              <w:spacing w:before="0" w:after="0"/>
              <w:ind w:left="0" w:right="0" w:firstLine="30"/>
              <w:rPr/>
            </w:pPr>
            <w:r>
              <w:rPr/>
              <w:t> </w:t>
            </w:r>
          </w:p>
        </w:tc>
        <w:tc>
          <w:tcPr>
            <w:tcW w:w="5064" w:type="dxa"/>
            <w:vMerge w:val="restart"/>
            <w:tcBorders/>
            <w:shd w:fill="auto" w:val="clear"/>
            <w:vAlign w:val="center"/>
          </w:tcPr>
          <w:p>
            <w:pPr>
              <w:pStyle w:val="TableContents"/>
              <w:spacing w:before="0" w:after="0"/>
              <w:rPr>
                <w:sz w:val="17"/>
              </w:rPr>
            </w:pPr>
            <w:r>
              <w:rPr>
                <w:rFonts w:ascii="inherit" w:hAnsi="inherit"/>
                <w:sz w:val="17"/>
              </w:rPr>
              <w:t>Senior Vice President and Chief Accounting Officer</w:t>
            </w:r>
            <w:r>
              <w:rPr>
                <w:rFonts w:ascii="inherit" w:hAnsi="inherit"/>
                <w:i/>
                <w:sz w:val="17"/>
              </w:rPr>
              <w:t>(Principal Accounting Officer)</w:t>
            </w:r>
          </w:p>
          <w:p>
            <w:pPr>
              <w:pStyle w:val="TableContents"/>
              <w:spacing w:before="0" w:after="0"/>
              <w:ind w:left="0" w:right="0" w:firstLine="30"/>
              <w:rPr>
                <w:rFonts w:ascii="inherit" w:hAnsi="inherit"/>
                <w:sz w:val="17"/>
              </w:rPr>
            </w:pPr>
            <w:r>
              <w:rPr>
                <w:rFonts w:ascii="inherit" w:hAnsi="inherit"/>
                <w:sz w:val="17"/>
              </w:rPr>
            </w:r>
          </w:p>
        </w:tc>
      </w:tr>
      <w:tr>
        <w:trPr/>
        <w:tc>
          <w:tcPr>
            <w:tcW w:w="50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Jeffrey S. Byal</w:t>
            </w:r>
          </w:p>
        </w:tc>
        <w:tc>
          <w:tcPr>
            <w:tcW w:w="121" w:type="dxa"/>
            <w:tcBorders/>
            <w:shd w:fill="auto" w:val="clear"/>
            <w:vAlign w:val="center"/>
          </w:tcPr>
          <w:p>
            <w:pPr>
              <w:pStyle w:val="TableContents"/>
              <w:spacing w:before="0" w:after="0"/>
              <w:ind w:left="0" w:right="0" w:firstLine="30"/>
              <w:rPr/>
            </w:pPr>
            <w:r>
              <w:rPr/>
              <w:t> </w:t>
            </w:r>
          </w:p>
        </w:tc>
        <w:tc>
          <w:tcPr>
            <w:tcW w:w="5064" w:type="dxa"/>
            <w:vMerge w:val="continue"/>
            <w:tcBorders/>
            <w:shd w:fill="auto" w:val="clear"/>
            <w:vAlign w:val="center"/>
          </w:tcPr>
          <w:p>
            <w:pPr>
              <w:pStyle w:val="Normal"/>
              <w:rPr/>
            </w:pPr>
            <w:r>
              <w:rPr/>
            </w:r>
          </w:p>
        </w:tc>
      </w:tr>
      <w:tr>
        <w:trPr/>
        <w:tc>
          <w:tcPr>
            <w:tcW w:w="5020"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rPr/>
            </w:pPr>
            <w:r>
              <w:rPr/>
              <w:t> </w:t>
            </w:r>
          </w:p>
        </w:tc>
      </w:tr>
      <w:tr>
        <w:trPr/>
        <w:tc>
          <w:tcPr>
            <w:tcW w:w="502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Sterling B. Brinkley</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Chairman of the Board</w:t>
            </w:r>
          </w:p>
        </w:tc>
      </w:tr>
      <w:tr>
        <w:trPr/>
        <w:tc>
          <w:tcPr>
            <w:tcW w:w="50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Sterling B. Brinkley</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rPr/>
            </w:pPr>
            <w:r>
              <w:rPr/>
              <w:t> </w:t>
            </w:r>
          </w:p>
        </w:tc>
      </w:tr>
      <w:tr>
        <w:trPr/>
        <w:tc>
          <w:tcPr>
            <w:tcW w:w="5020"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rPr>
                <w:rFonts w:ascii="inherit" w:hAnsi="inherit"/>
                <w:sz w:val="17"/>
              </w:rPr>
            </w:pPr>
            <w:r>
              <w:rPr>
                <w:rFonts w:ascii="inherit" w:hAnsi="inherit"/>
                <w:sz w:val="17"/>
              </w:rPr>
            </w:r>
          </w:p>
          <w:p>
            <w:pPr>
              <w:pStyle w:val="TableContents"/>
              <w:spacing w:before="0" w:after="0"/>
              <w:ind w:left="0" w:right="0" w:firstLine="30"/>
              <w:rPr>
                <w:rFonts w:ascii="inherit" w:hAnsi="inherit"/>
                <w:sz w:val="17"/>
              </w:rPr>
            </w:pPr>
            <w:r>
              <w:rPr>
                <w:rFonts w:ascii="inherit" w:hAnsi="inherit"/>
                <w:sz w:val="17"/>
              </w:rPr>
            </w:r>
          </w:p>
        </w:tc>
      </w:tr>
      <w:tr>
        <w:trPr/>
        <w:tc>
          <w:tcPr>
            <w:tcW w:w="502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Joseph J. Beal</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50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Joseph J. Beal</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rPr/>
            </w:pPr>
            <w:r>
              <w:rPr/>
              <w:t> </w:t>
            </w:r>
          </w:p>
        </w:tc>
      </w:tr>
      <w:tr>
        <w:trPr/>
        <w:tc>
          <w:tcPr>
            <w:tcW w:w="5020"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rPr>
                <w:rFonts w:ascii="inherit" w:hAnsi="inherit"/>
                <w:sz w:val="17"/>
              </w:rPr>
            </w:pPr>
            <w:r>
              <w:rPr>
                <w:rFonts w:ascii="inherit" w:hAnsi="inherit"/>
                <w:sz w:val="17"/>
              </w:rPr>
            </w:r>
          </w:p>
          <w:p>
            <w:pPr>
              <w:pStyle w:val="TableContents"/>
              <w:spacing w:before="0" w:after="0"/>
              <w:ind w:left="0" w:right="0" w:firstLine="30"/>
              <w:rPr>
                <w:rFonts w:ascii="inherit" w:hAnsi="inherit"/>
                <w:sz w:val="17"/>
              </w:rPr>
            </w:pPr>
            <w:r>
              <w:rPr>
                <w:rFonts w:ascii="inherit" w:hAnsi="inherit"/>
                <w:sz w:val="17"/>
              </w:rPr>
            </w:r>
          </w:p>
        </w:tc>
      </w:tr>
      <w:tr>
        <w:trPr/>
        <w:tc>
          <w:tcPr>
            <w:tcW w:w="502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Pablo Lagos Espinosa</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50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Pablo Lagos Espinosa</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rPr/>
            </w:pPr>
            <w:r>
              <w:rPr/>
              <w:t> </w:t>
            </w:r>
          </w:p>
        </w:tc>
      </w:tr>
      <w:tr>
        <w:trPr/>
        <w:tc>
          <w:tcPr>
            <w:tcW w:w="5020"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rPr>
                <w:rFonts w:ascii="inherit" w:hAnsi="inherit"/>
                <w:sz w:val="17"/>
              </w:rPr>
            </w:pPr>
            <w:r>
              <w:rPr>
                <w:rFonts w:ascii="inherit" w:hAnsi="inherit"/>
                <w:sz w:val="17"/>
              </w:rPr>
            </w:r>
          </w:p>
          <w:p>
            <w:pPr>
              <w:pStyle w:val="TableContents"/>
              <w:spacing w:before="0" w:after="0"/>
              <w:ind w:left="0" w:right="0" w:firstLine="30"/>
              <w:rPr>
                <w:rFonts w:ascii="inherit" w:hAnsi="inherit"/>
                <w:sz w:val="17"/>
              </w:rPr>
            </w:pPr>
            <w:r>
              <w:rPr>
                <w:rFonts w:ascii="inherit" w:hAnsi="inherit"/>
                <w:sz w:val="17"/>
              </w:rPr>
            </w:r>
          </w:p>
        </w:tc>
      </w:tr>
      <w:tr>
        <w:trPr/>
        <w:tc>
          <w:tcPr>
            <w:tcW w:w="502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John Farrell</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50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John Farrell</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ind w:left="0" w:right="0" w:firstLine="30"/>
              <w:rPr/>
            </w:pPr>
            <w:r>
              <w:rPr/>
              <w:t> </w:t>
            </w:r>
          </w:p>
        </w:tc>
      </w:tr>
      <w:tr>
        <w:trPr/>
        <w:tc>
          <w:tcPr>
            <w:tcW w:w="5020" w:type="dxa"/>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5064" w:type="dxa"/>
            <w:tcBorders/>
            <w:shd w:fill="auto" w:val="clear"/>
            <w:vAlign w:val="center"/>
          </w:tcPr>
          <w:p>
            <w:pPr>
              <w:pStyle w:val="TableContents"/>
              <w:spacing w:before="0" w:after="0"/>
              <w:rPr>
                <w:rFonts w:ascii="inherit" w:hAnsi="inherit"/>
                <w:sz w:val="17"/>
              </w:rPr>
            </w:pPr>
            <w:r>
              <w:rPr>
                <w:rFonts w:ascii="inherit" w:hAnsi="inherit"/>
                <w:sz w:val="17"/>
              </w:rPr>
            </w:r>
          </w:p>
          <w:p>
            <w:pPr>
              <w:pStyle w:val="TableContents"/>
              <w:spacing w:before="0" w:after="0"/>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w:t>
      </w:r>
      <w:r>
        <w:br w:type="page"/>
      </w:r>
    </w:p>
    <w:p>
      <w:pPr>
        <w:pStyle w:val="TextBody"/>
        <w:spacing w:lineRule="auto" w:line="288" w:before="0" w:after="0"/>
        <w:jc w:val="left"/>
        <w:rPr>
          <w:rFonts w:ascii="inherit" w:hAnsi="inherit"/>
          <w:sz w:val="17"/>
        </w:rPr>
      </w:pPr>
      <w:r>
        <w:rPr>
          <w:rFonts w:ascii="inherit" w:hAnsi="inherit"/>
          <w:sz w:val="17"/>
        </w:rPr>
      </w:r>
      <w:bookmarkStart w:id="15" w:name="s16FFDB6A9C57C9589C649E9ED3C7CE8D6"/>
      <w:bookmarkStart w:id="16" w:name="s16FFDB6A9C57C9589C649E9ED3C7CE8D6"/>
      <w:bookmarkEnd w:id="16"/>
    </w:p>
    <w:p>
      <w:pPr>
        <w:pStyle w:val="TextBody"/>
        <w:spacing w:before="0" w:after="0"/>
        <w:rPr/>
      </w:pPr>
      <w:r>
        <w:rPr/>
      </w:r>
    </w:p>
    <w:tbl>
      <w:tblPr>
        <w:tblW w:w="9132" w:type="dxa"/>
        <w:jc w:val="center"/>
        <w:tblInd w:w="0" w:type="dxa"/>
        <w:tblCellMar>
          <w:top w:w="0" w:type="dxa"/>
          <w:left w:w="0" w:type="dxa"/>
          <w:bottom w:w="0" w:type="dxa"/>
          <w:right w:w="0" w:type="dxa"/>
        </w:tblCellMar>
      </w:tblPr>
      <w:tblGrid>
        <w:gridCol w:w="4475"/>
        <w:gridCol w:w="91"/>
        <w:gridCol w:w="4566"/>
      </w:tblGrid>
      <w:tr>
        <w:trPr/>
        <w:tc>
          <w:tcPr>
            <w:tcW w:w="9132" w:type="dxa"/>
            <w:gridSpan w:val="3"/>
            <w:tcBorders/>
            <w:shd w:fill="auto" w:val="clear"/>
            <w:vAlign w:val="center"/>
          </w:tcPr>
          <w:p>
            <w:pPr>
              <w:pStyle w:val="TableContents"/>
              <w:spacing w:before="0" w:after="283"/>
              <w:rPr>
                <w:sz w:val="4"/>
                <w:szCs w:val="4"/>
              </w:rPr>
            </w:pPr>
            <w:r>
              <w:rPr>
                <w:sz w:val="4"/>
                <w:szCs w:val="4"/>
              </w:rPr>
            </w:r>
          </w:p>
        </w:tc>
      </w:tr>
      <w:tr>
        <w:trPr/>
        <w:tc>
          <w:tcPr>
            <w:tcW w:w="4475"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456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7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William C. Love</w:t>
            </w:r>
          </w:p>
        </w:tc>
        <w:tc>
          <w:tcPr>
            <w:tcW w:w="91" w:type="dxa"/>
            <w:tcBorders/>
            <w:shd w:fill="auto" w:val="clear"/>
            <w:vAlign w:val="center"/>
          </w:tcPr>
          <w:p>
            <w:pPr>
              <w:pStyle w:val="TableContents"/>
              <w:spacing w:before="0" w:after="0"/>
              <w:ind w:left="0" w:right="0" w:firstLine="30"/>
              <w:rPr/>
            </w:pPr>
            <w:r>
              <w:rPr/>
              <w:t> </w:t>
            </w:r>
          </w:p>
        </w:tc>
        <w:tc>
          <w:tcPr>
            <w:tcW w:w="45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447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William C. Love</w:t>
            </w:r>
          </w:p>
        </w:tc>
        <w:tc>
          <w:tcPr>
            <w:tcW w:w="91" w:type="dxa"/>
            <w:tcBorders/>
            <w:shd w:fill="auto" w:val="clear"/>
            <w:vAlign w:val="center"/>
          </w:tcPr>
          <w:p>
            <w:pPr>
              <w:pStyle w:val="TableContents"/>
              <w:spacing w:before="0" w:after="0"/>
              <w:ind w:left="0" w:right="0" w:firstLine="30"/>
              <w:rPr/>
            </w:pPr>
            <w:r>
              <w:rPr/>
              <w:t> </w:t>
            </w:r>
          </w:p>
        </w:tc>
        <w:tc>
          <w:tcPr>
            <w:tcW w:w="4566" w:type="dxa"/>
            <w:tcBorders/>
            <w:shd w:fill="auto" w:val="clear"/>
            <w:vAlign w:val="center"/>
          </w:tcPr>
          <w:p>
            <w:pPr>
              <w:pStyle w:val="TableContents"/>
              <w:spacing w:before="0" w:after="0"/>
              <w:ind w:left="0" w:right="0" w:firstLine="30"/>
              <w:rPr/>
            </w:pPr>
            <w:r>
              <w:rPr/>
              <w:t> </w:t>
            </w:r>
          </w:p>
        </w:tc>
      </w:tr>
      <w:tr>
        <w:trPr/>
        <w:tc>
          <w:tcPr>
            <w:tcW w:w="4475" w:type="dxa"/>
            <w:tcBorders/>
            <w:shd w:fill="auto" w:val="clear"/>
            <w:vAlign w:val="center"/>
          </w:tcPr>
          <w:p>
            <w:pPr>
              <w:pStyle w:val="TableContents"/>
              <w:spacing w:before="0" w:after="0"/>
              <w:ind w:left="0" w:right="0" w:firstLine="30"/>
              <w:rPr/>
            </w:pPr>
            <w:r>
              <w:rPr/>
              <w:t> </w:t>
            </w:r>
          </w:p>
        </w:tc>
        <w:tc>
          <w:tcPr>
            <w:tcW w:w="91" w:type="dxa"/>
            <w:tcBorders/>
            <w:shd w:fill="auto" w:val="clear"/>
            <w:vAlign w:val="center"/>
          </w:tcPr>
          <w:p>
            <w:pPr>
              <w:pStyle w:val="TableContents"/>
              <w:spacing w:before="0" w:after="0"/>
              <w:ind w:left="0" w:right="0" w:firstLine="30"/>
              <w:rPr/>
            </w:pPr>
            <w:r>
              <w:rPr/>
              <w:t> </w:t>
            </w:r>
          </w:p>
        </w:tc>
        <w:tc>
          <w:tcPr>
            <w:tcW w:w="4566" w:type="dxa"/>
            <w:tcBorders/>
            <w:shd w:fill="auto" w:val="clear"/>
            <w:vAlign w:val="center"/>
          </w:tcPr>
          <w:p>
            <w:pPr>
              <w:pStyle w:val="TableContents"/>
              <w:spacing w:before="0" w:after="0"/>
              <w:rPr>
                <w:rFonts w:ascii="inherit" w:hAnsi="inherit"/>
                <w:sz w:val="17"/>
              </w:rPr>
            </w:pPr>
            <w:r>
              <w:rPr>
                <w:rFonts w:ascii="inherit" w:hAnsi="inherit"/>
                <w:sz w:val="17"/>
              </w:rPr>
            </w:r>
          </w:p>
          <w:p>
            <w:pPr>
              <w:pStyle w:val="TableContents"/>
              <w:spacing w:before="0" w:after="0"/>
              <w:ind w:left="0" w:right="0" w:firstLine="30"/>
              <w:rPr>
                <w:rFonts w:ascii="inherit" w:hAnsi="inherit"/>
                <w:sz w:val="17"/>
              </w:rPr>
            </w:pPr>
            <w:r>
              <w:rPr>
                <w:rFonts w:ascii="inherit" w:hAnsi="inherit"/>
                <w:sz w:val="17"/>
              </w:rPr>
            </w:r>
          </w:p>
        </w:tc>
      </w:tr>
      <w:tr>
        <w:trPr/>
        <w:tc>
          <w:tcPr>
            <w:tcW w:w="447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/s/ Thomas C. Roberts</w:t>
            </w:r>
          </w:p>
        </w:tc>
        <w:tc>
          <w:tcPr>
            <w:tcW w:w="91" w:type="dxa"/>
            <w:tcBorders/>
            <w:shd w:fill="auto" w:val="clear"/>
            <w:vAlign w:val="center"/>
          </w:tcPr>
          <w:p>
            <w:pPr>
              <w:pStyle w:val="TableContents"/>
              <w:spacing w:before="0" w:after="0"/>
              <w:ind w:left="0" w:right="0" w:firstLine="30"/>
              <w:rPr/>
            </w:pPr>
            <w:r>
              <w:rPr/>
              <w:t> </w:t>
            </w:r>
          </w:p>
        </w:tc>
        <w:tc>
          <w:tcPr>
            <w:tcW w:w="45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r>
      <w:tr>
        <w:trPr/>
        <w:tc>
          <w:tcPr>
            <w:tcW w:w="447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Thomas C. Roberts</w:t>
            </w:r>
          </w:p>
        </w:tc>
        <w:tc>
          <w:tcPr>
            <w:tcW w:w="91" w:type="dxa"/>
            <w:tcBorders/>
            <w:shd w:fill="auto" w:val="clear"/>
            <w:vAlign w:val="center"/>
          </w:tcPr>
          <w:p>
            <w:pPr>
              <w:pStyle w:val="TableContents"/>
              <w:spacing w:before="0" w:after="0"/>
              <w:ind w:left="0" w:right="0" w:firstLine="30"/>
              <w:rPr/>
            </w:pPr>
            <w:r>
              <w:rPr/>
              <w:t> </w:t>
            </w:r>
          </w:p>
        </w:tc>
        <w:tc>
          <w:tcPr>
            <w:tcW w:w="4566" w:type="dxa"/>
            <w:tcBorders/>
            <w:shd w:fill="auto" w:val="clear"/>
            <w:vAlign w:val="center"/>
          </w:tcPr>
          <w:p>
            <w:pPr>
              <w:pStyle w:val="TableContents"/>
              <w:spacing w:before="0" w:after="0"/>
              <w:ind w:left="0" w:right="0" w:firstLine="30"/>
              <w:rPr/>
            </w:pPr>
            <w:r>
              <w:rPr/>
              <w:t> </w:t>
            </w:r>
          </w:p>
        </w:tc>
      </w:tr>
      <w:tr>
        <w:trPr/>
        <w:tc>
          <w:tcPr>
            <w:tcW w:w="4475" w:type="dxa"/>
            <w:tcBorders/>
            <w:shd w:fill="auto" w:val="clear"/>
            <w:vAlign w:val="center"/>
          </w:tcPr>
          <w:p>
            <w:pPr>
              <w:pStyle w:val="TableContents"/>
              <w:spacing w:before="0" w:after="0"/>
              <w:ind w:left="0" w:right="0" w:firstLine="30"/>
              <w:rPr/>
            </w:pPr>
            <w:r>
              <w:rPr/>
              <w:t> </w:t>
            </w:r>
          </w:p>
        </w:tc>
        <w:tc>
          <w:tcPr>
            <w:tcW w:w="91" w:type="dxa"/>
            <w:tcBorders/>
            <w:shd w:fill="auto" w:val="clear"/>
            <w:vAlign w:val="center"/>
          </w:tcPr>
          <w:p>
            <w:pPr>
              <w:pStyle w:val="TableContents"/>
              <w:spacing w:before="0" w:after="0"/>
              <w:ind w:left="0" w:right="0" w:firstLine="30"/>
              <w:rPr/>
            </w:pPr>
            <w:r>
              <w:rPr/>
              <w:t> </w:t>
            </w:r>
          </w:p>
        </w:tc>
        <w:tc>
          <w:tcPr>
            <w:tcW w:w="4566" w:type="dxa"/>
            <w:tcBorders/>
            <w:shd w:fill="auto" w:val="clear"/>
            <w:vAlign w:val="center"/>
          </w:tcPr>
          <w:p>
            <w:pPr>
              <w:pStyle w:val="TableContents"/>
              <w:spacing w:before="0" w:after="0"/>
              <w:rPr/>
            </w:pPr>
            <w:r>
              <w:rPr/>
              <w:t> </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w:t>
      </w:r>
      <w:r>
        <w:br w:type="page"/>
      </w:r>
    </w:p>
    <w:p>
      <w:pPr>
        <w:pStyle w:val="TextBody"/>
        <w:spacing w:lineRule="auto" w:line="288" w:before="0" w:after="0"/>
        <w:jc w:val="left"/>
        <w:rPr>
          <w:rFonts w:ascii="inherit" w:hAnsi="inherit"/>
          <w:sz w:val="17"/>
        </w:rPr>
      </w:pPr>
      <w:r>
        <w:rPr>
          <w:rFonts w:ascii="inherit" w:hAnsi="inherit"/>
          <w:sz w:val="17"/>
        </w:rPr>
      </w:r>
      <w:bookmarkStart w:id="17" w:name="sF17C31062E6DE0BF49519E9ED3FA517B"/>
      <w:bookmarkStart w:id="18" w:name="sF17C31062E6DE0BF49519E9ED3FA517B"/>
      <w:bookmarkEnd w:id="18"/>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EXHIBIT INDEX</w:t>
      </w:r>
    </w:p>
    <w:tbl>
      <w:tblPr>
        <w:tblW w:w="10205" w:type="dxa"/>
        <w:jc w:val="left"/>
        <w:tblInd w:w="0" w:type="dxa"/>
        <w:tblCellMar>
          <w:top w:w="0" w:type="dxa"/>
          <w:left w:w="0" w:type="dxa"/>
          <w:bottom w:w="0" w:type="dxa"/>
          <w:right w:w="0" w:type="dxa"/>
        </w:tblCellMar>
      </w:tblPr>
      <w:tblGrid>
        <w:gridCol w:w="148"/>
        <w:gridCol w:w="679"/>
        <w:gridCol w:w="528"/>
        <w:gridCol w:w="415"/>
        <w:gridCol w:w="106"/>
        <w:gridCol w:w="8329"/>
      </w:tblGrid>
      <w:tr>
        <w:trPr/>
        <w:tc>
          <w:tcPr>
            <w:tcW w:w="10205" w:type="dxa"/>
            <w:gridSpan w:val="6"/>
            <w:tcBorders/>
            <w:shd w:fill="auto" w:val="clear"/>
            <w:vAlign w:val="center"/>
          </w:tcPr>
          <w:p>
            <w:pPr>
              <w:pStyle w:val="TableContents"/>
              <w:spacing w:before="0" w:after="283"/>
              <w:rPr>
                <w:sz w:val="4"/>
                <w:szCs w:val="4"/>
              </w:rPr>
            </w:pPr>
            <w:r>
              <w:rPr>
                <w:sz w:val="4"/>
                <w:szCs w:val="4"/>
              </w:rPr>
            </w:r>
          </w:p>
        </w:tc>
      </w:tr>
      <w:tr>
        <w:trPr/>
        <w:tc>
          <w:tcPr>
            <w:tcW w:w="148"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832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3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Exhibit </w:t>
              <w:br/>
              <w:t>Number</w:t>
            </w:r>
          </w:p>
        </w:tc>
        <w:tc>
          <w:tcPr>
            <w:tcW w:w="521" w:type="dxa"/>
            <w:gridSpan w:val="2"/>
            <w:tcBorders/>
            <w:shd w:fill="auto" w:val="clear"/>
            <w:vAlign w:val="center"/>
          </w:tcPr>
          <w:p>
            <w:pPr>
              <w:pStyle w:val="TableContents"/>
              <w:spacing w:before="0" w:after="0"/>
              <w:ind w:left="0" w:right="0" w:firstLine="30"/>
              <w:rPr/>
            </w:pPr>
            <w:r>
              <w:rPr/>
              <w:t> </w:t>
            </w:r>
          </w:p>
        </w:tc>
        <w:tc>
          <w:tcPr>
            <w:tcW w:w="8329"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Description</w:t>
            </w:r>
          </w:p>
        </w:tc>
      </w:tr>
      <w:tr>
        <w:trPr/>
        <w:tc>
          <w:tcPr>
            <w:tcW w:w="148" w:type="dxa"/>
            <w:tcBorders/>
            <w:shd w:fill="auto" w:val="clear"/>
            <w:vAlign w:val="center"/>
          </w:tcPr>
          <w:p>
            <w:pPr>
              <w:pStyle w:val="TableContents"/>
              <w:spacing w:before="0" w:after="0"/>
              <w:ind w:left="0" w:right="0" w:firstLine="30"/>
              <w:rPr/>
            </w:pPr>
            <w:r>
              <w:rPr/>
              <w:t> </w:t>
            </w:r>
          </w:p>
        </w:tc>
        <w:tc>
          <w:tcPr>
            <w:tcW w:w="679"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4.1</w:t>
            </w:r>
          </w:p>
        </w:tc>
        <w:tc>
          <w:tcPr>
            <w:tcW w:w="528" w:type="dxa"/>
            <w:tcBorders/>
            <w:shd w:fill="auto" w:val="clear"/>
            <w:vAlign w:val="center"/>
          </w:tcPr>
          <w:p>
            <w:pPr>
              <w:pStyle w:val="TableContents"/>
              <w:spacing w:before="0" w:after="0"/>
              <w:ind w:left="0" w:right="0" w:firstLine="30"/>
              <w:rPr/>
            </w:pPr>
            <w:r>
              <w:rPr/>
              <w:t> </w:t>
            </w:r>
          </w:p>
        </w:tc>
        <w:tc>
          <w:tcPr>
            <w:tcW w:w="521" w:type="dxa"/>
            <w:gridSpan w:val="2"/>
            <w:tcBorders/>
            <w:shd w:fill="auto" w:val="clear"/>
            <w:vAlign w:val="center"/>
          </w:tcPr>
          <w:p>
            <w:pPr>
              <w:pStyle w:val="TableContents"/>
              <w:spacing w:before="0" w:after="0"/>
              <w:ind w:left="0" w:right="0" w:firstLine="30"/>
              <w:jc w:val="center"/>
              <w:rPr/>
            </w:pPr>
            <w:r>
              <w:rPr/>
              <w:t>—</w:t>
            </w:r>
          </w:p>
        </w:tc>
        <w:tc>
          <w:tcPr>
            <w:tcW w:w="8329"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Amended and Restated Certificate of Incorporation of EZCORP, Inc. (incorporated herein by reference to Exhibit 3.1 of EZCORP’s Current Report on Form 8-K filed on October 2, 2013 (File No. 001-19424))</w:t>
            </w:r>
          </w:p>
        </w:tc>
      </w:tr>
      <w:tr>
        <w:trPr/>
        <w:tc>
          <w:tcPr>
            <w:tcW w:w="148" w:type="dxa"/>
            <w:tcBorders/>
            <w:shd w:fill="auto" w:val="clear"/>
            <w:vAlign w:val="center"/>
          </w:tcPr>
          <w:p>
            <w:pPr>
              <w:pStyle w:val="TableContents"/>
              <w:spacing w:before="0" w:after="0"/>
              <w:ind w:left="0" w:right="0" w:firstLine="30"/>
              <w:rPr/>
            </w:pPr>
            <w:r>
              <w:rPr/>
              <w:t> </w:t>
            </w:r>
          </w:p>
        </w:tc>
        <w:tc>
          <w:tcPr>
            <w:tcW w:w="679"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4.2</w:t>
            </w:r>
          </w:p>
        </w:tc>
        <w:tc>
          <w:tcPr>
            <w:tcW w:w="528" w:type="dxa"/>
            <w:tcBorders/>
            <w:shd w:fill="auto" w:val="clear"/>
            <w:vAlign w:val="center"/>
          </w:tcPr>
          <w:p>
            <w:pPr>
              <w:pStyle w:val="TableContents"/>
              <w:spacing w:before="0" w:after="0"/>
              <w:ind w:left="0" w:right="0" w:firstLine="30"/>
              <w:rPr/>
            </w:pPr>
            <w:r>
              <w:rPr/>
              <w:t> </w:t>
            </w:r>
          </w:p>
        </w:tc>
        <w:tc>
          <w:tcPr>
            <w:tcW w:w="415"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329"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By-Laws of EZCORP, Inc. (incorporated herein by reference to Exhibit 3.2 of EZCORP’s Current Report on Form 8-K filed on October 2, 2013 (File No. 001-19424))</w:t>
            </w:r>
          </w:p>
        </w:tc>
      </w:tr>
      <w:tr>
        <w:trPr/>
        <w:tc>
          <w:tcPr>
            <w:tcW w:w="148" w:type="dxa"/>
            <w:tcBorders/>
            <w:shd w:fill="auto" w:val="clear"/>
            <w:vAlign w:val="center"/>
          </w:tcPr>
          <w:p>
            <w:pPr>
              <w:pStyle w:val="TableContents"/>
              <w:spacing w:before="0" w:after="0"/>
              <w:ind w:left="0" w:right="0" w:firstLine="30"/>
              <w:rPr/>
            </w:pPr>
            <w:r>
              <w:rPr/>
              <w:t> </w:t>
            </w:r>
          </w:p>
        </w:tc>
        <w:tc>
          <w:tcPr>
            <w:tcW w:w="679"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4.3</w:t>
            </w:r>
          </w:p>
        </w:tc>
        <w:tc>
          <w:tcPr>
            <w:tcW w:w="528" w:type="dxa"/>
            <w:tcBorders/>
            <w:shd w:fill="auto" w:val="clear"/>
            <w:vAlign w:val="center"/>
          </w:tcPr>
          <w:p>
            <w:pPr>
              <w:pStyle w:val="TableContents"/>
              <w:spacing w:before="0" w:after="0"/>
              <w:ind w:left="0" w:right="0" w:firstLine="30"/>
              <w:rPr/>
            </w:pPr>
            <w:r>
              <w:rPr/>
              <w:t> </w:t>
            </w:r>
          </w:p>
        </w:tc>
        <w:tc>
          <w:tcPr>
            <w:tcW w:w="415"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329"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Specimen of Class A Non-Voting Common Stock certificate (incorporated herein by reference to Exhibit 4.1 to Old EZCORP’s Registration Statement on Form S-1 effective August 23, 1991 (File No. 33-41317))</w:t>
            </w:r>
          </w:p>
        </w:tc>
      </w:tr>
      <w:tr>
        <w:trPr/>
        <w:tc>
          <w:tcPr>
            <w:tcW w:w="148" w:type="dxa"/>
            <w:tcBorders/>
            <w:shd w:fill="auto" w:val="clear"/>
            <w:vAlign w:val="center"/>
          </w:tcPr>
          <w:p>
            <w:pPr>
              <w:pStyle w:val="TableContents"/>
              <w:spacing w:before="0" w:after="0"/>
              <w:ind w:left="0" w:right="0" w:firstLine="30"/>
              <w:rPr/>
            </w:pPr>
            <w:r>
              <w:rPr/>
              <w:t> </w:t>
            </w:r>
          </w:p>
        </w:tc>
        <w:tc>
          <w:tcPr>
            <w:tcW w:w="679"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4.4</w:t>
            </w:r>
          </w:p>
        </w:tc>
        <w:tc>
          <w:tcPr>
            <w:tcW w:w="528" w:type="dxa"/>
            <w:tcBorders/>
            <w:shd w:fill="auto" w:val="clear"/>
            <w:vAlign w:val="center"/>
          </w:tcPr>
          <w:p>
            <w:pPr>
              <w:pStyle w:val="TableContents"/>
              <w:spacing w:before="0" w:after="0"/>
              <w:ind w:left="0" w:right="0" w:firstLine="30"/>
              <w:rPr/>
            </w:pPr>
            <w:r>
              <w:rPr/>
              <w:t> </w:t>
            </w:r>
          </w:p>
        </w:tc>
        <w:tc>
          <w:tcPr>
            <w:tcW w:w="415"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329"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2006 Incentive Plan (incorporated herein by reference to Exhibit 10.104 to Old EZCORP’s Annual Report on Form 10-K for year ending September 30, 2006 (File No. 0-19424))</w:t>
            </w:r>
          </w:p>
        </w:tc>
      </w:tr>
      <w:tr>
        <w:trPr/>
        <w:tc>
          <w:tcPr>
            <w:tcW w:w="148" w:type="dxa"/>
            <w:tcBorders/>
            <w:shd w:fill="auto" w:val="clear"/>
            <w:vAlign w:val="center"/>
          </w:tcPr>
          <w:p>
            <w:pPr>
              <w:pStyle w:val="TableContents"/>
              <w:spacing w:before="0" w:after="0"/>
              <w:ind w:left="0" w:right="0" w:firstLine="30"/>
              <w:rPr/>
            </w:pPr>
            <w:r>
              <w:rPr/>
              <w:t> </w:t>
            </w:r>
          </w:p>
        </w:tc>
        <w:tc>
          <w:tcPr>
            <w:tcW w:w="679"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5.1</w:t>
            </w:r>
          </w:p>
        </w:tc>
        <w:tc>
          <w:tcPr>
            <w:tcW w:w="5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15"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329"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Opinion of Vinson &amp; Elkins L.L.P.</w:t>
            </w:r>
          </w:p>
        </w:tc>
      </w:tr>
      <w:tr>
        <w:trPr/>
        <w:tc>
          <w:tcPr>
            <w:tcW w:w="148" w:type="dxa"/>
            <w:tcBorders/>
            <w:shd w:fill="auto" w:val="clear"/>
            <w:vAlign w:val="center"/>
          </w:tcPr>
          <w:p>
            <w:pPr>
              <w:pStyle w:val="TableContents"/>
              <w:spacing w:before="0" w:after="0"/>
              <w:ind w:left="0" w:right="0" w:firstLine="30"/>
              <w:rPr/>
            </w:pPr>
            <w:r>
              <w:rPr/>
              <w:t> </w:t>
            </w:r>
          </w:p>
        </w:tc>
        <w:tc>
          <w:tcPr>
            <w:tcW w:w="679"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23.1</w:t>
            </w:r>
          </w:p>
        </w:tc>
        <w:tc>
          <w:tcPr>
            <w:tcW w:w="5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15"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329"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Consent of Independent Registered Public Accounting Firm</w:t>
            </w:r>
          </w:p>
        </w:tc>
      </w:tr>
      <w:tr>
        <w:trPr/>
        <w:tc>
          <w:tcPr>
            <w:tcW w:w="148" w:type="dxa"/>
            <w:tcBorders/>
            <w:shd w:fill="auto" w:val="clear"/>
            <w:vAlign w:val="center"/>
          </w:tcPr>
          <w:p>
            <w:pPr>
              <w:pStyle w:val="TableContents"/>
              <w:spacing w:before="0" w:after="0"/>
              <w:ind w:left="0" w:right="0" w:firstLine="30"/>
              <w:rPr/>
            </w:pPr>
            <w:r>
              <w:rPr/>
              <w:t> </w:t>
            </w:r>
          </w:p>
        </w:tc>
        <w:tc>
          <w:tcPr>
            <w:tcW w:w="679"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23.2</w:t>
            </w:r>
          </w:p>
        </w:tc>
        <w:tc>
          <w:tcPr>
            <w:tcW w:w="5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15"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329"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Consent of Vinson &amp; Elkins L.L.P. (contained in Exhibit 5.1)</w:t>
            </w:r>
          </w:p>
        </w:tc>
      </w:tr>
      <w:tr>
        <w:trPr/>
        <w:tc>
          <w:tcPr>
            <w:tcW w:w="148" w:type="dxa"/>
            <w:tcBorders/>
            <w:shd w:fill="auto" w:val="clear"/>
            <w:vAlign w:val="center"/>
          </w:tcPr>
          <w:p>
            <w:pPr>
              <w:pStyle w:val="TableContents"/>
              <w:spacing w:before="0" w:after="0"/>
              <w:ind w:left="0" w:right="0" w:firstLine="30"/>
              <w:rPr/>
            </w:pPr>
            <w:r>
              <w:rPr/>
              <w:t> </w:t>
            </w:r>
          </w:p>
        </w:tc>
        <w:tc>
          <w:tcPr>
            <w:tcW w:w="679"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24.1</w:t>
            </w:r>
          </w:p>
        </w:tc>
        <w:tc>
          <w:tcPr>
            <w:tcW w:w="5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415" w:type="dxa"/>
            <w:tcBorders/>
            <w:shd w:fill="auto" w:val="clear"/>
            <w:vAlign w:val="center"/>
          </w:tcPr>
          <w:p>
            <w:pPr>
              <w:pStyle w:val="TableContents"/>
              <w:spacing w:before="0" w:after="0"/>
              <w:jc w:val="right"/>
              <w:rPr/>
            </w:pPr>
            <w:r>
              <w:rPr/>
              <w:t>—</w:t>
            </w:r>
          </w:p>
        </w:tc>
        <w:tc>
          <w:tcPr>
            <w:tcW w:w="1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8329" w:type="dxa"/>
            <w:tcBorders/>
            <w:shd w:fill="auto" w:val="clear"/>
            <w:vAlign w:val="center"/>
          </w:tcPr>
          <w:p>
            <w:pPr>
              <w:pStyle w:val="TableContents"/>
              <w:spacing w:before="0" w:after="0"/>
              <w:ind w:left="0" w:right="0" w:hanging="210"/>
              <w:jc w:val="both"/>
              <w:rPr>
                <w:rFonts w:ascii="inherit" w:hAnsi="inherit"/>
                <w:sz w:val="17"/>
              </w:rPr>
            </w:pPr>
            <w:r>
              <w:rPr>
                <w:rFonts w:ascii="inherit" w:hAnsi="inherit"/>
                <w:sz w:val="17"/>
              </w:rPr>
              <w:t>Power of Attorney (included on signature page of this Registration Statement)</w:t>
            </w:r>
          </w:p>
        </w:tc>
      </w:tr>
    </w:tbl>
    <w:tbl>
      <w:tblPr>
        <w:tblW w:w="525" w:type="dxa"/>
        <w:jc w:val="center"/>
        <w:tblInd w:w="0" w:type="dxa"/>
        <w:tblCellMar>
          <w:top w:w="0" w:type="dxa"/>
          <w:left w:w="0" w:type="dxa"/>
          <w:bottom w:w="0" w:type="dxa"/>
          <w:right w:w="0" w:type="dxa"/>
        </w:tblCellMar>
      </w:tblPr>
      <w:tblGrid>
        <w:gridCol w:w="105"/>
        <w:gridCol w:w="105"/>
        <w:gridCol w:w="105"/>
        <w:gridCol w:w="105"/>
        <w:gridCol w:w="105"/>
      </w:tblGrid>
      <w:tr>
        <w:trPr/>
        <w:tc>
          <w:tcPr>
            <w:tcW w:w="525" w:type="dxa"/>
            <w:gridSpan w:val="5"/>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rPr/>
            </w:pPr>
            <w:r>
              <w:rPr/>
              <w:t> </w:t>
            </w:r>
          </w:p>
        </w:tc>
      </w:tr>
    </w:tbl>
    <w:tbl>
      <w:tblPr>
        <w:tblW w:w="1375" w:type="dxa"/>
        <w:jc w:val="left"/>
        <w:tblInd w:w="0" w:type="dxa"/>
        <w:tblCellMar>
          <w:top w:w="0" w:type="dxa"/>
          <w:left w:w="0" w:type="dxa"/>
          <w:bottom w:w="0" w:type="dxa"/>
          <w:right w:w="0" w:type="dxa"/>
        </w:tblCellMar>
      </w:tblPr>
      <w:tblGrid>
        <w:gridCol w:w="125"/>
        <w:gridCol w:w="1250"/>
      </w:tblGrid>
      <w:tr>
        <w:trPr/>
        <w:tc>
          <w:tcPr>
            <w:tcW w:w="125"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w:t>
            </w:r>
          </w:p>
        </w:tc>
        <w:tc>
          <w:tcPr>
            <w:tcW w:w="12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Filed herewith.</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w:t>
      </w:r>
      <w:r>
        <w:br w:type="page"/>
      </w:r>
    </w:p>
    <w:p>
      <w:pPr>
        <w:pStyle w:val="TextBody"/>
        <w:spacing w:lineRule="auto" w:line="240" w:before="0" w:after="0"/>
        <w:jc w:val="both"/>
        <w:rPr/>
      </w:pPr>
      <w:bookmarkStart w:id="19" w:name="sEA15490751E9B6A516719E9C1A814BB2"/>
      <w:bookmarkStart w:id="20" w:name="s-8opinionletter2006ip.htm"/>
      <w:bookmarkStart w:id="21" w:name="kss8opinionletter2006ip"/>
      <w:bookmarkEnd w:id="19"/>
      <w:bookmarkEnd w:id="20"/>
      <w:bookmarkEnd w:id="21"/>
      <w:r>
        <w:rPr/>
        <w:drawing>
          <wp:inline distT="0" distB="0" distL="0" distR="0">
            <wp:extent cx="1619250" cy="190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9250" cy="190500"/>
                    </a:xfrm>
                    <a:prstGeom prst="rect">
                      <a:avLst/>
                    </a:prstGeom>
                  </pic:spPr>
                </pic:pic>
              </a:graphicData>
            </a:graphic>
          </wp:inline>
        </w:drawing>
      </w:r>
    </w:p>
    <w:p>
      <w:pPr>
        <w:pStyle w:val="TextBody"/>
        <w:spacing w:lineRule="auto" w:line="240" w:before="0" w:after="0"/>
        <w:jc w:val="both"/>
        <w:rPr>
          <w:rFonts w:ascii="inherit" w:hAnsi="inherit"/>
          <w:sz w:val="17"/>
        </w:rPr>
      </w:pPr>
      <w:r>
        <w:rPr>
          <w:rFonts w:ascii="inherit" w:hAnsi="inherit"/>
          <w:sz w:val="17"/>
        </w:rPr>
      </w:r>
    </w:p>
    <w:p>
      <w:pPr>
        <w:pStyle w:val="TextBody"/>
        <w:spacing w:lineRule="auto" w:line="240" w:before="0" w:after="0"/>
        <w:jc w:val="right"/>
        <w:rPr>
          <w:rFonts w:ascii="inherit" w:hAnsi="inherit"/>
          <w:b/>
          <w:sz w:val="17"/>
          <w:u w:val="single"/>
        </w:rPr>
      </w:pPr>
      <w:r>
        <w:rPr>
          <w:rFonts w:ascii="inherit" w:hAnsi="inherit"/>
          <w:b/>
          <w:sz w:val="17"/>
          <w:u w:val="single"/>
        </w:rPr>
        <w:t>Exhibit 5.1</w:t>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October 10, 2013</w:t>
      </w:r>
    </w:p>
    <w:p>
      <w:pPr>
        <w:pStyle w:val="TextBody"/>
        <w:spacing w:lineRule="auto" w:line="288" w:before="0" w:after="0"/>
        <w:jc w:val="both"/>
        <w:rPr>
          <w:rFonts w:ascii="inherit" w:hAnsi="inherit"/>
          <w:sz w:val="17"/>
        </w:rPr>
      </w:pPr>
      <w:r>
        <w:rPr>
          <w:rFonts w:ascii="inherit" w:hAnsi="inherit"/>
          <w:sz w:val="17"/>
        </w:rPr>
        <w:t>EZCORP, Inc.</w:t>
      </w:r>
    </w:p>
    <w:p>
      <w:pPr>
        <w:pStyle w:val="TextBody"/>
        <w:spacing w:lineRule="auto" w:line="288" w:before="0" w:after="0"/>
        <w:jc w:val="both"/>
        <w:rPr>
          <w:rFonts w:ascii="inherit" w:hAnsi="inherit"/>
          <w:sz w:val="17"/>
        </w:rPr>
      </w:pPr>
      <w:r>
        <w:rPr>
          <w:rFonts w:ascii="inherit" w:hAnsi="inherit"/>
          <w:sz w:val="17"/>
        </w:rPr>
        <w:t>1901 Capital Parkway</w:t>
      </w:r>
    </w:p>
    <w:p>
      <w:pPr>
        <w:pStyle w:val="TextBody"/>
        <w:spacing w:lineRule="auto" w:line="288" w:before="0" w:after="0"/>
        <w:jc w:val="both"/>
        <w:rPr>
          <w:rFonts w:ascii="inherit" w:hAnsi="inherit"/>
          <w:sz w:val="17"/>
        </w:rPr>
      </w:pPr>
      <w:r>
        <w:rPr>
          <w:rFonts w:ascii="inherit" w:hAnsi="inherit"/>
          <w:sz w:val="17"/>
        </w:rPr>
        <w:t>Austin, Texas 78746</w:t>
      </w:r>
    </w:p>
    <w:p>
      <w:pPr>
        <w:pStyle w:val="TextBody"/>
        <w:spacing w:lineRule="auto" w:line="288" w:before="0" w:after="0"/>
        <w:jc w:val="both"/>
        <w:rPr>
          <w:rFonts w:ascii="inherit" w:hAnsi="inherit"/>
          <w:sz w:val="17"/>
        </w:rPr>
      </w:pPr>
      <w:r>
        <w:rPr>
          <w:rFonts w:ascii="inherit" w:hAnsi="inherit"/>
          <w:sz w:val="17"/>
        </w:rPr>
        <w:t>Ladies and Gentlemen:</w:t>
      </w:r>
    </w:p>
    <w:p>
      <w:pPr>
        <w:pStyle w:val="TextBody"/>
        <w:spacing w:lineRule="auto" w:line="288" w:before="0" w:after="0"/>
        <w:ind w:left="0" w:right="0" w:firstLine="720"/>
        <w:jc w:val="both"/>
        <w:rPr>
          <w:sz w:val="17"/>
        </w:rPr>
      </w:pPr>
      <w:r>
        <w:rPr>
          <w:rFonts w:ascii="inherit" w:hAnsi="inherit"/>
          <w:sz w:val="17"/>
        </w:rPr>
        <w:t xml:space="preserve">We have acted as counsel for EZCORP, Inc., a Delaware corporation (the “Company”), in connection with the Company’s registration under the Securities Act of 1933, as amended (the “Securities Act”), of the offer and sale of an aggregate of up to </w:t>
      </w:r>
      <w:r>
        <w:rPr>
          <w:rFonts w:ascii="inherit" w:hAnsi="inherit"/>
          <w:sz w:val="15"/>
        </w:rPr>
        <w:t>270,000</w:t>
      </w:r>
      <w:r>
        <w:rPr>
          <w:sz w:val="17"/>
        </w:rPr>
        <w:t xml:space="preserve"> </w:t>
      </w:r>
      <w:r>
        <w:rPr>
          <w:rFonts w:ascii="inherit" w:hAnsi="inherit"/>
          <w:sz w:val="17"/>
        </w:rPr>
        <w:t xml:space="preserve">shares of the Company’s Class A Non-Voting Common Stock, $.01 par value per share (the “Class A Common Stock”), pursuant to the Company’s registration statement on Form S-8 (the “Registration Statement”) to be filed with the Securities and Exchange Commission (the “Commission”) on October 10, 2013, which shares of Class A Common Stock may be issued from time to time in accordance with the terms of the EZCORP, Inc. 2006 Incentive Plan (the “Plan”). </w:t>
      </w:r>
    </w:p>
    <w:p>
      <w:pPr>
        <w:pStyle w:val="TextBody"/>
        <w:spacing w:lineRule="auto" w:line="288" w:before="0" w:after="0"/>
        <w:ind w:left="0" w:right="0" w:firstLine="720"/>
        <w:jc w:val="both"/>
        <w:rPr>
          <w:rFonts w:ascii="inherit" w:hAnsi="inherit"/>
          <w:sz w:val="17"/>
        </w:rPr>
      </w:pPr>
      <w:r>
        <w:rPr>
          <w:rFonts w:ascii="inherit" w:hAnsi="inherit"/>
          <w:sz w:val="17"/>
        </w:rPr>
        <w:t xml:space="preserve">In reaching the opinions set forth herein, we have examined and are familiar with originals or copies, certified or otherwise identified to our satisfaction, of such documents and records of the Company and such statutes, regulations and other instruments as we deemed necessary or advisable for purposes of this opinion, including (i) the Registration Statement, (ii) certain resolutions adopted by the board of directors of the Company, (iii) the Plan and (iv) such other certificates, instruments and documents as we have considered necessary for purposes of this opinion letter. As to any facts material to our opinions, we have made no independent investigation or verification of such facts and have relied, to the extent that we deem such reliance proper, upon certificates of public officials and officers or other representatives of the Company. </w:t>
      </w:r>
    </w:p>
    <w:p>
      <w:pPr>
        <w:pStyle w:val="TextBody"/>
        <w:spacing w:lineRule="auto" w:line="288" w:before="0" w:after="0"/>
        <w:ind w:left="0" w:right="0" w:firstLine="720"/>
        <w:jc w:val="both"/>
        <w:rPr>
          <w:rFonts w:ascii="inherit" w:hAnsi="inherit"/>
          <w:sz w:val="17"/>
        </w:rPr>
      </w:pPr>
      <w:r>
        <w:rPr>
          <w:rFonts w:ascii="inherit" w:hAnsi="inherit"/>
          <w:sz w:val="17"/>
        </w:rPr>
        <w:t xml:space="preserve">We have assumed (i) the legal capacity of all natural persons, (ii) the genuineness of all signatures, (iii) the authority of all persons signing all documents submitted to us on behalf of the parties to such documents, (iv) the authenticity of all documents submitted to us as originals, (v) the conformity to authentic original documents of all documents submitted to us as copies and (vi) that all information contained in all documents reviewed by us is true, correct and complete. In addition, we have assumed that the Class A Common Stock will be issued in accordance with the terms of the Plan. </w:t>
      </w:r>
    </w:p>
    <w:p>
      <w:pPr>
        <w:pStyle w:val="TextBody"/>
        <w:spacing w:lineRule="auto" w:line="288" w:before="0" w:after="0"/>
        <w:ind w:left="0" w:right="0" w:firstLine="720"/>
        <w:jc w:val="both"/>
        <w:rPr>
          <w:rFonts w:ascii="inherit" w:hAnsi="inherit"/>
          <w:sz w:val="17"/>
        </w:rPr>
      </w:pPr>
      <w:r>
        <w:rPr>
          <w:rFonts w:ascii="inherit" w:hAnsi="inherit"/>
          <w:sz w:val="17"/>
        </w:rPr>
        <w:t>Based on the foregoing and subject to the limitations set forth herein, and having due regard for the legal considerations we deem relevant, we are of the opinion that the Class A Common Stock has been duly authorized and, when shares of the Class A Common Stock are issued by the Company in accordance with the terms of the Plan and the instruments executed pursuant to the Plan, as applicable, which govern the awards to which shares of Class A Common Stock relate, will be validly issued, fully paid and non-assessable.</w:t>
      </w:r>
    </w:p>
    <w:p>
      <w:pPr>
        <w:pStyle w:val="TextBody"/>
        <w:spacing w:lineRule="auto" w:line="288" w:before="0" w:after="0"/>
        <w:ind w:left="0" w:right="0" w:firstLine="720"/>
        <w:jc w:val="both"/>
        <w:rPr>
          <w:rFonts w:ascii="inherit" w:hAnsi="inherit"/>
          <w:sz w:val="17"/>
        </w:rPr>
      </w:pPr>
      <w:r>
        <w:rPr>
          <w:rFonts w:ascii="inherit" w:hAnsi="inherit"/>
          <w:sz w:val="17"/>
        </w:rPr>
        <w:t xml:space="preserve">This opinion is limited in all respects to the General Corporation Law of the State of Delaware. We express no opinion as to any matter other than as expressly set forth above, and no opinion on any other matter may be inferred or implied herefrom. The opinions expressed herein are rendered as of the date hereof and we expressly disclaim any obligation to update this letter or advise you of any change in any matter after the date hereof. </w:t>
      </w:r>
    </w:p>
    <w:p>
      <w:pPr>
        <w:pStyle w:val="TextBody"/>
        <w:spacing w:lineRule="auto" w:line="288" w:before="0" w:after="0"/>
        <w:ind w:left="0" w:right="0" w:firstLine="720"/>
        <w:jc w:val="both"/>
        <w:rPr>
          <w:rFonts w:ascii="inherit" w:hAnsi="inherit"/>
          <w:sz w:val="17"/>
        </w:rPr>
      </w:pPr>
      <w:r>
        <w:rPr>
          <w:rFonts w:ascii="inherit" w:hAnsi="inherit"/>
          <w:sz w:val="17"/>
        </w:rPr>
        <w:t>This opinion letter may be filed as an exhibit to the Registration Statement. In giving this consent, we do not thereby admit that we come within the category of persons whose consent is required under Section 7 of the Securities Act.</w:t>
      </w:r>
    </w:p>
    <w:p>
      <w:pPr>
        <w:pStyle w:val="TextBody"/>
        <w:spacing w:lineRule="auto" w:line="288" w:before="0" w:after="0"/>
        <w:ind w:left="0" w:right="0" w:firstLine="5040"/>
        <w:jc w:val="both"/>
        <w:rPr>
          <w:rFonts w:ascii="inherit" w:hAnsi="inherit"/>
          <w:sz w:val="17"/>
        </w:rPr>
      </w:pPr>
      <w:r>
        <w:rPr>
          <w:rFonts w:ascii="inherit" w:hAnsi="inherit"/>
          <w:sz w:val="17"/>
        </w:rPr>
        <w:t>Very truly yours,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5040"/>
        <w:jc w:val="both"/>
        <w:rPr>
          <w:rFonts w:ascii="inherit" w:hAnsi="inherit"/>
          <w:sz w:val="17"/>
        </w:rPr>
      </w:pPr>
      <w:r>
        <w:rPr>
          <w:rFonts w:ascii="inherit" w:hAnsi="inherit"/>
          <w:sz w:val="17"/>
        </w:rPr>
        <w:t>/s/ Vinson &amp; Elkins L.L.P.</w:t>
      </w:r>
    </w:p>
    <w:p>
      <w:pPr>
        <w:pStyle w:val="TextBody"/>
        <w:spacing w:before="0" w:after="0"/>
        <w:rPr/>
      </w:pPr>
      <w:r>
        <w:rPr/>
      </w:r>
    </w:p>
    <w:tbl>
      <w:tblPr>
        <w:tblW w:w="7138" w:type="dxa"/>
        <w:jc w:val="left"/>
        <w:tblInd w:w="0" w:type="dxa"/>
        <w:tblCellMar>
          <w:top w:w="0" w:type="dxa"/>
          <w:left w:w="0" w:type="dxa"/>
          <w:bottom w:w="0" w:type="dxa"/>
          <w:right w:w="0" w:type="dxa"/>
        </w:tblCellMar>
      </w:tblPr>
      <w:tblGrid>
        <w:gridCol w:w="4069"/>
        <w:gridCol w:w="3069"/>
      </w:tblGrid>
      <w:tr>
        <w:trPr/>
        <w:tc>
          <w:tcPr>
            <w:tcW w:w="7138" w:type="dxa"/>
            <w:gridSpan w:val="2"/>
            <w:tcBorders/>
            <w:shd w:fill="auto" w:val="clear"/>
            <w:vAlign w:val="center"/>
          </w:tcPr>
          <w:p>
            <w:pPr>
              <w:pStyle w:val="TableContents"/>
              <w:spacing w:before="0" w:after="283"/>
              <w:rPr>
                <w:sz w:val="4"/>
                <w:szCs w:val="4"/>
              </w:rPr>
            </w:pPr>
            <w:r>
              <w:rPr>
                <w:sz w:val="4"/>
                <w:szCs w:val="4"/>
              </w:rPr>
            </w:r>
          </w:p>
        </w:tc>
      </w:tr>
      <w:tr>
        <w:trPr/>
        <w:tc>
          <w:tcPr>
            <w:tcW w:w="4069" w:type="dxa"/>
            <w:tcBorders/>
            <w:shd w:fill="auto" w:val="clear"/>
            <w:vAlign w:val="center"/>
          </w:tcPr>
          <w:p>
            <w:pPr>
              <w:pStyle w:val="TableContents"/>
              <w:spacing w:before="0" w:after="283"/>
              <w:rPr>
                <w:sz w:val="4"/>
                <w:szCs w:val="4"/>
              </w:rPr>
            </w:pPr>
            <w:r>
              <w:rPr>
                <w:sz w:val="4"/>
                <w:szCs w:val="4"/>
              </w:rPr>
            </w:r>
          </w:p>
        </w:tc>
        <w:tc>
          <w:tcPr>
            <w:tcW w:w="306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069" w:type="dxa"/>
            <w:tcBorders/>
            <w:shd w:fill="auto" w:val="clear"/>
            <w:vAlign w:val="center"/>
          </w:tcPr>
          <w:p>
            <w:pPr>
              <w:pStyle w:val="TableContents"/>
              <w:spacing w:before="0" w:after="0"/>
              <w:rPr>
                <w:rFonts w:ascii="Arial" w:hAnsi="Arial"/>
                <w:b/>
                <w:sz w:val="12"/>
              </w:rPr>
            </w:pPr>
            <w:r>
              <w:rPr>
                <w:rFonts w:ascii="Arial" w:hAnsi="Arial"/>
                <w:b/>
                <w:sz w:val="12"/>
              </w:rPr>
              <w:t>Vinson &amp; Elkins LLP Attorneys at Law</w:t>
            </w:r>
          </w:p>
          <w:p>
            <w:pPr>
              <w:pStyle w:val="TableContents"/>
              <w:spacing w:before="0" w:after="0"/>
              <w:rPr>
                <w:rFonts w:ascii="Arial" w:hAnsi="Arial"/>
                <w:sz w:val="12"/>
              </w:rPr>
            </w:pPr>
            <w:r>
              <w:rPr>
                <w:rFonts w:ascii="Arial" w:hAnsi="Arial"/>
                <w:sz w:val="12"/>
              </w:rPr>
              <w:t>Abu Dhabi Austin Beijing Dallas Dubai Hong Kong Houston London Moscow</w:t>
            </w:r>
          </w:p>
          <w:p>
            <w:pPr>
              <w:pStyle w:val="TableContents"/>
              <w:spacing w:before="0" w:after="0"/>
              <w:rPr>
                <w:rFonts w:ascii="Arial" w:hAnsi="Arial"/>
                <w:sz w:val="12"/>
              </w:rPr>
            </w:pPr>
            <w:r>
              <w:rPr>
                <w:rFonts w:ascii="Arial" w:hAnsi="Arial"/>
                <w:sz w:val="12"/>
              </w:rPr>
              <w:t>New York Palo Alto Riyadh San Francisco Shanghai Tokyo Washington</w:t>
            </w:r>
          </w:p>
          <w:p>
            <w:pPr>
              <w:pStyle w:val="TableContents"/>
              <w:spacing w:before="0" w:after="0"/>
              <w:ind w:left="0" w:right="0" w:firstLine="30"/>
              <w:jc w:val="both"/>
              <w:rPr>
                <w:rFonts w:ascii="Arial" w:hAnsi="Arial"/>
                <w:sz w:val="8"/>
              </w:rPr>
            </w:pPr>
            <w:r>
              <w:rPr>
                <w:rFonts w:ascii="Arial" w:hAnsi="Arial"/>
                <w:sz w:val="8"/>
              </w:rPr>
            </w:r>
          </w:p>
        </w:tc>
        <w:tc>
          <w:tcPr>
            <w:tcW w:w="3069" w:type="dxa"/>
            <w:tcBorders/>
            <w:shd w:fill="auto" w:val="clear"/>
            <w:vAlign w:val="center"/>
          </w:tcPr>
          <w:p>
            <w:pPr>
              <w:pStyle w:val="TableContents"/>
              <w:spacing w:before="0" w:after="0"/>
              <w:rPr>
                <w:rFonts w:ascii="Arial" w:hAnsi="Arial"/>
                <w:sz w:val="12"/>
              </w:rPr>
            </w:pPr>
            <w:r>
              <w:rPr>
                <w:rFonts w:ascii="Arial" w:hAnsi="Arial"/>
                <w:sz w:val="12"/>
              </w:rPr>
              <w:t>Trammell Crow Center, 2001 Ross Avenue, Suite 3700</w:t>
            </w:r>
          </w:p>
          <w:p>
            <w:pPr>
              <w:pStyle w:val="TableContents"/>
              <w:spacing w:before="0" w:after="0"/>
              <w:rPr>
                <w:rFonts w:ascii="Arial" w:hAnsi="Arial"/>
                <w:sz w:val="12"/>
              </w:rPr>
            </w:pPr>
            <w:r>
              <w:rPr>
                <w:rFonts w:ascii="Arial" w:hAnsi="Arial"/>
                <w:sz w:val="12"/>
              </w:rPr>
              <w:t xml:space="preserve">Dallas, TX 75201-2975 </w:t>
            </w:r>
          </w:p>
          <w:p>
            <w:pPr>
              <w:pStyle w:val="TableContents"/>
              <w:spacing w:before="0" w:after="0"/>
              <w:rPr>
                <w:sz w:val="12"/>
              </w:rPr>
            </w:pPr>
            <w:r>
              <w:rPr>
                <w:rFonts w:ascii="Arial" w:hAnsi="Arial"/>
                <w:b/>
                <w:sz w:val="12"/>
              </w:rPr>
              <w:t>Tel</w:t>
            </w:r>
            <w:r>
              <w:rPr>
                <w:sz w:val="12"/>
              </w:rPr>
              <w:t> </w:t>
            </w:r>
            <w:r>
              <w:rPr>
                <w:rFonts w:ascii="Arial" w:hAnsi="Arial"/>
                <w:sz w:val="12"/>
              </w:rPr>
              <w:t xml:space="preserve">+1.214.220.7700 </w:t>
            </w:r>
            <w:r>
              <w:rPr>
                <w:rFonts w:ascii="Arial" w:hAnsi="Arial"/>
                <w:b/>
                <w:sz w:val="12"/>
              </w:rPr>
              <w:t>Fax</w:t>
            </w:r>
            <w:r>
              <w:rPr>
                <w:sz w:val="12"/>
              </w:rPr>
              <w:t> </w:t>
            </w:r>
            <w:r>
              <w:rPr>
                <w:rFonts w:ascii="Arial" w:hAnsi="Arial"/>
                <w:sz w:val="12"/>
              </w:rPr>
              <w:t xml:space="preserve">+1.214.220.7716 </w:t>
            </w:r>
            <w:r>
              <w:rPr>
                <w:sz w:val="12"/>
              </w:rPr>
              <w:t> </w:t>
            </w:r>
            <w:r>
              <w:rPr>
                <w:rFonts w:ascii="Arial" w:hAnsi="Arial"/>
                <w:b/>
                <w:sz w:val="12"/>
              </w:rPr>
              <w:t>www.velaw.com</w:t>
            </w:r>
          </w:p>
        </w:tc>
      </w:tr>
    </w:tbl>
    <w:p>
      <w:pPr>
        <w:pStyle w:val="TextBody"/>
        <w:spacing w:lineRule="auto" w:line="240" w:before="0" w:after="0"/>
        <w:jc w:val="both"/>
        <w:rPr>
          <w:rFonts w:ascii="Arial" w:hAnsi="Arial"/>
          <w:sz w:val="8"/>
        </w:rPr>
      </w:pPr>
      <w:r>
        <w:rPr>
          <w:rFonts w:ascii="Arial" w:hAnsi="Arial"/>
          <w:sz w:val="8"/>
        </w:rPr>
      </w:r>
    </w:p>
    <w:p>
      <w:pPr>
        <w:pStyle w:val="TextBody"/>
        <w:spacing w:lineRule="auto" w:line="240"/>
        <w:jc w:val="left"/>
        <w:rPr>
          <w:rFonts w:ascii="Arial" w:hAnsi="Arial"/>
          <w:sz w:val="8"/>
        </w:rPr>
      </w:pPr>
      <w:r>
        <w:rPr>
          <w:rFonts w:ascii="Arial" w:hAnsi="Arial"/>
          <w:sz w:val="8"/>
        </w:rPr>
      </w:r>
      <w:r>
        <w:br w:type="page"/>
      </w:r>
    </w:p>
    <w:p>
      <w:pPr>
        <w:pStyle w:val="TextBody"/>
        <w:spacing w:lineRule="auto" w:line="288" w:before="0" w:after="0"/>
        <w:rPr>
          <w:rFonts w:ascii="inherit" w:hAnsi="inherit"/>
          <w:sz w:val="17"/>
        </w:rPr>
      </w:pPr>
      <w:r>
        <w:rPr>
          <w:rFonts w:ascii="inherit" w:hAnsi="inherit"/>
          <w:sz w:val="17"/>
        </w:rPr>
      </w:r>
      <w:bookmarkStart w:id="22" w:name="s410eb8759d524d55bad463ad2118c6a5"/>
      <w:bookmarkStart w:id="23" w:name="a231bdoconsents-82006ltip.htm"/>
      <w:bookmarkStart w:id="24" w:name="ksa231bdoconsents82006ltip"/>
      <w:bookmarkStart w:id="25" w:name="s410eb8759d524d55bad463ad2118c6a5"/>
      <w:bookmarkStart w:id="26" w:name="a231bdoconsents-82006ltip.htm"/>
      <w:bookmarkStart w:id="27" w:name="ksa231bdoconsents82006ltip"/>
      <w:bookmarkEnd w:id="25"/>
      <w:bookmarkEnd w:id="26"/>
      <w:bookmarkEnd w:id="27"/>
    </w:p>
    <w:p>
      <w:pPr>
        <w:pStyle w:val="TextBody"/>
        <w:spacing w:before="0" w:after="0"/>
        <w:rPr/>
      </w:pPr>
      <w:r>
        <w:rPr/>
      </w:r>
    </w:p>
    <w:p>
      <w:pPr>
        <w:pStyle w:val="TextBody"/>
        <w:spacing w:lineRule="auto" w:line="288" w:before="0" w:after="0"/>
        <w:jc w:val="right"/>
        <w:rPr>
          <w:rFonts w:ascii="inherit" w:hAnsi="inherit"/>
          <w:sz w:val="17"/>
          <w:u w:val="single"/>
        </w:rPr>
      </w:pPr>
      <w:r>
        <w:rPr>
          <w:rFonts w:ascii="inherit" w:hAnsi="inherit"/>
          <w:sz w:val="17"/>
          <w:u w:val="single"/>
        </w:rPr>
        <w:t>Exhibit 23.1</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b/>
          <w:sz w:val="18"/>
          <w:u w:val="single"/>
        </w:rPr>
      </w:pPr>
      <w:r>
        <w:rPr>
          <w:rFonts w:ascii="inherit" w:hAnsi="inherit"/>
          <w:b/>
          <w:sz w:val="18"/>
          <w:u w:val="single"/>
        </w:rPr>
        <w:t>Consent of Independent Registered Public Accounting Firm</w:t>
      </w:r>
    </w:p>
    <w:p>
      <w:pPr>
        <w:pStyle w:val="TextBody"/>
        <w:spacing w:lineRule="auto" w:line="288" w:before="0" w:after="0"/>
        <w:jc w:val="both"/>
        <w:rPr>
          <w:rFonts w:ascii="inherit" w:hAnsi="inherit"/>
          <w:sz w:val="18"/>
        </w:rPr>
      </w:pPr>
      <w:r>
        <w:rPr>
          <w:rFonts w:ascii="inherit" w:hAnsi="inherit"/>
          <w:sz w:val="18"/>
        </w:rPr>
      </w:r>
    </w:p>
    <w:p>
      <w:pPr>
        <w:pStyle w:val="TextBody"/>
        <w:spacing w:lineRule="auto" w:line="288" w:before="0" w:after="0"/>
        <w:jc w:val="both"/>
        <w:rPr>
          <w:rFonts w:ascii="inherit" w:hAnsi="inherit"/>
          <w:sz w:val="17"/>
        </w:rPr>
      </w:pPr>
      <w:r>
        <w:rPr>
          <w:rFonts w:ascii="inherit" w:hAnsi="inherit"/>
          <w:sz w:val="17"/>
        </w:rPr>
        <w:t>EZCORP, Inc.</w:t>
      </w:r>
    </w:p>
    <w:p>
      <w:pPr>
        <w:pStyle w:val="TextBody"/>
        <w:spacing w:lineRule="auto" w:line="288" w:before="0" w:after="0"/>
        <w:jc w:val="both"/>
        <w:rPr>
          <w:rFonts w:ascii="inherit" w:hAnsi="inherit"/>
          <w:sz w:val="17"/>
        </w:rPr>
      </w:pPr>
      <w:r>
        <w:rPr>
          <w:rFonts w:ascii="inherit" w:hAnsi="inherit"/>
          <w:sz w:val="17"/>
        </w:rPr>
        <w:t>Austin, Texas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We hereby consent to the incorporation by reference in the Prospectus constituting a part of this Registration Statement of our report dated November 20, 2012, except for Notes 1, 2, 4, 6, 7, 12, 14, 18, 19 and 23, which are as of October 3, 2013, relating to the consolidated financial statements of EZCORP and our report dated November 20, 2012, relating to the effectiveness of EZCORP’s internal control over financial reporting appearing in the Company’s Form 8-K filed October 3, 2013.</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We also consent to the reference to us under the caption “Experts” in the Prospectus.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pPr>
      <w:r>
        <w:rPr/>
        <w:t> </w:t>
      </w:r>
    </w:p>
    <w:p>
      <w:pPr>
        <w:pStyle w:val="TextBody"/>
        <w:spacing w:lineRule="auto" w:line="288" w:before="0" w:after="0"/>
        <w:jc w:val="left"/>
        <w:rPr>
          <w:rFonts w:ascii="inherit" w:hAnsi="inherit"/>
          <w:sz w:val="17"/>
        </w:rPr>
      </w:pPr>
      <w:r>
        <w:rPr>
          <w:rFonts w:ascii="inherit" w:hAnsi="inherit"/>
          <w:sz w:val="17"/>
        </w:rPr>
        <w:t>/s/ BDO USA, LLP</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Dallas, Texas</w:t>
      </w:r>
    </w:p>
    <w:p>
      <w:pPr>
        <w:pStyle w:val="TextBody"/>
        <w:spacing w:lineRule="auto" w:line="288" w:before="0" w:after="0"/>
        <w:jc w:val="both"/>
        <w:rPr>
          <w:rFonts w:ascii="inherit" w:hAnsi="inherit"/>
          <w:sz w:val="17"/>
        </w:rPr>
      </w:pPr>
      <w:r>
        <w:rPr>
          <w:rFonts w:ascii="inherit" w:hAnsi="inherit"/>
          <w:sz w:val="17"/>
        </w:rPr>
        <w:t>October 10, 2013</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283"/>
        <w:rPr>
          <w:rFonts w:ascii="inherit" w:hAnsi="inherit"/>
          <w:sz w:val="17"/>
        </w:rPr>
      </w:pPr>
      <w:r>
        <w:rPr>
          <w:rFonts w:ascii="inherit" w:hAnsi="inherit"/>
          <w:sz w:val="17"/>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4246</Words>
  <CharactersWithSpaces>26483</CharactersWithSpaces>
  <Paragraphs>350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