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jc w:val="center"/>
        <w:rPr>
          <w:rFonts w:ascii="inherit" w:hAnsi="inherit"/>
          <w:b/>
          <w:sz w:val="17"/>
        </w:rPr>
      </w:pPr>
      <w:bookmarkStart w:id="0" w:name="se0f29d80b087476e94fd9b20a195084a"/>
      <w:bookmarkStart w:id="1" w:name="ezcorp-postxeffectiveamend.htm"/>
      <w:bookmarkStart w:id="2" w:name="ksezcorppostxeffectiveamend"/>
      <w:bookmarkEnd w:id="0"/>
      <w:bookmarkEnd w:id="1"/>
      <w:bookmarkEnd w:id="2"/>
      <w:r>
        <w:rPr>
          <w:rFonts w:ascii="inherit" w:hAnsi="inherit"/>
          <w:b/>
          <w:sz w:val="17"/>
        </w:rPr>
        <w:t>As filed with the Securities and Exchange Commission on October 4, 2013</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right"/>
        <w:rPr>
          <w:rFonts w:ascii="inherit" w:hAnsi="inherit"/>
          <w:b/>
          <w:sz w:val="17"/>
        </w:rPr>
      </w:pPr>
      <w:r>
        <w:rPr>
          <w:rFonts w:ascii="inherit" w:hAnsi="inherit"/>
          <w:b/>
          <w:sz w:val="17"/>
        </w:rPr>
        <w:t xml:space="preserve">Registration No. 333-179379 </w:t>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sz w:val="27"/>
        </w:rPr>
      </w:pPr>
      <w:r>
        <w:rPr>
          <w:rFonts w:ascii="inherit" w:hAnsi="inherit"/>
          <w:sz w:val="27"/>
        </w:rPr>
      </w:r>
    </w:p>
    <w:p>
      <w:pPr>
        <w:pStyle w:val="TextBody"/>
        <w:spacing w:lineRule="auto" w:line="288" w:before="0" w:after="0"/>
        <w:jc w:val="center"/>
        <w:rPr>
          <w:rFonts w:ascii="inherit" w:hAnsi="inherit"/>
          <w:b/>
          <w:sz w:val="27"/>
        </w:rPr>
      </w:pPr>
      <w:r>
        <w:rPr>
          <w:rFonts w:ascii="inherit" w:hAnsi="inherit"/>
          <w:b/>
          <w:sz w:val="27"/>
        </w:rPr>
        <w:t>UNITED STATES</w:t>
      </w:r>
    </w:p>
    <w:p>
      <w:pPr>
        <w:pStyle w:val="TextBody"/>
        <w:spacing w:lineRule="auto" w:line="288" w:before="0" w:after="0"/>
        <w:jc w:val="center"/>
        <w:rPr>
          <w:rFonts w:ascii="inherit" w:hAnsi="inherit"/>
          <w:b/>
          <w:sz w:val="27"/>
        </w:rPr>
      </w:pPr>
      <w:r>
        <w:rPr>
          <w:rFonts w:ascii="inherit" w:hAnsi="inherit"/>
          <w:b/>
          <w:sz w:val="27"/>
        </w:rPr>
        <w:t>SECURITIES AND EXCHANGE COMMISSION</w:t>
      </w:r>
    </w:p>
    <w:p>
      <w:pPr>
        <w:pStyle w:val="TextBody"/>
        <w:spacing w:lineRule="auto" w:line="288" w:before="0" w:after="0"/>
        <w:jc w:val="center"/>
        <w:rPr>
          <w:rFonts w:ascii="inherit" w:hAnsi="inherit"/>
          <w:b/>
          <w:sz w:val="27"/>
        </w:rPr>
      </w:pPr>
      <w:r>
        <w:rPr>
          <w:rFonts w:ascii="inherit" w:hAnsi="inherit"/>
          <w:b/>
          <w:sz w:val="27"/>
        </w:rPr>
        <w:t>Washington, D.C. 20549</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33"/>
        </w:rPr>
      </w:pPr>
      <w:r>
        <w:rPr>
          <w:rFonts w:ascii="inherit" w:hAnsi="inherit"/>
          <w:b/>
          <w:sz w:val="33"/>
        </w:rPr>
        <w:t>POST-EFFECTIVE AMENDMENT NO. 1</w:t>
      </w:r>
    </w:p>
    <w:p>
      <w:pPr>
        <w:pStyle w:val="TextBody"/>
        <w:spacing w:lineRule="auto" w:line="288" w:before="0" w:after="0"/>
        <w:jc w:val="center"/>
        <w:rPr>
          <w:rFonts w:ascii="inherit" w:hAnsi="inherit"/>
          <w:b/>
          <w:sz w:val="33"/>
        </w:rPr>
      </w:pPr>
      <w:r>
        <w:rPr>
          <w:rFonts w:ascii="inherit" w:hAnsi="inherit"/>
          <w:b/>
          <w:sz w:val="33"/>
        </w:rPr>
        <w:t>TO</w:t>
      </w:r>
    </w:p>
    <w:p>
      <w:pPr>
        <w:pStyle w:val="TextBody"/>
        <w:spacing w:lineRule="auto" w:line="288" w:before="0" w:after="0"/>
        <w:jc w:val="center"/>
        <w:rPr>
          <w:rFonts w:ascii="inherit" w:hAnsi="inherit"/>
          <w:b/>
          <w:sz w:val="33"/>
        </w:rPr>
      </w:pPr>
      <w:r>
        <w:rPr>
          <w:rFonts w:ascii="inherit" w:hAnsi="inherit"/>
          <w:b/>
          <w:sz w:val="33"/>
        </w:rPr>
        <w:t>FORM S-3</w:t>
      </w:r>
    </w:p>
    <w:p>
      <w:pPr>
        <w:pStyle w:val="TextBody"/>
        <w:spacing w:lineRule="auto" w:line="288" w:before="0" w:after="0"/>
        <w:jc w:val="center"/>
        <w:rPr>
          <w:rFonts w:ascii="inherit" w:hAnsi="inherit"/>
          <w:b/>
          <w:sz w:val="23"/>
        </w:rPr>
      </w:pPr>
      <w:r>
        <w:rPr>
          <w:rFonts w:ascii="inherit" w:hAnsi="inherit"/>
          <w:b/>
          <w:sz w:val="23"/>
        </w:rPr>
        <w:t>REGISTRATION STATEMENT UNDER</w:t>
      </w:r>
    </w:p>
    <w:p>
      <w:pPr>
        <w:pStyle w:val="TextBody"/>
        <w:spacing w:lineRule="auto" w:line="288" w:before="0" w:after="0"/>
        <w:jc w:val="center"/>
        <w:rPr>
          <w:rFonts w:ascii="inherit" w:hAnsi="inherit"/>
          <w:b/>
          <w:sz w:val="23"/>
        </w:rPr>
      </w:pPr>
      <w:r>
        <w:rPr>
          <w:rFonts w:ascii="inherit" w:hAnsi="inherit"/>
          <w:b/>
          <w:sz w:val="23"/>
        </w:rPr>
        <w:t>THE SECURITIES ACT OF 1933</w:t>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sz w:val="23"/>
        </w:rPr>
      </w:pPr>
      <w:r>
        <w:rPr>
          <w:rFonts w:ascii="inherit" w:hAnsi="inherit"/>
          <w:sz w:val="23"/>
        </w:rPr>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7974" w:type="dxa"/>
        <w:jc w:val="left"/>
        <w:tblInd w:w="0" w:type="dxa"/>
        <w:tblCellMar>
          <w:top w:w="0" w:type="dxa"/>
          <w:left w:w="0" w:type="dxa"/>
          <w:bottom w:w="0" w:type="dxa"/>
          <w:right w:w="0" w:type="dxa"/>
        </w:tblCellMar>
      </w:tblPr>
      <w:tblGrid>
        <w:gridCol w:w="3987"/>
        <w:gridCol w:w="3987"/>
      </w:tblGrid>
      <w:tr>
        <w:trPr/>
        <w:tc>
          <w:tcPr>
            <w:tcW w:w="7974" w:type="dxa"/>
            <w:gridSpan w:val="2"/>
            <w:tcBorders/>
            <w:shd w:fill="auto" w:val="clear"/>
            <w:vAlign w:val="center"/>
          </w:tcPr>
          <w:p>
            <w:pPr>
              <w:pStyle w:val="TableContents"/>
              <w:spacing w:before="0" w:after="283"/>
              <w:rPr>
                <w:sz w:val="4"/>
                <w:szCs w:val="4"/>
              </w:rPr>
            </w:pPr>
            <w:r>
              <w:rPr>
                <w:sz w:val="4"/>
                <w:szCs w:val="4"/>
              </w:rPr>
            </w:r>
          </w:p>
        </w:tc>
      </w:tr>
      <w:tr>
        <w:trPr/>
        <w:tc>
          <w:tcPr>
            <w:tcW w:w="3987" w:type="dxa"/>
            <w:tcBorders/>
            <w:shd w:fill="auto" w:val="clear"/>
            <w:vAlign w:val="center"/>
          </w:tcPr>
          <w:p>
            <w:pPr>
              <w:pStyle w:val="TableContents"/>
              <w:spacing w:before="0" w:after="283"/>
              <w:rPr>
                <w:sz w:val="4"/>
                <w:szCs w:val="4"/>
              </w:rPr>
            </w:pPr>
            <w:r>
              <w:rPr>
                <w:sz w:val="4"/>
                <w:szCs w:val="4"/>
              </w:rPr>
            </w:r>
          </w:p>
        </w:tc>
        <w:tc>
          <w:tcPr>
            <w:tcW w:w="39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jc w:val="center"/>
              <w:rPr>
                <w:rFonts w:ascii="inherit" w:hAnsi="inherit"/>
                <w:sz w:val="13"/>
              </w:rPr>
            </w:pPr>
            <w:r>
              <w:rPr>
                <w:rFonts w:ascii="inherit" w:hAnsi="inherit"/>
                <w:sz w:val="13"/>
              </w:rPr>
              <w:t xml:space="preserve">(State or other jurisdiction </w:t>
            </w:r>
          </w:p>
          <w:p>
            <w:pPr>
              <w:pStyle w:val="TableContents"/>
              <w:spacing w:before="0" w:after="0"/>
              <w:ind w:left="0" w:right="0" w:firstLine="30"/>
              <w:jc w:val="center"/>
              <w:rPr>
                <w:rFonts w:ascii="inherit" w:hAnsi="inherit"/>
                <w:sz w:val="13"/>
              </w:rPr>
            </w:pPr>
            <w:r>
              <w:rPr>
                <w:rFonts w:ascii="inherit" w:hAnsi="inherit"/>
                <w:sz w:val="13"/>
              </w:rPr>
              <w:t>of incorporation or organization)</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74-2540145</w:t>
            </w:r>
          </w:p>
          <w:p>
            <w:pPr>
              <w:pStyle w:val="TableContents"/>
              <w:spacing w:before="0" w:after="0"/>
              <w:jc w:val="center"/>
              <w:rPr/>
            </w:pPr>
            <w:r>
              <w:rPr/>
              <w:t> </w:t>
            </w:r>
            <w:r>
              <w:rPr>
                <w:rFonts w:ascii="inherit" w:hAnsi="inherit"/>
                <w:sz w:val="13"/>
              </w:rPr>
              <w:t>(I.R.S. Employer</w:t>
            </w:r>
          </w:p>
          <w:p>
            <w:pPr>
              <w:pStyle w:val="TableContents"/>
              <w:spacing w:before="0" w:after="0"/>
              <w:ind w:left="0" w:right="0" w:firstLine="30"/>
              <w:jc w:val="center"/>
              <w:rPr>
                <w:rFonts w:ascii="inherit" w:hAnsi="inherit"/>
                <w:sz w:val="13"/>
              </w:rPr>
            </w:pPr>
            <w:r>
              <w:rPr>
                <w:rFonts w:ascii="inherit" w:hAnsi="inherit"/>
                <w:sz w:val="13"/>
              </w:rPr>
              <w:t>Identification Number)</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7974" w:type="dxa"/>
            <w:gridSpan w:val="2"/>
            <w:tcBorders/>
            <w:shd w:fill="auto" w:val="clear"/>
            <w:vAlign w:val="center"/>
          </w:tcPr>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jc w:val="center"/>
              <w:rPr>
                <w:rFonts w:ascii="inherit" w:hAnsi="inherit"/>
                <w:b/>
                <w:sz w:val="13"/>
              </w:rPr>
            </w:pPr>
            <w:r>
              <w:rPr>
                <w:rFonts w:ascii="inherit" w:hAnsi="inherit"/>
                <w:b/>
                <w:sz w:val="13"/>
              </w:rPr>
              <w:t>Austin, Texas 78746</w:t>
            </w:r>
          </w:p>
          <w:p>
            <w:pPr>
              <w:pStyle w:val="TableContents"/>
              <w:spacing w:before="0" w:after="0"/>
              <w:jc w:val="center"/>
              <w:rPr>
                <w:rFonts w:ascii="inherit" w:hAnsi="inherit"/>
                <w:b/>
                <w:sz w:val="13"/>
              </w:rPr>
            </w:pPr>
            <w:r>
              <w:rPr>
                <w:rFonts w:ascii="inherit" w:hAnsi="inherit"/>
                <w:b/>
                <w:sz w:val="13"/>
              </w:rPr>
              <w:t>(512) 314-3400</w:t>
            </w:r>
          </w:p>
          <w:p>
            <w:pPr>
              <w:pStyle w:val="TableContents"/>
              <w:spacing w:before="0" w:after="0"/>
              <w:jc w:val="center"/>
              <w:rPr/>
            </w:pPr>
            <w:r>
              <w:rPr/>
              <w:t> </w:t>
            </w:r>
            <w:r>
              <w:rPr>
                <w:rFonts w:ascii="inherit" w:hAnsi="inherit"/>
                <w:sz w:val="13"/>
              </w:rPr>
              <w:t xml:space="preserve">(Address, including zip code, and telephone number, including area code, </w:t>
            </w:r>
          </w:p>
          <w:p>
            <w:pPr>
              <w:pStyle w:val="TableContents"/>
              <w:spacing w:before="0" w:after="0"/>
              <w:ind w:left="0" w:right="0" w:firstLine="30"/>
              <w:jc w:val="center"/>
              <w:rPr>
                <w:rFonts w:ascii="inherit" w:hAnsi="inherit"/>
                <w:sz w:val="13"/>
              </w:rPr>
            </w:pPr>
            <w:r>
              <w:rPr>
                <w:rFonts w:ascii="inherit" w:hAnsi="inherit"/>
                <w:sz w:val="13"/>
              </w:rPr>
              <w:t>of registrant’s principal executive offices)</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sz w:val="13"/>
              </w:rPr>
            </w:pPr>
            <w:r>
              <w:rPr>
                <w:rFonts w:ascii="inherit" w:hAnsi="inherit"/>
                <w:sz w:val="13"/>
              </w:rPr>
              <w:t>Name, address, including zip code, and telephone</w:t>
            </w:r>
          </w:p>
          <w:p>
            <w:pPr>
              <w:pStyle w:val="TableContents"/>
              <w:spacing w:before="0" w:after="0"/>
              <w:ind w:left="0" w:right="0" w:firstLine="30"/>
              <w:jc w:val="center"/>
              <w:rPr>
                <w:rFonts w:ascii="inherit" w:hAnsi="inherit"/>
                <w:sz w:val="13"/>
              </w:rPr>
            </w:pPr>
            <w:r>
              <w:rPr>
                <w:rFonts w:ascii="inherit" w:hAnsi="inherit"/>
                <w:sz w:val="13"/>
              </w:rPr>
              <w:t>number, including area code, of agent for service:</w:t>
            </w:r>
          </w:p>
        </w:tc>
        <w:tc>
          <w:tcPr>
            <w:tcW w:w="3987"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Copy of communications to:</w:t>
            </w:r>
          </w:p>
        </w:tc>
      </w:tr>
      <w:tr>
        <w:trPr/>
        <w:tc>
          <w:tcPr>
            <w:tcW w:w="3987" w:type="dxa"/>
            <w:tcBorders/>
            <w:shd w:fill="auto" w:val="clear"/>
            <w:vAlign w:val="center"/>
          </w:tcPr>
          <w:p>
            <w:pPr>
              <w:pStyle w:val="TableContents"/>
              <w:spacing w:before="0" w:after="0"/>
              <w:ind w:left="0" w:right="0" w:firstLine="30"/>
              <w:rPr/>
            </w:pPr>
            <w:r>
              <w:rPr/>
              <w:t> </w:t>
            </w:r>
          </w:p>
        </w:tc>
        <w:tc>
          <w:tcPr>
            <w:tcW w:w="3987" w:type="dxa"/>
            <w:tcBorders/>
            <w:shd w:fill="auto" w:val="clear"/>
            <w:vAlign w:val="center"/>
          </w:tcPr>
          <w:p>
            <w:pPr>
              <w:pStyle w:val="TableContents"/>
              <w:spacing w:before="0" w:after="0"/>
              <w:ind w:left="0" w:right="0" w:firstLine="30"/>
              <w:rPr/>
            </w:pPr>
            <w:r>
              <w:rPr/>
              <w:t> </w:t>
            </w:r>
          </w:p>
        </w:tc>
      </w:tr>
      <w:tr>
        <w:trPr/>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Thomas H. Welch, Jr.</w:t>
            </w:r>
          </w:p>
          <w:p>
            <w:pPr>
              <w:pStyle w:val="TableContents"/>
              <w:spacing w:before="0" w:after="0"/>
              <w:jc w:val="center"/>
              <w:rPr>
                <w:rFonts w:ascii="inherit" w:hAnsi="inherit"/>
                <w:b/>
                <w:sz w:val="13"/>
              </w:rPr>
            </w:pPr>
            <w:r>
              <w:rPr>
                <w:rFonts w:ascii="inherit" w:hAnsi="inherit"/>
                <w:b/>
                <w:sz w:val="13"/>
              </w:rPr>
              <w:t>Senior Vice President, General Counsel and Secretary</w:t>
            </w:r>
          </w:p>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1901 Capital Parkway</w:t>
            </w:r>
          </w:p>
          <w:p>
            <w:pPr>
              <w:pStyle w:val="TableContents"/>
              <w:spacing w:before="0" w:after="0"/>
              <w:ind w:left="0" w:right="0" w:firstLine="30"/>
              <w:jc w:val="center"/>
              <w:rPr>
                <w:rFonts w:ascii="inherit" w:hAnsi="inherit"/>
                <w:b/>
                <w:sz w:val="13"/>
              </w:rPr>
            </w:pPr>
            <w:r>
              <w:rPr>
                <w:rFonts w:ascii="inherit" w:hAnsi="inherit"/>
                <w:b/>
                <w:sz w:val="13"/>
              </w:rPr>
              <w:t xml:space="preserve">Austin, Texas 78746 </w:t>
              <w:br/>
              <w:t>(512) 314-3400</w:t>
            </w:r>
          </w:p>
        </w:tc>
        <w:tc>
          <w:tcPr>
            <w:tcW w:w="3987" w:type="dxa"/>
            <w:tcBorders/>
            <w:shd w:fill="auto" w:val="clear"/>
            <w:vAlign w:val="center"/>
          </w:tcPr>
          <w:p>
            <w:pPr>
              <w:pStyle w:val="TableContents"/>
              <w:spacing w:before="0" w:after="0"/>
              <w:jc w:val="center"/>
              <w:rPr>
                <w:rFonts w:ascii="inherit" w:hAnsi="inherit"/>
                <w:b/>
                <w:sz w:val="13"/>
              </w:rPr>
            </w:pPr>
            <w:r>
              <w:rPr>
                <w:rFonts w:ascii="inherit" w:hAnsi="inherit"/>
                <w:b/>
                <w:sz w:val="13"/>
              </w:rPr>
              <w:t>Christine A. Hathaway</w:t>
            </w:r>
          </w:p>
          <w:p>
            <w:pPr>
              <w:pStyle w:val="TableContents"/>
              <w:spacing w:before="0" w:after="0"/>
              <w:jc w:val="center"/>
              <w:rPr>
                <w:rFonts w:ascii="inherit" w:hAnsi="inherit"/>
                <w:b/>
                <w:sz w:val="13"/>
              </w:rPr>
            </w:pPr>
            <w:r>
              <w:rPr>
                <w:rFonts w:ascii="inherit" w:hAnsi="inherit"/>
                <w:b/>
                <w:sz w:val="13"/>
              </w:rPr>
              <w:t>Vinson &amp; Elkins L.L.P.</w:t>
            </w:r>
          </w:p>
          <w:p>
            <w:pPr>
              <w:pStyle w:val="TableContents"/>
              <w:spacing w:before="0" w:after="0"/>
              <w:jc w:val="center"/>
              <w:rPr>
                <w:rFonts w:ascii="inherit" w:hAnsi="inherit"/>
                <w:b/>
                <w:sz w:val="13"/>
              </w:rPr>
            </w:pPr>
            <w:r>
              <w:rPr>
                <w:rFonts w:ascii="inherit" w:hAnsi="inherit"/>
                <w:b/>
                <w:sz w:val="13"/>
              </w:rPr>
              <w:t>2001 Ross Avenue, Suite 3700</w:t>
            </w:r>
          </w:p>
          <w:p>
            <w:pPr>
              <w:pStyle w:val="TableContents"/>
              <w:spacing w:before="0" w:after="0"/>
              <w:jc w:val="center"/>
              <w:rPr>
                <w:rFonts w:ascii="inherit" w:hAnsi="inherit"/>
                <w:b/>
                <w:sz w:val="13"/>
              </w:rPr>
            </w:pPr>
            <w:r>
              <w:rPr>
                <w:rFonts w:ascii="inherit" w:hAnsi="inherit"/>
                <w:b/>
                <w:sz w:val="13"/>
              </w:rPr>
              <w:t>Dallas, Texas 75201-2975</w:t>
            </w:r>
          </w:p>
          <w:p>
            <w:pPr>
              <w:pStyle w:val="TableContents"/>
              <w:spacing w:before="0" w:after="0"/>
              <w:jc w:val="center"/>
              <w:rPr>
                <w:rFonts w:ascii="inherit" w:hAnsi="inherit"/>
                <w:b/>
                <w:sz w:val="13"/>
              </w:rPr>
            </w:pPr>
            <w:r>
              <w:rPr>
                <w:rFonts w:ascii="inherit" w:hAnsi="inherit"/>
                <w:b/>
                <w:sz w:val="13"/>
              </w:rPr>
              <w:t>214-220-7700</w:t>
            </w:r>
          </w:p>
          <w:p>
            <w:pPr>
              <w:pStyle w:val="TableContents"/>
              <w:spacing w:before="0" w:after="0"/>
              <w:jc w:val="center"/>
              <w:rPr>
                <w:rFonts w:ascii="inherit" w:hAnsi="inherit"/>
                <w:sz w:val="13"/>
              </w:rPr>
            </w:pPr>
            <w:r>
              <w:rPr>
                <w:rFonts w:ascii="inherit" w:hAnsi="inherit"/>
                <w:sz w:val="13"/>
              </w:rPr>
            </w:r>
          </w:p>
        </w:tc>
      </w:tr>
    </w:tbl>
    <w:p>
      <w:pPr>
        <w:pStyle w:val="TextBody"/>
        <w:spacing w:lineRule="auto" w:line="288" w:before="0" w:after="0"/>
        <w:jc w:val="left"/>
        <w:rPr>
          <w:rFonts w:ascii="inherit" w:hAnsi="inherit"/>
          <w:sz w:val="13"/>
        </w:rPr>
      </w:pPr>
      <w:r>
        <w:rPr>
          <w:rFonts w:ascii="inherit" w:hAnsi="inherit"/>
          <w:sz w:val="13"/>
        </w:rPr>
      </w:r>
    </w:p>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left"/>
        <w:rPr>
          <w:rFonts w:ascii="inherit" w:hAnsi="inherit"/>
          <w:sz w:val="13"/>
        </w:rPr>
      </w:pPr>
      <w:r>
        <w:rPr>
          <w:rFonts w:ascii="inherit" w:hAnsi="inherit"/>
          <w:sz w:val="13"/>
        </w:rPr>
      </w:r>
    </w:p>
    <w:p>
      <w:pPr>
        <w:pStyle w:val="TextBody"/>
        <w:spacing w:lineRule="auto" w:line="288" w:before="0" w:after="0"/>
        <w:ind w:left="0" w:right="0" w:firstLine="495"/>
        <w:jc w:val="left"/>
        <w:rPr>
          <w:sz w:val="17"/>
        </w:rPr>
      </w:pPr>
      <w:r>
        <w:rPr>
          <w:rFonts w:ascii="inherit" w:hAnsi="inherit"/>
          <w:b/>
          <w:sz w:val="17"/>
        </w:rPr>
        <w:t>Approximate date of commencement of proposed sale to the public</w:t>
      </w:r>
      <w:r>
        <w:rPr>
          <w:rFonts w:ascii="inherit" w:hAnsi="inherit"/>
          <w:sz w:val="17"/>
        </w:rPr>
        <w:t>: Not applicable. Removal from registration of securities that were not sold pursuant to this registration statement.</w:t>
      </w:r>
    </w:p>
    <w:p>
      <w:pPr>
        <w:pStyle w:val="TextBody"/>
        <w:spacing w:lineRule="auto" w:line="288" w:before="0" w:after="0"/>
        <w:jc w:val="left"/>
        <w:rPr>
          <w:sz w:val="17"/>
        </w:rPr>
      </w:pPr>
      <w:r>
        <w:rPr>
          <w:rFonts w:ascii="inherit" w:hAnsi="inherit"/>
          <w:sz w:val="17"/>
        </w:rPr>
        <w:t xml:space="preserve">If the only securities being registered on this form are being offered pursuant to dividend or interest reinvestment plans, please check the following box. </w:t>
      </w:r>
      <w:r>
        <w:rPr>
          <w:rFonts w:ascii="Wingdings" w:hAnsi="Wingdings"/>
          <w:sz w:val="17"/>
        </w:rPr>
        <w:t>o</w:t>
      </w:r>
    </w:p>
    <w:p>
      <w:pPr>
        <w:pStyle w:val="TextBody"/>
        <w:spacing w:before="0" w:after="0"/>
        <w:rPr/>
      </w:pPr>
      <w:r>
        <w:rPr/>
      </w:r>
    </w:p>
    <w:p>
      <w:pPr>
        <w:pStyle w:val="TextBody"/>
        <w:spacing w:lineRule="auto" w:line="288" w:before="0" w:after="0"/>
        <w:ind w:left="0" w:right="0" w:firstLine="450"/>
        <w:jc w:val="left"/>
        <w:rPr>
          <w:rFonts w:ascii="inherit" w:hAnsi="inherit"/>
          <w:sz w:val="15"/>
        </w:rPr>
      </w:pPr>
      <w:r>
        <w:rPr>
          <w:rFonts w:ascii="inherit" w:hAnsi="inherit"/>
          <w:sz w:val="15"/>
        </w:rPr>
        <w:t>US 2104462v.9</w:t>
      </w:r>
    </w:p>
    <w:p>
      <w:pPr>
        <w:pStyle w:val="TextBody"/>
        <w:spacing w:lineRule="auto" w:line="288"/>
        <w:rPr>
          <w:rFonts w:ascii="inherit" w:hAnsi="inherit"/>
          <w:sz w:val="17"/>
        </w:rPr>
      </w:pPr>
      <w:r>
        <w:rPr>
          <w:rFonts w:ascii="inherit" w:hAnsi="inherit"/>
          <w:sz w:val="17"/>
        </w:rPr>
      </w:r>
      <w:r>
        <w:br w:type="page"/>
      </w:r>
    </w:p>
    <w:p>
      <w:pPr>
        <w:pStyle w:val="TextBody"/>
        <w:spacing w:before="0" w:after="0"/>
        <w:rPr/>
      </w:pPr>
      <w:r>
        <w:rPr/>
      </w:r>
      <w:bookmarkStart w:id="3" w:name="se0f29d80b087476e94fd9b20a195084a1"/>
      <w:bookmarkStart w:id="4" w:name="se0f29d80b087476e94fd9b20a195084a1"/>
      <w:bookmarkEnd w:id="4"/>
    </w:p>
    <w:p>
      <w:pPr>
        <w:pStyle w:val="TextBody"/>
        <w:spacing w:lineRule="auto" w:line="288" w:before="0" w:after="0"/>
        <w:jc w:val="left"/>
        <w:rPr>
          <w:sz w:val="17"/>
        </w:rPr>
      </w:pPr>
      <w:r>
        <w:rPr>
          <w:rFonts w:ascii="inherit" w:hAnsi="inherit"/>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Wingdings" w:hAnsi="Wingdings"/>
          <w:sz w:val="17"/>
        </w:rPr>
        <w:t>o</w:t>
      </w:r>
    </w:p>
    <w:p>
      <w:pPr>
        <w:pStyle w:val="TextBody"/>
        <w:spacing w:lineRule="auto" w:line="288" w:before="0" w:after="0"/>
        <w:jc w:val="left"/>
        <w:rPr>
          <w:sz w:val="17"/>
        </w:rPr>
      </w:pPr>
      <w:r>
        <w:rPr>
          <w:rFonts w:ascii="inherit" w:hAnsi="inherit"/>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Wingdings" w:hAnsi="Wingdings"/>
          <w:sz w:val="13"/>
        </w:rPr>
        <w:t>x</w:t>
      </w:r>
      <w:r>
        <w:rPr>
          <w:sz w:val="17"/>
        </w:rPr>
        <w:t xml:space="preserve"> </w:t>
      </w:r>
    </w:p>
    <w:p>
      <w:pPr>
        <w:pStyle w:val="TextBody"/>
        <w:spacing w:lineRule="auto" w:line="288" w:before="0" w:after="0"/>
        <w:jc w:val="left"/>
        <w:rPr>
          <w:sz w:val="17"/>
        </w:rPr>
      </w:pPr>
      <w:r>
        <w:rPr>
          <w:rFonts w:ascii="inherit" w:hAnsi="inherit"/>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7"/>
        </w:rPr>
        <w:t>o</w:t>
      </w:r>
    </w:p>
    <w:p>
      <w:pPr>
        <w:pStyle w:val="TextBody"/>
        <w:spacing w:lineRule="auto" w:line="288" w:before="0" w:after="0"/>
        <w:jc w:val="left"/>
        <w:rPr>
          <w:rFonts w:ascii="inherit" w:hAnsi="inherit"/>
          <w:sz w:val="17"/>
        </w:rPr>
      </w:pPr>
      <w:r>
        <w:rPr>
          <w:rFonts w:ascii="inherit" w:hAnsi="inherit"/>
          <w:sz w:val="17"/>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spacing w:lineRule="auto" w:line="288" w:before="0" w:after="0"/>
        <w:jc w:val="left"/>
        <w:rPr>
          <w:sz w:val="13"/>
        </w:rPr>
      </w:pPr>
      <w:r>
        <w:rPr>
          <w:rFonts w:ascii="inherit" w:hAnsi="inherit"/>
          <w:sz w:val="13"/>
        </w:rPr>
        <w:t>Large accelerated filer    </w:t>
      </w:r>
      <w:r>
        <w:rPr>
          <w:rFonts w:ascii="Wingdings" w:hAnsi="Wingdings"/>
          <w:sz w:val="13"/>
        </w:rPr>
        <w:t>x</w:t>
      </w:r>
      <w:r>
        <w:rPr>
          <w:sz w:val="13"/>
        </w:rPr>
        <w:t>    </w:t>
      </w:r>
      <w:r>
        <w:rPr>
          <w:rFonts w:ascii="inherit" w:hAnsi="inherit"/>
          <w:sz w:val="13"/>
        </w:rPr>
        <w:t>Accelerated filer    </w:t>
      </w:r>
      <w:r>
        <w:rPr>
          <w:rFonts w:ascii="Wingdings" w:hAnsi="Wingdings"/>
          <w:sz w:val="13"/>
        </w:rPr>
        <w:t>o</w:t>
      </w:r>
      <w:r>
        <w:rPr>
          <w:sz w:val="13"/>
        </w:rPr>
        <w:t>    </w:t>
      </w:r>
      <w:r>
        <w:rPr>
          <w:rFonts w:ascii="inherit" w:hAnsi="inherit"/>
          <w:sz w:val="13"/>
        </w:rPr>
        <w:t>Non-accelerated filer    </w:t>
      </w:r>
      <w:r>
        <w:rPr>
          <w:rFonts w:ascii="Wingdings" w:hAnsi="Wingdings"/>
          <w:sz w:val="13"/>
        </w:rPr>
        <w:t>o</w:t>
      </w:r>
      <w:r>
        <w:rPr>
          <w:sz w:val="13"/>
        </w:rPr>
        <w:t>    </w:t>
      </w:r>
      <w:r>
        <w:rPr>
          <w:rFonts w:ascii="inherit" w:hAnsi="inherit"/>
          <w:sz w:val="13"/>
        </w:rPr>
        <w:t>Smaller reporting company    </w:t>
      </w:r>
      <w:r>
        <w:rPr>
          <w:rFonts w:ascii="Wingdings" w:hAnsi="Wingdings"/>
          <w:sz w:val="13"/>
        </w:rPr>
        <w:t>o</w:t>
      </w:r>
    </w:p>
    <w:p>
      <w:pPr>
        <w:pStyle w:val="TextBody"/>
        <w:spacing w:lineRule="auto" w:line="288" w:before="0" w:after="0"/>
        <w:ind w:left="0" w:right="0" w:firstLine="4080"/>
        <w:jc w:val="left"/>
        <w:rPr>
          <w:rFonts w:ascii="inherit" w:hAnsi="inherit"/>
          <w:sz w:val="12"/>
        </w:rPr>
      </w:pPr>
      <w:r>
        <w:rPr>
          <w:rFonts w:ascii="inherit" w:hAnsi="inherit"/>
          <w:sz w:val="12"/>
        </w:rPr>
        <w:t>(Do not check if a smaller reporting company)</w:t>
      </w:r>
    </w:p>
    <w:p>
      <w:pPr>
        <w:pStyle w:val="TextBody"/>
        <w:spacing w:lineRule="auto" w:line="288" w:before="0" w:after="0"/>
        <w:jc w:val="left"/>
        <w:rPr>
          <w:rFonts w:ascii="inherit" w:hAnsi="inherit"/>
          <w:sz w:val="12"/>
        </w:rPr>
      </w:pPr>
      <w:r>
        <w:rPr>
          <w:rFonts w:ascii="inherit" w:hAnsi="inherit"/>
          <w:sz w:val="12"/>
        </w:rPr>
      </w:r>
    </w:p>
    <w:p>
      <w:pPr>
        <w:pStyle w:val="TextBody"/>
        <w:spacing w:lineRule="auto" w:line="288" w:before="0" w:after="0"/>
        <w:jc w:val="center"/>
        <w:rPr>
          <w:rFonts w:ascii="inherit" w:hAnsi="inherit"/>
          <w:b/>
          <w:sz w:val="13"/>
        </w:rPr>
      </w:pPr>
      <w:r>
        <w:rPr>
          <w:rFonts w:ascii="inherit" w:hAnsi="inherit"/>
          <w:b/>
          <w:sz w:val="13"/>
        </w:rPr>
        <w:t>TABLE OF ADDITIONAL REGISTRANTS</w:t>
      </w:r>
    </w:p>
    <w:tbl>
      <w:tblPr>
        <w:tblW w:w="9073" w:type="dxa"/>
        <w:jc w:val="center"/>
        <w:tblInd w:w="0" w:type="dxa"/>
        <w:tblCellMar>
          <w:top w:w="0" w:type="dxa"/>
          <w:left w:w="0" w:type="dxa"/>
          <w:bottom w:w="0" w:type="dxa"/>
          <w:right w:w="0" w:type="dxa"/>
        </w:tblCellMar>
      </w:tblPr>
      <w:tblGrid>
        <w:gridCol w:w="2541"/>
        <w:gridCol w:w="2632"/>
        <w:gridCol w:w="90"/>
        <w:gridCol w:w="1815"/>
        <w:gridCol w:w="90"/>
        <w:gridCol w:w="1905"/>
      </w:tblGrid>
      <w:tr>
        <w:trPr/>
        <w:tc>
          <w:tcPr>
            <w:tcW w:w="9073" w:type="dxa"/>
            <w:gridSpan w:val="6"/>
            <w:tcBorders/>
            <w:shd w:fill="auto" w:val="clear"/>
            <w:vAlign w:val="center"/>
          </w:tcPr>
          <w:p>
            <w:pPr>
              <w:pStyle w:val="TableContents"/>
              <w:spacing w:before="0" w:after="283"/>
              <w:rPr>
                <w:sz w:val="4"/>
                <w:szCs w:val="4"/>
              </w:rPr>
            </w:pPr>
            <w:r>
              <w:rPr>
                <w:sz w:val="4"/>
                <w:szCs w:val="4"/>
              </w:rPr>
            </w:r>
          </w:p>
        </w:tc>
      </w:tr>
      <w:tr>
        <w:trPr/>
        <w:tc>
          <w:tcPr>
            <w:tcW w:w="2541" w:type="dxa"/>
            <w:tcBorders/>
            <w:shd w:fill="auto" w:val="clear"/>
            <w:vAlign w:val="center"/>
          </w:tcPr>
          <w:p>
            <w:pPr>
              <w:pStyle w:val="TableContents"/>
              <w:spacing w:before="0" w:after="283"/>
              <w:rPr>
                <w:sz w:val="4"/>
                <w:szCs w:val="4"/>
              </w:rPr>
            </w:pPr>
            <w:r>
              <w:rPr>
                <w:sz w:val="4"/>
                <w:szCs w:val="4"/>
              </w:rPr>
            </w:r>
          </w:p>
        </w:tc>
        <w:tc>
          <w:tcPr>
            <w:tcW w:w="26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73" w:type="dxa"/>
            <w:gridSpan w:val="2"/>
            <w:tcBorders>
              <w:bottom w:val="single" w:sz="2" w:space="0" w:color="000000"/>
            </w:tcBorders>
            <w:shd w:fill="auto" w:val="clear"/>
            <w:tcMar>
              <w:bottom w:w="30" w:type="dxa"/>
            </w:tcMar>
            <w:vAlign w:val="center"/>
          </w:tcPr>
          <w:p>
            <w:pPr>
              <w:pStyle w:val="TableContents"/>
              <w:spacing w:lineRule="auto" w:line="288" w:before="0" w:after="0"/>
              <w:ind w:left="0" w:right="0" w:firstLine="30"/>
              <w:jc w:val="both"/>
              <w:rPr>
                <w:sz w:val="13"/>
              </w:rPr>
            </w:pPr>
            <w:r>
              <w:rPr>
                <w:rFonts w:ascii="inherit" w:hAnsi="inherit"/>
                <w:b/>
                <w:sz w:val="13"/>
              </w:rPr>
              <w:t xml:space="preserve">Exact Name of Subsidiary Guarantor </w:t>
            </w:r>
            <w:r>
              <w:rPr>
                <w:rFonts w:ascii="inherit" w:hAnsi="inherit"/>
                <w:b/>
                <w:sz w:val="8"/>
              </w:rPr>
              <w:t>(1)</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15"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State or </w:t>
              <w:br/>
              <w:t xml:space="preserve">Other </w:t>
              <w:br/>
              <w:t xml:space="preserve">Jurisdiction </w:t>
              <w:br/>
              <w:t xml:space="preserve">of </w:t>
              <w:br/>
              <w:t xml:space="preserve">Incorporation </w:t>
              <w:br/>
              <w:t>or Formation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905"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IRS Employer </w:t>
              <w:br/>
              <w:t xml:space="preserve">Identification </w:t>
              <w:br/>
              <w:t>Number</w:t>
            </w:r>
          </w:p>
        </w:tc>
      </w:tr>
      <w:tr>
        <w:trPr/>
        <w:tc>
          <w:tcPr>
            <w:tcW w:w="5173" w:type="dxa"/>
            <w:gridSpan w:val="2"/>
            <w:tcBorders>
              <w:top w:val="single" w:sz="2" w:space="0" w:color="000000"/>
            </w:tcBorders>
            <w:shd w:fill="auto" w:val="clear"/>
            <w:tcMar>
              <w:top w:w="30" w:type="dxa"/>
            </w:tcMar>
            <w:vAlign w:val="center"/>
          </w:tcPr>
          <w:p>
            <w:pPr>
              <w:pStyle w:val="TableContents"/>
              <w:spacing w:before="0" w:after="0"/>
              <w:ind w:left="0" w:right="0" w:firstLine="30"/>
              <w:jc w:val="both"/>
              <w:rPr>
                <w:rFonts w:ascii="inherit" w:hAnsi="inherit"/>
                <w:sz w:val="13"/>
              </w:rPr>
            </w:pPr>
            <w:r>
              <w:rPr>
                <w:rFonts w:ascii="inherit" w:hAnsi="inherit"/>
                <w:sz w:val="13"/>
              </w:rPr>
              <w:t>CCV Americas, LLC</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15"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905" w:type="dxa"/>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sz w:val="13"/>
              </w:rPr>
            </w:pPr>
            <w:r>
              <w:rPr>
                <w:rFonts w:ascii="inherit" w:hAnsi="inherit"/>
                <w:sz w:val="13"/>
              </w:rPr>
              <w:t>45-3060905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CCV Pennsylvania,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45-3061766</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CCV Virginia,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45-3061077</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Change Capital,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45-2779029</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Change Capital Investments, LLC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45-2779146</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Change Capital Ventures, LLC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45-2779099</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EZCORP International,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24-2874123</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EZCORP International Holdings, LLC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45-1858861</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EZCORP Online,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27-1931262</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EZCORP USA,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jc w:val="center"/>
              <w:rPr>
                <w:rFonts w:ascii="inherit" w:hAnsi="inherit"/>
                <w:sz w:val="13"/>
              </w:rPr>
            </w:pPr>
            <w:r>
              <w:rPr>
                <w:rFonts w:ascii="inherit" w:hAnsi="inherit"/>
                <w:sz w:val="13"/>
              </w:rPr>
              <w:t>45-4364096</w:t>
            </w:r>
          </w:p>
        </w:tc>
      </w:tr>
    </w:tbl>
    <w:p>
      <w:pPr>
        <w:pStyle w:val="TextBody"/>
        <w:rPr/>
      </w:pPr>
      <w:r>
        <w:rPr/>
      </w:r>
      <w:r>
        <w:br w:type="page"/>
      </w:r>
    </w:p>
    <w:p>
      <w:pPr>
        <w:pStyle w:val="TextBody"/>
        <w:spacing w:before="0" w:after="0"/>
        <w:rPr/>
      </w:pPr>
      <w:r>
        <w:rPr/>
      </w:r>
      <w:bookmarkStart w:id="5" w:name="se0f29d80b087476e94fd9b20a195084a2"/>
      <w:bookmarkStart w:id="6" w:name="se0f29d80b087476e94fd9b20a195084a2"/>
      <w:bookmarkEnd w:id="6"/>
    </w:p>
    <w:tbl>
      <w:tblPr>
        <w:tblW w:w="9073" w:type="dxa"/>
        <w:jc w:val="center"/>
        <w:tblInd w:w="0" w:type="dxa"/>
        <w:tblCellMar>
          <w:top w:w="0" w:type="dxa"/>
          <w:left w:w="0" w:type="dxa"/>
          <w:bottom w:w="0" w:type="dxa"/>
          <w:right w:w="0" w:type="dxa"/>
        </w:tblCellMar>
      </w:tblPr>
      <w:tblGrid>
        <w:gridCol w:w="2541"/>
        <w:gridCol w:w="2632"/>
        <w:gridCol w:w="90"/>
        <w:gridCol w:w="1815"/>
        <w:gridCol w:w="90"/>
        <w:gridCol w:w="1905"/>
      </w:tblGrid>
      <w:tr>
        <w:trPr/>
        <w:tc>
          <w:tcPr>
            <w:tcW w:w="9073" w:type="dxa"/>
            <w:gridSpan w:val="6"/>
            <w:tcBorders/>
            <w:shd w:fill="auto" w:val="clear"/>
            <w:vAlign w:val="center"/>
          </w:tcPr>
          <w:p>
            <w:pPr>
              <w:pStyle w:val="TableContents"/>
              <w:spacing w:before="0" w:after="283"/>
              <w:rPr>
                <w:sz w:val="4"/>
                <w:szCs w:val="4"/>
              </w:rPr>
            </w:pPr>
            <w:r>
              <w:rPr>
                <w:sz w:val="4"/>
                <w:szCs w:val="4"/>
              </w:rPr>
            </w:r>
          </w:p>
        </w:tc>
      </w:tr>
      <w:tr>
        <w:trPr/>
        <w:tc>
          <w:tcPr>
            <w:tcW w:w="2541" w:type="dxa"/>
            <w:tcBorders/>
            <w:shd w:fill="auto" w:val="clear"/>
            <w:vAlign w:val="center"/>
          </w:tcPr>
          <w:p>
            <w:pPr>
              <w:pStyle w:val="TableContents"/>
              <w:spacing w:before="0" w:after="283"/>
              <w:rPr>
                <w:sz w:val="4"/>
                <w:szCs w:val="4"/>
              </w:rPr>
            </w:pPr>
            <w:r>
              <w:rPr>
                <w:sz w:val="4"/>
                <w:szCs w:val="4"/>
              </w:rPr>
            </w:r>
          </w:p>
        </w:tc>
        <w:tc>
          <w:tcPr>
            <w:tcW w:w="26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73" w:type="dxa"/>
            <w:gridSpan w:val="2"/>
            <w:tcBorders>
              <w:bottom w:val="single" w:sz="2" w:space="0" w:color="000000"/>
            </w:tcBorders>
            <w:shd w:fill="auto" w:val="clear"/>
            <w:tcMar>
              <w:bottom w:w="30" w:type="dxa"/>
            </w:tcMar>
            <w:vAlign w:val="center"/>
          </w:tcPr>
          <w:p>
            <w:pPr>
              <w:pStyle w:val="TableContents"/>
              <w:spacing w:lineRule="auto" w:line="288" w:before="0" w:after="0"/>
              <w:ind w:left="0" w:right="0" w:firstLine="30"/>
              <w:jc w:val="both"/>
              <w:rPr>
                <w:sz w:val="13"/>
              </w:rPr>
            </w:pPr>
            <w:r>
              <w:rPr>
                <w:rFonts w:ascii="inherit" w:hAnsi="inherit"/>
                <w:b/>
                <w:sz w:val="13"/>
              </w:rPr>
              <w:t xml:space="preserve">Exact Name of Subsidiary Guarantor </w:t>
            </w:r>
            <w:r>
              <w:rPr>
                <w:rFonts w:ascii="inherit" w:hAnsi="inherit"/>
                <w:b/>
                <w:sz w:val="8"/>
              </w:rPr>
              <w:t>(1)</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815"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State or </w:t>
              <w:br/>
              <w:t xml:space="preserve">Other </w:t>
              <w:br/>
              <w:t xml:space="preserve">Jurisdiction </w:t>
              <w:br/>
              <w:t xml:space="preserve">of </w:t>
              <w:br/>
              <w:t xml:space="preserve">Incorporation </w:t>
              <w:br/>
              <w:t>or Formation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905"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IRS Employer </w:t>
              <w:br/>
              <w:t xml:space="preserve">Identification </w:t>
              <w:br/>
              <w:t>Number</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Alabama,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26-1412933</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Canada,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26-0205820</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Colorado,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20-2531048</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Hawaii,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45-3829074</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Holdings,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74-2672902</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Idaho,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20-5437995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Kansas,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20-5862455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Management,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74-2655625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Missouri,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26-0205892</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Nebraska,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20-5438085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South Dakota,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20-5862426</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Utah,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20-3896254</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EZMONEY Wisconsin,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20-3415652</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Alabama,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74-2643349</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Arkansas,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74-2629548</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Colorado,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74-2629549</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Florida,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74-2655620</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Georgia,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38-3804397</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Holdings,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74-2540146</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Illinois,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27-2407645</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Indiana,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74-2655624</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Iowa,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84-0752900</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Louisiana,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74-2704187</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Mexico Holdings, LLC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20-5414044</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Mexico Ltd., LLC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20-5413942</w:t>
            </w:r>
          </w:p>
        </w:tc>
      </w:tr>
      <w:tr>
        <w:trPr/>
        <w:tc>
          <w:tcPr>
            <w:tcW w:w="5173"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Nevada, Inc.</w:t>
            </w:r>
          </w:p>
        </w:tc>
        <w:tc>
          <w:tcPr>
            <w:tcW w:w="90" w:type="dxa"/>
            <w:tcBorders/>
            <w:shd w:fill="auto" w:val="clear"/>
            <w:vAlign w:val="center"/>
          </w:tcPr>
          <w:p>
            <w:pPr>
              <w:pStyle w:val="TableContents"/>
              <w:spacing w:before="0" w:after="0"/>
              <w:ind w:left="0" w:right="0" w:firstLine="30"/>
              <w:rPr/>
            </w:pPr>
            <w:r>
              <w:rPr/>
              <w:t> </w:t>
            </w:r>
          </w:p>
        </w:tc>
        <w:tc>
          <w:tcPr>
            <w:tcW w:w="18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90" w:type="dxa"/>
            <w:tcBorders/>
            <w:shd w:fill="auto" w:val="clear"/>
            <w:vAlign w:val="center"/>
          </w:tcPr>
          <w:p>
            <w:pPr>
              <w:pStyle w:val="TableContents"/>
              <w:spacing w:before="0" w:after="0"/>
              <w:ind w:left="0" w:right="0" w:firstLine="30"/>
              <w:rPr/>
            </w:pPr>
            <w:r>
              <w:rPr/>
              <w:t> </w:t>
            </w:r>
          </w:p>
        </w:tc>
        <w:tc>
          <w:tcPr>
            <w:tcW w:w="1905" w:type="dxa"/>
            <w:tcBorders/>
            <w:shd w:fill="auto" w:val="clear"/>
            <w:vAlign w:val="center"/>
          </w:tcPr>
          <w:p>
            <w:pPr>
              <w:pStyle w:val="TableContents"/>
              <w:spacing w:before="0" w:after="0"/>
              <w:jc w:val="center"/>
              <w:rPr>
                <w:rFonts w:ascii="inherit" w:hAnsi="inherit"/>
                <w:sz w:val="13"/>
              </w:rPr>
            </w:pPr>
            <w:r>
              <w:rPr>
                <w:rFonts w:ascii="inherit" w:hAnsi="inherit"/>
                <w:sz w:val="13"/>
              </w:rPr>
              <w:t>74-2672899</w:t>
            </w:r>
          </w:p>
        </w:tc>
      </w:tr>
    </w:tbl>
    <w:p>
      <w:pPr>
        <w:pStyle w:val="TextBody"/>
        <w:rPr/>
      </w:pPr>
      <w:r>
        <w:rPr/>
      </w:r>
      <w:r>
        <w:br w:type="page"/>
      </w:r>
    </w:p>
    <w:p>
      <w:pPr>
        <w:pStyle w:val="TextBody"/>
        <w:spacing w:before="0" w:after="0"/>
        <w:rPr/>
      </w:pPr>
      <w:r>
        <w:rPr/>
      </w:r>
      <w:bookmarkStart w:id="7" w:name="se0f29d80b087476e94fd9b20a195084a3"/>
      <w:bookmarkStart w:id="8" w:name="se0f29d80b087476e94fd9b20a195084a3"/>
      <w:bookmarkEnd w:id="8"/>
    </w:p>
    <w:tbl>
      <w:tblPr>
        <w:tblW w:w="10205" w:type="dxa"/>
        <w:jc w:val="center"/>
        <w:tblInd w:w="0" w:type="dxa"/>
        <w:tblCellMar>
          <w:top w:w="0" w:type="dxa"/>
          <w:left w:w="0" w:type="dxa"/>
          <w:bottom w:w="0" w:type="dxa"/>
          <w:right w:w="0" w:type="dxa"/>
        </w:tblCellMar>
      </w:tblPr>
      <w:tblGrid>
        <w:gridCol w:w="2896"/>
        <w:gridCol w:w="2269"/>
        <w:gridCol w:w="146"/>
        <w:gridCol w:w="2328"/>
        <w:gridCol w:w="146"/>
        <w:gridCol w:w="2420"/>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896"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65" w:type="dxa"/>
            <w:gridSpan w:val="2"/>
            <w:tcBorders>
              <w:bottom w:val="single" w:sz="2" w:space="0" w:color="000000"/>
            </w:tcBorders>
            <w:shd w:fill="auto" w:val="clear"/>
            <w:tcMar>
              <w:bottom w:w="30" w:type="dxa"/>
            </w:tcMar>
            <w:vAlign w:val="center"/>
          </w:tcPr>
          <w:p>
            <w:pPr>
              <w:pStyle w:val="TableContents"/>
              <w:spacing w:lineRule="auto" w:line="288" w:before="0" w:after="0"/>
              <w:ind w:left="0" w:right="0" w:firstLine="30"/>
              <w:jc w:val="both"/>
              <w:rPr>
                <w:sz w:val="13"/>
              </w:rPr>
            </w:pPr>
            <w:r>
              <w:rPr>
                <w:rFonts w:ascii="inherit" w:hAnsi="inherit"/>
                <w:b/>
                <w:sz w:val="13"/>
              </w:rPr>
              <w:t xml:space="preserve">Exact Name of Subsidiary Guarantor </w:t>
            </w:r>
            <w:r>
              <w:rPr>
                <w:rFonts w:ascii="inherit" w:hAnsi="inherit"/>
                <w:b/>
                <w:sz w:val="8"/>
              </w:rPr>
              <w:t>(1)</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28"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State or </w:t>
              <w:br/>
              <w:t xml:space="preserve">Other </w:t>
              <w:br/>
              <w:t xml:space="preserve">Jurisdiction </w:t>
              <w:br/>
              <w:t xml:space="preserve">of </w:t>
              <w:br/>
              <w:t xml:space="preserve">Incorporation </w:t>
              <w:br/>
              <w:t>or Formation</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420" w:type="dxa"/>
            <w:tcBorders>
              <w:bottom w:val="single" w:sz="2" w:space="0" w:color="000000"/>
            </w:tcBorders>
            <w:shd w:fill="auto" w:val="clear"/>
            <w:tcMar>
              <w:bottom w:w="24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IRS Employer </w:t>
              <w:br/>
              <w:t xml:space="preserve">Identification </w:t>
              <w:br/>
              <w:t>Number</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Oklahoma,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74-2621073</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Tennessee,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74-2641965</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Utah,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27-4268366</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EZPAWN Wisconsin,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45-2060959</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Mister Money Holdings,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Colorado</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74-3082094</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Pawn Management,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Texas</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74-2654815</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Payday Loan Management,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83-0360843</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Texas EZMONEY, L.P.</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Texas</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83-0360848</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Texas EZPAWN Management,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Delaware</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74-2689697</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Texas EZPAWN, L.P.</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Texas</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74-2689698</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Texas PRA Management, L.P.</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Texas</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02-0596091</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Value Financial Services, Inc.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Florida</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65-0503587</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VFS Mexico Operations, LLC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Florida</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65-0503587</w:t>
            </w:r>
          </w:p>
        </w:tc>
      </w:tr>
      <w:tr>
        <w:trPr/>
        <w:tc>
          <w:tcPr>
            <w:tcW w:w="5165" w:type="dxa"/>
            <w:gridSpan w:val="2"/>
            <w:tcBorders/>
            <w:shd w:fill="auto" w:val="clear"/>
            <w:vAlign w:val="center"/>
          </w:tcPr>
          <w:p>
            <w:pPr>
              <w:pStyle w:val="TableContents"/>
              <w:spacing w:before="0" w:after="0"/>
              <w:ind w:left="0" w:right="0" w:firstLine="30"/>
              <w:jc w:val="both"/>
              <w:rPr>
                <w:rFonts w:ascii="inherit" w:hAnsi="inherit"/>
                <w:sz w:val="13"/>
              </w:rPr>
            </w:pPr>
            <w:r>
              <w:rPr>
                <w:rFonts w:ascii="inherit" w:hAnsi="inherit"/>
                <w:sz w:val="13"/>
              </w:rPr>
              <w:t>VFS Mexico Services, LLC</w:t>
            </w:r>
          </w:p>
        </w:tc>
        <w:tc>
          <w:tcPr>
            <w:tcW w:w="146" w:type="dxa"/>
            <w:tcBorders/>
            <w:shd w:fill="auto" w:val="clear"/>
            <w:vAlign w:val="center"/>
          </w:tcPr>
          <w:p>
            <w:pPr>
              <w:pStyle w:val="TableContents"/>
              <w:spacing w:before="0" w:after="0"/>
              <w:ind w:left="0" w:right="0" w:firstLine="30"/>
              <w:rPr/>
            </w:pPr>
            <w:r>
              <w:rPr/>
              <w:t> </w:t>
            </w:r>
          </w:p>
        </w:tc>
        <w:tc>
          <w:tcPr>
            <w:tcW w:w="2328"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Florida</w:t>
            </w:r>
          </w:p>
        </w:tc>
        <w:tc>
          <w:tcPr>
            <w:tcW w:w="146" w:type="dxa"/>
            <w:tcBorders/>
            <w:shd w:fill="auto" w:val="clear"/>
            <w:vAlign w:val="center"/>
          </w:tcPr>
          <w:p>
            <w:pPr>
              <w:pStyle w:val="TableContents"/>
              <w:spacing w:before="0" w:after="0"/>
              <w:ind w:left="0" w:right="0" w:firstLine="30"/>
              <w:rPr/>
            </w:pPr>
            <w:r>
              <w:rPr/>
              <w:t> </w:t>
            </w:r>
          </w:p>
        </w:tc>
        <w:tc>
          <w:tcPr>
            <w:tcW w:w="2420"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65-0503587</w:t>
            </w:r>
          </w:p>
        </w:tc>
      </w:tr>
      <w:tr>
        <w:trPr/>
        <w:tc>
          <w:tcPr>
            <w:tcW w:w="2896" w:type="dxa"/>
            <w:tcBorders/>
            <w:shd w:fill="auto" w:val="clear"/>
            <w:vAlign w:val="center"/>
          </w:tcPr>
          <w:p>
            <w:pPr>
              <w:pStyle w:val="TableContents"/>
              <w:spacing w:before="0" w:after="0"/>
              <w:rPr>
                <w:rFonts w:ascii="inherit" w:hAnsi="inherit"/>
                <w:sz w:val="13"/>
              </w:rPr>
            </w:pPr>
            <w:r>
              <w:rPr>
                <w:rFonts w:ascii="inherit" w:hAnsi="inherit"/>
                <w:sz w:val="13"/>
              </w:rPr>
            </w:r>
          </w:p>
          <w:p>
            <w:pPr>
              <w:pStyle w:val="TableContents"/>
              <w:spacing w:before="0" w:after="0"/>
              <w:ind w:left="0" w:right="0" w:firstLine="30"/>
              <w:rPr>
                <w:rFonts w:ascii="inherit" w:hAnsi="inherit"/>
                <w:sz w:val="13"/>
              </w:rPr>
            </w:pPr>
            <w:r>
              <w:rPr>
                <w:rFonts w:ascii="inherit" w:hAnsi="inherit"/>
                <w:sz w:val="13"/>
              </w:rPr>
              <w:t>(1)</w:t>
            </w:r>
          </w:p>
        </w:tc>
        <w:tc>
          <w:tcPr>
            <w:tcW w:w="7309" w:type="dxa"/>
            <w:gridSpan w:val="5"/>
            <w:tcBorders/>
            <w:shd w:fill="auto" w:val="clear"/>
            <w:vAlign w:val="center"/>
          </w:tcPr>
          <w:p>
            <w:pPr>
              <w:pStyle w:val="TableContents"/>
              <w:spacing w:before="0" w:after="0"/>
              <w:rPr>
                <w:rFonts w:ascii="inherit" w:hAnsi="inherit"/>
                <w:sz w:val="13"/>
              </w:rPr>
            </w:pPr>
            <w:r>
              <w:rPr>
                <w:rFonts w:ascii="inherit" w:hAnsi="inherit"/>
                <w:sz w:val="13"/>
              </w:rPr>
            </w:r>
          </w:p>
          <w:p>
            <w:pPr>
              <w:pStyle w:val="TableContents"/>
              <w:spacing w:before="0" w:after="0"/>
              <w:rPr>
                <w:rFonts w:ascii="inherit" w:hAnsi="inherit"/>
                <w:sz w:val="13"/>
              </w:rPr>
            </w:pPr>
            <w:r>
              <w:rPr>
                <w:rFonts w:ascii="inherit" w:hAnsi="inherit"/>
                <w:sz w:val="13"/>
              </w:rPr>
              <w:t>The address for each of the Subsidiary Guarantors is 1901 Capital Parkway, Austin, Texas 78746, and the telephone number is (512) 314-3400</w:t>
            </w:r>
          </w:p>
        </w:tc>
      </w:tr>
    </w:tbl>
    <w:p>
      <w:pPr>
        <w:pStyle w:val="TextBody"/>
        <w:rPr/>
      </w:pPr>
      <w:r>
        <w:rPr/>
      </w:r>
      <w:r>
        <w:br w:type="page"/>
      </w:r>
    </w:p>
    <w:p>
      <w:pPr>
        <w:pStyle w:val="TextBody"/>
        <w:spacing w:before="0" w:after="0"/>
        <w:rPr/>
      </w:pPr>
      <w:r>
        <w:rPr/>
      </w:r>
      <w:bookmarkStart w:id="9" w:name="s48e30fc99d7a4c96823ca20add2c3404"/>
      <w:bookmarkStart w:id="10" w:name="s48e30fc99d7a4c96823ca20add2c3404"/>
      <w:bookmarkEnd w:id="10"/>
    </w:p>
    <w:p>
      <w:pPr>
        <w:pStyle w:val="TextBody"/>
        <w:spacing w:lineRule="auto" w:line="288" w:before="0" w:after="0"/>
        <w:jc w:val="center"/>
        <w:rPr>
          <w:rFonts w:ascii="inherit" w:hAnsi="inherit"/>
          <w:b/>
          <w:sz w:val="17"/>
        </w:rPr>
      </w:pPr>
      <w:r>
        <w:rPr>
          <w:rFonts w:ascii="inherit" w:hAnsi="inherit"/>
          <w:b/>
          <w:sz w:val="17"/>
        </w:rPr>
        <w:t>DEREGISTRATION OF SECURITIES</w:t>
      </w:r>
    </w:p>
    <w:p>
      <w:pPr>
        <w:pStyle w:val="TextBody"/>
        <w:spacing w:lineRule="auto" w:line="288" w:before="0" w:after="0"/>
        <w:ind w:left="0" w:right="0" w:firstLine="360"/>
        <w:jc w:val="left"/>
        <w:rPr>
          <w:sz w:val="17"/>
        </w:rPr>
      </w:pPr>
      <w:r>
        <w:rPr>
          <w:rFonts w:ascii="inherit" w:hAnsi="inherit"/>
          <w:sz w:val="17"/>
        </w:rPr>
        <w:t>This Post-Effective Amendment No. 1 to the Registration Statement on Form S-3 (File No. 333-179379) (the “</w:t>
      </w:r>
      <w:r>
        <w:rPr>
          <w:rFonts w:ascii="inherit" w:hAnsi="inherit"/>
          <w:sz w:val="17"/>
          <w:u w:val="single"/>
        </w:rPr>
        <w:t>Registration Statement</w:t>
      </w:r>
      <w:r>
        <w:rPr>
          <w:sz w:val="17"/>
        </w:rPr>
        <w:t>”</w:t>
      </w:r>
      <w:r>
        <w:rPr>
          <w:rFonts w:ascii="inherit" w:hAnsi="inherit"/>
          <w:sz w:val="17"/>
        </w:rPr>
        <w:t>) filed with the Securities and Exchange Commission on February 3, 2012 by EZCORP, Inc., a Delaware corporation (“</w:t>
      </w:r>
      <w:r>
        <w:rPr>
          <w:rFonts w:ascii="inherit" w:hAnsi="inherit"/>
          <w:sz w:val="17"/>
          <w:u w:val="single"/>
        </w:rPr>
        <w:t>Registrant</w:t>
      </w:r>
      <w:r>
        <w:rPr>
          <w:sz w:val="17"/>
        </w:rPr>
        <w:t>”</w:t>
      </w:r>
      <w:r>
        <w:rPr>
          <w:rFonts w:ascii="inherit" w:hAnsi="inherit"/>
          <w:sz w:val="17"/>
        </w:rPr>
        <w:t>) and each of the co-registrants listed in the Table of Additional Registrants (the “</w:t>
      </w:r>
      <w:r>
        <w:rPr>
          <w:rFonts w:ascii="inherit" w:hAnsi="inherit"/>
          <w:sz w:val="17"/>
          <w:u w:val="single"/>
        </w:rPr>
        <w:t>Co-Registrants</w:t>
      </w:r>
      <w:r>
        <w:rPr>
          <w:sz w:val="17"/>
        </w:rPr>
        <w:t>”</w:t>
      </w:r>
      <w:r>
        <w:rPr>
          <w:rFonts w:ascii="inherit" w:hAnsi="inherit"/>
          <w:sz w:val="17"/>
        </w:rPr>
        <w:t>), is being filed to deregister all unsold securities of Registrant and guarantees of the Co-Registrants (the “</w:t>
      </w:r>
      <w:r>
        <w:rPr>
          <w:rFonts w:ascii="inherit" w:hAnsi="inherit"/>
          <w:sz w:val="17"/>
          <w:u w:val="single"/>
        </w:rPr>
        <w:t>Registered Securities</w:t>
      </w:r>
      <w:r>
        <w:rPr>
          <w:sz w:val="17"/>
        </w:rPr>
        <w:t>”</w:t>
      </w:r>
      <w:r>
        <w:rPr>
          <w:rFonts w:ascii="inherit" w:hAnsi="inherit"/>
          <w:sz w:val="17"/>
        </w:rPr>
        <w:t xml:space="preserve">) that were registered under the Registration Statement. </w:t>
      </w:r>
    </w:p>
    <w:p>
      <w:pPr>
        <w:pStyle w:val="TextBody"/>
        <w:spacing w:lineRule="auto" w:line="288" w:before="0" w:after="0"/>
        <w:ind w:left="0" w:right="0" w:firstLine="360"/>
        <w:jc w:val="left"/>
        <w:rPr>
          <w:sz w:val="17"/>
        </w:rPr>
      </w:pPr>
      <w:r>
        <w:rPr>
          <w:rFonts w:ascii="inherit" w:hAnsi="inherit"/>
          <w:sz w:val="17"/>
        </w:rPr>
        <w:t>On October 2, 2013, pursuant to the Agreement and Plan of Merger, dated as of October 1, 2013 (the “</w:t>
      </w:r>
      <w:r>
        <w:rPr>
          <w:rFonts w:ascii="inherit" w:hAnsi="inherit"/>
          <w:sz w:val="17"/>
          <w:u w:val="single"/>
        </w:rPr>
        <w:t>Merger Agreement</w:t>
      </w:r>
      <w:r>
        <w:rPr>
          <w:sz w:val="17"/>
        </w:rPr>
        <w:t>”</w:t>
      </w:r>
      <w:r>
        <w:rPr>
          <w:rFonts w:ascii="inherit" w:hAnsi="inherit"/>
          <w:sz w:val="17"/>
        </w:rPr>
        <w:t>), between Registrant and EZMergeco, Inc., a Delaware corporation and a newly formed direct wholly owned subsidiary of Registrant (“</w:t>
      </w:r>
      <w:r>
        <w:rPr>
          <w:rFonts w:ascii="inherit" w:hAnsi="inherit"/>
          <w:sz w:val="17"/>
          <w:u w:val="single"/>
        </w:rPr>
        <w:t>MergeCo</w:t>
      </w:r>
      <w:r>
        <w:rPr>
          <w:sz w:val="17"/>
        </w:rPr>
        <w:t>”</w:t>
      </w:r>
      <w:r>
        <w:rPr>
          <w:rFonts w:ascii="inherit" w:hAnsi="inherit"/>
          <w:sz w:val="17"/>
        </w:rPr>
        <w:t>), in an internal reorganization transaction structured as a merger, Registrant merged with and into MergeCo, with MergeCo continuing as the surviving corporation (the “</w:t>
      </w:r>
      <w:r>
        <w:rPr>
          <w:rFonts w:ascii="inherit" w:hAnsi="inherit"/>
          <w:sz w:val="17"/>
          <w:u w:val="single"/>
        </w:rPr>
        <w:t>Reorganization</w:t>
      </w:r>
      <w:r>
        <w:rPr>
          <w:sz w:val="17"/>
        </w:rPr>
        <w:t>”</w:t>
      </w:r>
      <w:r>
        <w:rPr>
          <w:rFonts w:ascii="inherit" w:hAnsi="inherit"/>
          <w:sz w:val="17"/>
        </w:rPr>
        <w:t>). At the effective time of the Reorganization, MergeCo changed its name to “EZCORP, Inc.” (referred to herein as “</w:t>
      </w:r>
      <w:r>
        <w:rPr>
          <w:rFonts w:ascii="inherit" w:hAnsi="inherit"/>
          <w:sz w:val="17"/>
          <w:u w:val="single"/>
        </w:rPr>
        <w:t>EZCORP</w:t>
      </w:r>
      <w:r>
        <w:rPr>
          <w:sz w:val="17"/>
        </w:rPr>
        <w:t>”</w:t>
      </w:r>
      <w:r>
        <w:rPr>
          <w:rFonts w:ascii="inherit" w:hAnsi="inherit"/>
          <w:sz w:val="17"/>
        </w:rPr>
        <w:t>) and succeeded to all of the assets and liabilities of Registrant. EZCORP has conducted and will continue to conduct the same business and operations as Registrant immediately prior to the Reorganization.</w:t>
      </w:r>
    </w:p>
    <w:p>
      <w:pPr>
        <w:pStyle w:val="TextBody"/>
        <w:spacing w:lineRule="auto" w:line="288" w:before="0" w:after="0"/>
        <w:ind w:left="0" w:right="0" w:firstLine="360"/>
        <w:jc w:val="left"/>
        <w:rPr>
          <w:rFonts w:ascii="inherit" w:hAnsi="inherit"/>
          <w:sz w:val="17"/>
        </w:rPr>
      </w:pPr>
      <w:r>
        <w:rPr>
          <w:rFonts w:ascii="inherit" w:hAnsi="inherit"/>
          <w:sz w:val="17"/>
        </w:rPr>
        <w:t xml:space="preserve">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Registered Securities which remain unsold at the termination of the offering, removes from registration any and all Registered Securities registered but unsold under the Registration Statement as of the date hereof. </w:t>
      </w:r>
    </w:p>
    <w:p>
      <w:pPr>
        <w:pStyle w:val="TextBody"/>
        <w:rPr/>
      </w:pPr>
      <w:r>
        <w:rPr/>
      </w:r>
      <w:r>
        <w:br w:type="page"/>
      </w:r>
    </w:p>
    <w:p>
      <w:pPr>
        <w:pStyle w:val="TextBody"/>
        <w:spacing w:before="0" w:after="0"/>
        <w:rPr/>
      </w:pPr>
      <w:r>
        <w:rPr/>
      </w:r>
      <w:bookmarkStart w:id="11" w:name="sAEE1A10328084836E1927EC35DB56545"/>
      <w:bookmarkStart w:id="12" w:name="sAEE1A10328084836E1927EC35DB56545"/>
      <w:bookmarkEnd w:id="12"/>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Austin, State of Texas, on this 4th day of October, 2013.</w:t>
      </w:r>
    </w:p>
    <w:tbl>
      <w:tblPr>
        <w:tblW w:w="8511" w:type="dxa"/>
        <w:jc w:val="center"/>
        <w:tblInd w:w="0" w:type="dxa"/>
        <w:tblCellMar>
          <w:top w:w="0" w:type="dxa"/>
          <w:left w:w="0" w:type="dxa"/>
          <w:bottom w:w="0" w:type="dxa"/>
          <w:right w:w="0" w:type="dxa"/>
        </w:tblCellMar>
      </w:tblPr>
      <w:tblGrid>
        <w:gridCol w:w="1702"/>
        <w:gridCol w:w="2724"/>
        <w:gridCol w:w="340"/>
        <w:gridCol w:w="2724"/>
        <w:gridCol w:w="1021"/>
      </w:tblGrid>
      <w:tr>
        <w:trPr/>
        <w:tc>
          <w:tcPr>
            <w:tcW w:w="8511" w:type="dxa"/>
            <w:gridSpan w:val="5"/>
            <w:tcBorders/>
            <w:shd w:fill="auto" w:val="clear"/>
            <w:vAlign w:val="center"/>
          </w:tcPr>
          <w:p>
            <w:pPr>
              <w:pStyle w:val="TableContents"/>
              <w:spacing w:before="0" w:after="283"/>
              <w:rPr>
                <w:sz w:val="4"/>
                <w:szCs w:val="4"/>
              </w:rPr>
            </w:pPr>
            <w:r>
              <w:rPr>
                <w:sz w:val="4"/>
                <w:szCs w:val="4"/>
              </w:rPr>
            </w:r>
          </w:p>
        </w:tc>
      </w:tr>
      <w:tr>
        <w:trPr/>
        <w:tc>
          <w:tcPr>
            <w:tcW w:w="170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06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7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Thomas H. Welch, Jr.</w:t>
            </w:r>
          </w:p>
        </w:tc>
        <w:tc>
          <w:tcPr>
            <w:tcW w:w="1021" w:type="dxa"/>
            <w:tcBorders/>
            <w:shd w:fill="auto" w:val="clear"/>
            <w:vAlign w:val="center"/>
          </w:tcPr>
          <w:p>
            <w:pPr>
              <w:pStyle w:val="TableContents"/>
              <w:spacing w:before="0" w:after="0"/>
              <w:ind w:left="0" w:right="0" w:firstLine="30"/>
              <w:rPr/>
            </w:pPr>
            <w:r>
              <w:rPr/>
              <w:t> </w:t>
            </w:r>
          </w:p>
        </w:tc>
      </w:tr>
      <w:tr>
        <w:trPr/>
        <w:tc>
          <w:tcPr>
            <w:tcW w:w="1702"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rPr/>
            </w:pPr>
            <w:r>
              <w:rPr/>
              <w:t> </w:t>
            </w:r>
          </w:p>
        </w:tc>
        <w:tc>
          <w:tcPr>
            <w:tcW w:w="340" w:type="dxa"/>
            <w:tcBorders/>
            <w:shd w:fill="auto" w:val="clear"/>
            <w:vAlign w:val="center"/>
          </w:tcPr>
          <w:p>
            <w:pPr>
              <w:pStyle w:val="TableContents"/>
              <w:spacing w:before="0" w:after="0"/>
              <w:ind w:left="0" w:right="0" w:firstLine="30"/>
              <w:rPr/>
            </w:pPr>
            <w:r>
              <w:rPr/>
              <w:t> </w:t>
            </w:r>
          </w:p>
        </w:tc>
        <w:tc>
          <w:tcPr>
            <w:tcW w:w="272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Title: Agent for Service</w:t>
            </w:r>
          </w:p>
        </w:tc>
        <w:tc>
          <w:tcPr>
            <w:tcW w:w="1021"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360"/>
        <w:jc w:val="left"/>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13" w:name="s38A7110050D1C7A8AD657EC35DE66A58"/>
      <w:bookmarkStart w:id="14" w:name="s38A7110050D1C7A8AD657EC35DE66A58"/>
      <w:bookmarkEnd w:id="14"/>
    </w:p>
    <w:p>
      <w:pPr>
        <w:pStyle w:val="TextBody"/>
        <w:spacing w:lineRule="auto" w:line="288" w:before="0" w:after="0"/>
        <w:ind w:left="0" w:right="0" w:firstLine="360"/>
        <w:jc w:val="left"/>
        <w:rPr>
          <w:rFonts w:ascii="inherit" w:hAnsi="inherit"/>
          <w:sz w:val="17"/>
        </w:rPr>
      </w:pPr>
      <w:r>
        <w:rPr>
          <w:rFonts w:ascii="inherit" w:hAnsi="inherit"/>
          <w:sz w:val="17"/>
        </w:rPr>
        <w:t>Pursuant to the requirements of the Securities Act of 1933 and Rule 478 thereunder, each of the co-registrants certifies that it has reasonable grounds to believe that it meets all of the requirements for filing on Form S-3 and has duly caused this Post-Effective Amendment No. 1 to the Registration Statement on Form S-3 to be signed on its behalf by the undersigned, thereunto duly authorized, in the City of Austin, State of Texas, on this 4th day of October, 2013.</w:t>
      </w:r>
    </w:p>
    <w:tbl>
      <w:tblPr>
        <w:tblW w:w="10205" w:type="dxa"/>
        <w:jc w:val="right"/>
        <w:tblInd w:w="0" w:type="dxa"/>
        <w:tblCellMar>
          <w:top w:w="0" w:type="dxa"/>
          <w:left w:w="0" w:type="dxa"/>
          <w:bottom w:w="0" w:type="dxa"/>
          <w:right w:w="0" w:type="dxa"/>
        </w:tblCellMar>
      </w:tblPr>
      <w:tblGrid>
        <w:gridCol w:w="4858"/>
        <w:gridCol w:w="589"/>
        <w:gridCol w:w="589"/>
        <w:gridCol w:w="1385"/>
        <w:gridCol w:w="1198"/>
        <w:gridCol w:w="1586"/>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4858"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CCV Americas, LLC</w:t>
            </w:r>
          </w:p>
        </w:tc>
      </w:tr>
      <w:tr>
        <w:trPr/>
        <w:tc>
          <w:tcPr>
            <w:tcW w:w="4858"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16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USA, Inc., its sole member and manager</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CCV Pennsylvania,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CCV Virginia,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Change Capital,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Change Capital Investments, LLC</w:t>
            </w:r>
          </w:p>
        </w:tc>
      </w:tr>
      <w:tr>
        <w:trPr/>
        <w:tc>
          <w:tcPr>
            <w:tcW w:w="4858"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16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Inc., its sole member and manager</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Change Capital Ventures, LLC</w:t>
            </w:r>
          </w:p>
        </w:tc>
      </w:tr>
      <w:tr>
        <w:trPr/>
        <w:tc>
          <w:tcPr>
            <w:tcW w:w="4858"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16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Capital, Inc., its sole member and manager</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International,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International Holdings, LLC</w:t>
            </w:r>
          </w:p>
        </w:tc>
      </w:tr>
      <w:tr>
        <w:trPr/>
        <w:tc>
          <w:tcPr>
            <w:tcW w:w="4858"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169"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International, Inc., its sole member and manager</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Online,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USA,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Alabama,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Canada,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Colorado,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Hawaii,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Holdings,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Idaho,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Kansas,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Management,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Missouri,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Nebraska,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South Dakota,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Utah,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EZMONEY Wisconsin,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Alabama,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Arkansas,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Colorado,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Florida,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Georgia,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Holdings,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Illinois,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Indiana,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Iowa,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Louisiana, Inc.</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Mexico Holdings, LLC</w:t>
            </w:r>
          </w:p>
        </w:tc>
      </w:tr>
      <w:tr>
        <w:trPr/>
        <w:tc>
          <w:tcPr>
            <w:tcW w:w="4858" w:type="dxa"/>
            <w:tcBorders/>
            <w:shd w:fill="auto" w:val="clear"/>
            <w:vAlign w:val="center"/>
          </w:tcPr>
          <w:p>
            <w:pPr>
              <w:pStyle w:val="TableContents"/>
              <w:spacing w:before="0" w:after="0"/>
              <w:ind w:left="0" w:right="0" w:firstLine="30"/>
              <w:rPr/>
            </w:pPr>
            <w:r>
              <w:rPr/>
              <w:t> </w:t>
            </w:r>
          </w:p>
        </w:tc>
        <w:tc>
          <w:tcPr>
            <w:tcW w:w="5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758"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Global, B.V., its sole member and manager</w:t>
            </w:r>
          </w:p>
        </w:tc>
      </w:tr>
      <w:tr>
        <w:trPr/>
        <w:tc>
          <w:tcPr>
            <w:tcW w:w="4858" w:type="dxa"/>
            <w:tcBorders/>
            <w:shd w:fill="auto" w:val="clear"/>
            <w:vAlign w:val="center"/>
          </w:tcPr>
          <w:p>
            <w:pPr>
              <w:pStyle w:val="TableContents"/>
              <w:spacing w:before="0" w:after="0"/>
              <w:ind w:left="0" w:right="0" w:firstLine="30"/>
              <w:rPr/>
            </w:pPr>
            <w:r>
              <w:rPr/>
              <w:t> </w:t>
            </w:r>
          </w:p>
        </w:tc>
        <w:tc>
          <w:tcPr>
            <w:tcW w:w="5347" w:type="dxa"/>
            <w:gridSpan w:val="5"/>
            <w:tcBorders/>
            <w:shd w:fill="auto" w:val="clear"/>
            <w:vAlign w:val="center"/>
          </w:tcPr>
          <w:p>
            <w:pPr>
              <w:pStyle w:val="TableContents"/>
              <w:spacing w:before="0" w:after="0"/>
              <w:jc w:val="left"/>
              <w:rPr>
                <w:rFonts w:ascii="inherit" w:hAnsi="inherit"/>
                <w:b/>
                <w:sz w:val="17"/>
              </w:rPr>
            </w:pPr>
            <w:r>
              <w:rPr>
                <w:rFonts w:ascii="inherit" w:hAnsi="inherit"/>
                <w:b/>
                <w:sz w:val="17"/>
              </w:rPr>
              <w:t>EZPAWN Mexico Ltd., LLC</w:t>
            </w:r>
          </w:p>
        </w:tc>
      </w:tr>
    </w:tbl>
    <w:p>
      <w:pPr>
        <w:pStyle w:val="TextBody"/>
        <w:rPr/>
      </w:pPr>
      <w:r>
        <w:rPr/>
      </w:r>
      <w:r>
        <w:br w:type="page"/>
      </w:r>
    </w:p>
    <w:p>
      <w:pPr>
        <w:pStyle w:val="TextBody"/>
        <w:spacing w:before="0" w:after="0"/>
        <w:rPr/>
      </w:pPr>
      <w:r>
        <w:rPr/>
      </w:r>
      <w:bookmarkStart w:id="15" w:name="s38A7110050D1C7A8AD657EC35DE66A581"/>
      <w:bookmarkStart w:id="16" w:name="s38A7110050D1C7A8AD657EC35DE66A581"/>
      <w:bookmarkEnd w:id="16"/>
    </w:p>
    <w:tbl>
      <w:tblPr>
        <w:tblW w:w="10205" w:type="dxa"/>
        <w:jc w:val="right"/>
        <w:tblInd w:w="0" w:type="dxa"/>
        <w:tblCellMar>
          <w:top w:w="0" w:type="dxa"/>
          <w:left w:w="0" w:type="dxa"/>
          <w:bottom w:w="0" w:type="dxa"/>
          <w:right w:w="0" w:type="dxa"/>
        </w:tblCellMar>
      </w:tblPr>
      <w:tblGrid>
        <w:gridCol w:w="4946"/>
        <w:gridCol w:w="582"/>
        <w:gridCol w:w="770"/>
        <w:gridCol w:w="1487"/>
        <w:gridCol w:w="1180"/>
        <w:gridCol w:w="1240"/>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494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4677"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Global, B.V., its sole member and manager</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Nevada,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Oklahoma,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Tennessee, Inc.</w:t>
            </w:r>
          </w:p>
        </w:tc>
      </w:tr>
      <w:tr>
        <w:trPr/>
        <w:tc>
          <w:tcPr>
            <w:tcW w:w="4946" w:type="dxa"/>
            <w:vMerge w:val="restart"/>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Note: No other person is required to sign this Post-Effective Amendment No. 1 to the Registration Statement in reliance on Rule 478 of the Securities Act of 1933.</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Utah, Inc.</w:t>
            </w:r>
          </w:p>
        </w:tc>
      </w:tr>
      <w:tr>
        <w:trPr/>
        <w:tc>
          <w:tcPr>
            <w:tcW w:w="4946" w:type="dxa"/>
            <w:vMerge w:val="continue"/>
            <w:tcBorders/>
            <w:shd w:fill="auto" w:val="clear"/>
            <w:vAlign w:val="center"/>
          </w:tcPr>
          <w:p>
            <w:pPr>
              <w:pStyle w:val="Normal"/>
              <w:rPr/>
            </w:pPr>
            <w:r>
              <w:rPr/>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EZPAWN Wisconsin, Inc.</w:t>
            </w:r>
          </w:p>
        </w:tc>
      </w:tr>
      <w:tr>
        <w:trPr/>
        <w:tc>
          <w:tcPr>
            <w:tcW w:w="4946" w:type="dxa"/>
            <w:vMerge w:val="continue"/>
            <w:tcBorders/>
            <w:shd w:fill="auto" w:val="clear"/>
            <w:vAlign w:val="center"/>
          </w:tcPr>
          <w:p>
            <w:pPr>
              <w:pStyle w:val="Normal"/>
              <w:rPr/>
            </w:pPr>
            <w:r>
              <w:rPr/>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Mister Money Holdings,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Pawn Management,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Payday Loan Management,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Texas EZMONEY, L.P.</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907"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Payday Loan Management, Inc., its general partner</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Texas EZPAWN Management,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Texas EZPAWN, L.P.</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907"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Texas EZPAWN Management, Inc., its general partner</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Texas PRA Management, L.P.</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907"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EZMONEY Management, Inc., its general partner</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Value Financial Services, Inc.</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VFS Mexico Operations, LLC</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907"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Value Financial Services, Inc., its sole member and manager</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VFS Mexico Services, LLC</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907"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Value Financial Services, Inc., its sole member and manager</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rPr/>
            </w:pPr>
            <w:r>
              <w:rPr/>
              <w:t> </w:t>
            </w:r>
          </w:p>
        </w:tc>
        <w:tc>
          <w:tcPr>
            <w:tcW w:w="1487"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ind w:left="0" w:right="0" w:firstLine="30"/>
              <w:rPr/>
            </w:pPr>
            <w:r>
              <w:rPr/>
              <w:t> </w:t>
            </w:r>
          </w:p>
        </w:tc>
        <w:tc>
          <w:tcPr>
            <w:tcW w:w="1240" w:type="dxa"/>
            <w:tcBorders/>
            <w:shd w:fill="auto" w:val="clear"/>
            <w:vAlign w:val="center"/>
          </w:tcPr>
          <w:p>
            <w:pPr>
              <w:pStyle w:val="TableContents"/>
              <w:spacing w:before="0" w:after="0"/>
              <w:ind w:left="0" w:right="0" w:firstLine="30"/>
              <w:rPr/>
            </w:pPr>
            <w:r>
              <w:rPr/>
              <w:t> </w:t>
            </w:r>
          </w:p>
        </w:tc>
      </w:tr>
      <w:tr>
        <w:trPr/>
        <w:tc>
          <w:tcPr>
            <w:tcW w:w="4946" w:type="dxa"/>
            <w:tcBorders/>
            <w:shd w:fill="auto" w:val="clear"/>
            <w:vAlign w:val="center"/>
          </w:tcPr>
          <w:p>
            <w:pPr>
              <w:pStyle w:val="TableContents"/>
              <w:spacing w:before="0" w:after="0"/>
              <w:ind w:left="0" w:right="0" w:firstLine="30"/>
              <w:rPr/>
            </w:pPr>
            <w:r>
              <w:rPr/>
              <w:t> </w:t>
            </w:r>
          </w:p>
        </w:tc>
        <w:tc>
          <w:tcPr>
            <w:tcW w:w="5259" w:type="dxa"/>
            <w:gridSpan w:val="5"/>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 each case by:</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770" w:type="dxa"/>
            <w:tcBorders/>
            <w:shd w:fill="auto" w:val="clear"/>
            <w:vAlign w:val="center"/>
          </w:tcPr>
          <w:p>
            <w:pPr>
              <w:pStyle w:val="TableContents"/>
              <w:spacing w:before="0" w:after="0"/>
              <w:ind w:left="0" w:right="0" w:firstLine="30"/>
              <w:rPr/>
            </w:pPr>
            <w:r>
              <w:rPr/>
              <w:t> </w:t>
            </w:r>
          </w:p>
        </w:tc>
        <w:tc>
          <w:tcPr>
            <w:tcW w:w="1487"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ind w:left="0" w:right="0" w:firstLine="30"/>
              <w:rPr/>
            </w:pPr>
            <w:r>
              <w:rPr/>
              <w:t> </w:t>
            </w:r>
          </w:p>
        </w:tc>
        <w:tc>
          <w:tcPr>
            <w:tcW w:w="1240" w:type="dxa"/>
            <w:tcBorders/>
            <w:shd w:fill="auto" w:val="clear"/>
            <w:vAlign w:val="center"/>
          </w:tcPr>
          <w:p>
            <w:pPr>
              <w:pStyle w:val="TableContents"/>
              <w:spacing w:before="0" w:after="0"/>
              <w:ind w:left="0" w:right="0" w:firstLine="30"/>
              <w:rPr/>
            </w:pPr>
            <w:r>
              <w:rPr/>
              <w:t> </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4677"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sz w:val="17"/>
              </w:rPr>
            </w:pPr>
            <w:r>
              <w:rPr>
                <w:rFonts w:ascii="inherit" w:hAnsi="inherit"/>
                <w:sz w:val="17"/>
              </w:rPr>
              <w:t>/s/ T</w:t>
            </w:r>
            <w:r>
              <w:rPr>
                <w:rFonts w:ascii="inherit" w:hAnsi="inherit"/>
                <w:sz w:val="13"/>
              </w:rPr>
              <w:t>HOMAS</w:t>
            </w:r>
            <w:r>
              <w:rPr>
                <w:sz w:val="17"/>
              </w:rPr>
              <w:t> </w:t>
            </w:r>
            <w:r>
              <w:rPr>
                <w:rFonts w:ascii="inherit" w:hAnsi="inherit"/>
                <w:sz w:val="17"/>
              </w:rPr>
              <w:t>H. W</w:t>
            </w:r>
            <w:r>
              <w:rPr>
                <w:rFonts w:ascii="inherit" w:hAnsi="inherit"/>
                <w:sz w:val="13"/>
              </w:rPr>
              <w:t>ELCH</w:t>
            </w:r>
            <w:r>
              <w:rPr>
                <w:rFonts w:ascii="inherit" w:hAnsi="inherit"/>
                <w:sz w:val="17"/>
              </w:rPr>
              <w:t>, J</w:t>
            </w:r>
            <w:r>
              <w:rPr>
                <w:rFonts w:ascii="inherit" w:hAnsi="inherit"/>
                <w:sz w:val="13"/>
              </w:rPr>
              <w:t>R</w:t>
            </w:r>
            <w:r>
              <w:rPr>
                <w:rFonts w:ascii="inherit" w:hAnsi="inherit"/>
                <w:sz w:val="17"/>
              </w:rPr>
              <w:t xml:space="preserve">. </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4677" w:type="dxa"/>
            <w:gridSpan w:val="4"/>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Thomas H. Welch, Jr.,</w:t>
            </w:r>
          </w:p>
        </w:tc>
      </w:tr>
      <w:tr>
        <w:trPr/>
        <w:tc>
          <w:tcPr>
            <w:tcW w:w="4946" w:type="dxa"/>
            <w:tcBorders/>
            <w:shd w:fill="auto" w:val="clear"/>
            <w:vAlign w:val="center"/>
          </w:tcPr>
          <w:p>
            <w:pPr>
              <w:pStyle w:val="TableContents"/>
              <w:spacing w:before="0" w:after="0"/>
              <w:ind w:left="0" w:right="0" w:firstLine="30"/>
              <w:rPr/>
            </w:pPr>
            <w:r>
              <w:rPr/>
              <w:t> </w:t>
            </w:r>
          </w:p>
        </w:tc>
        <w:tc>
          <w:tcPr>
            <w:tcW w:w="582" w:type="dxa"/>
            <w:tcBorders/>
            <w:shd w:fill="auto" w:val="clear"/>
            <w:vAlign w:val="center"/>
          </w:tcPr>
          <w:p>
            <w:pPr>
              <w:pStyle w:val="TableContents"/>
              <w:spacing w:before="0" w:after="0"/>
              <w:ind w:left="0" w:right="0" w:firstLine="30"/>
              <w:rPr/>
            </w:pPr>
            <w:r>
              <w:rPr/>
              <w:t> </w:t>
            </w:r>
          </w:p>
        </w:tc>
        <w:tc>
          <w:tcPr>
            <w:tcW w:w="4677" w:type="dxa"/>
            <w:gridSpan w:val="4"/>
            <w:tcBorders/>
            <w:shd w:fill="auto" w:val="clear"/>
            <w:vAlign w:val="center"/>
          </w:tcPr>
          <w:p>
            <w:pPr>
              <w:pStyle w:val="TableContents"/>
              <w:spacing w:before="0" w:after="0"/>
              <w:jc w:val="center"/>
              <w:rPr>
                <w:rFonts w:ascii="inherit" w:hAnsi="inherit"/>
                <w:b/>
                <w:sz w:val="13"/>
              </w:rPr>
            </w:pPr>
            <w:r>
              <w:rPr>
                <w:rFonts w:ascii="inherit" w:hAnsi="inherit"/>
                <w:b/>
                <w:sz w:val="13"/>
              </w:rPr>
              <w:t>Agent for Service</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1611</Words>
  <CharactersWithSpaces>11067</CharactersWithSpaces>
  <Paragraphs>526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