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73025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5" w:lineRule="exact"/>
        <w:rPr>
          <w:sz w:val="24"/>
          <w:szCs w:val="24"/>
          <w:color w:val="auto"/>
        </w:rPr>
      </w:pPr>
    </w:p>
    <w:p>
      <w:pPr>
        <w:ind w:left="3360" w:right="760" w:hanging="2740"/>
        <w:spacing w:after="0" w:line="397" w:lineRule="auto"/>
        <w:tabs>
          <w:tab w:leader="none" w:pos="120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2023 or</w:t>
      </w:r>
    </w:p>
    <w:p>
      <w:pPr>
        <w:spacing w:after="0" w:line="70"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-7620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52070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6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89"/>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126365</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9" w:lineRule="exact"/>
        <w:rPr>
          <w:sz w:val="24"/>
          <w:szCs w:val="24"/>
          <w:color w:val="auto"/>
        </w:rPr>
      </w:pPr>
    </w:p>
    <w:tbl>
      <w:tblPr>
        <w:tblLayout w:type="fixed"/>
        <w:tblInd w:w="1000" w:type="dxa"/>
        <w:tblCellMar>
          <w:top w:w="0" w:type="dxa"/>
          <w:left w:w="0" w:type="dxa"/>
          <w:bottom w:w="0" w:type="dxa"/>
          <w:right w:w="0" w:type="dxa"/>
        </w:tblCellMar>
      </w:tblPr>
      <w:tr>
        <w:trPr>
          <w:trHeight w:val="19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6"/>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ind w:right="64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54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580" w:type="dxa"/>
            <w:vAlign w:val="bottom"/>
          </w:tcPr>
          <w:p>
            <w:pPr>
              <w:ind w:left="12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3"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36"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January 24, 2024, 52,183,780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60" w:type="dxa"/>
            <w:vAlign w:val="bottom"/>
            <w:gridSpan w:val="11"/>
          </w:tcPr>
          <w:p>
            <w:pPr>
              <w:jc w:val="center"/>
              <w:ind w:right="478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gridSpan w:val="12"/>
          </w:tcPr>
          <w:p>
            <w:pPr>
              <w:jc w:val="center"/>
              <w:ind w:right="41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980" w:type="dxa"/>
            <w:vAlign w:val="bottom"/>
            <w:gridSpan w:val="30"/>
          </w:tcPr>
          <w:p>
            <w:pPr>
              <w:spacing w:after="0"/>
              <w:rPr>
                <w:sz w:val="20"/>
                <w:szCs w:val="20"/>
                <w:color w:val="auto"/>
              </w:rPr>
            </w:pPr>
            <w:r>
              <w:rPr>
                <w:rFonts w:ascii="Arial" w:cs="Arial" w:eastAsia="Arial" w:hAnsi="Arial"/>
                <w:sz w:val="18"/>
                <w:szCs w:val="18"/>
                <w:color w:val="0000FF"/>
              </w:rPr>
              <w:t>PART I —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7400" w:type="dxa"/>
            <w:vAlign w:val="bottom"/>
            <w:gridSpan w:val="1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8"/>
          </w:tcPr>
          <w:p>
            <w:pPr>
              <w:spacing w:after="0"/>
              <w:rPr>
                <w:sz w:val="20"/>
                <w:szCs w:val="20"/>
                <w:color w:val="auto"/>
              </w:rPr>
            </w:pPr>
            <w:r>
              <w:rPr>
                <w:rFonts w:ascii="Arial" w:cs="Arial" w:eastAsia="Arial" w:hAnsi="Arial"/>
                <w:sz w:val="18"/>
                <w:szCs w:val="18"/>
                <w:color w:val="0000FF"/>
              </w:rPr>
              <w:t>Condensed Consolidated Balance Sheets as of December 31, 2023 and 2022 and September 30, 2023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8"/>
          </w:tcPr>
          <w:p>
            <w:pPr>
              <w:spacing w:after="0"/>
              <w:rPr>
                <w:sz w:val="20"/>
                <w:szCs w:val="20"/>
                <w:color w:val="auto"/>
              </w:rPr>
            </w:pPr>
            <w:r>
              <w:rPr>
                <w:rFonts w:ascii="Arial" w:cs="Arial" w:eastAsia="Arial" w:hAnsi="Arial"/>
                <w:sz w:val="18"/>
                <w:szCs w:val="18"/>
                <w:color w:val="0000FF"/>
              </w:rPr>
              <w:t>Condensed Consolidated Statements of Operations for the Three Months Ended December 31, 2023 and 2022</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Condensed Consolidated Statements of Comprehensive Income for the Three Months Ended December 31, 2023 and</w:t>
            </w:r>
          </w:p>
        </w:tc>
        <w:tc>
          <w:tcPr>
            <w:tcW w:w="920" w:type="dxa"/>
            <w:vAlign w:val="bottom"/>
          </w:tcPr>
          <w:p>
            <w:pPr>
              <w:spacing w:after="0"/>
              <w:rPr>
                <w:sz w:val="18"/>
                <w:szCs w:val="18"/>
                <w:color w:val="auto"/>
              </w:rPr>
            </w:pP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74"/>
        </w:trPr>
        <w:tc>
          <w:tcPr>
            <w:tcW w:w="1080" w:type="dxa"/>
            <w:vAlign w:val="bottom"/>
            <w:gridSpan w:val="4"/>
            <w:vMerge w:val="restart"/>
          </w:tcPr>
          <w:p>
            <w:pPr>
              <w:ind w:left="680"/>
              <w:spacing w:after="0" w:line="156" w:lineRule="exact"/>
              <w:rPr>
                <w:sz w:val="20"/>
                <w:szCs w:val="20"/>
                <w:color w:val="auto"/>
              </w:rPr>
            </w:pPr>
            <w:r>
              <w:rPr>
                <w:rFonts w:ascii="Arial" w:cs="Arial" w:eastAsia="Arial" w:hAnsi="Arial"/>
                <w:sz w:val="18"/>
                <w:szCs w:val="18"/>
                <w:color w:val="0000FF"/>
                <w:w w:val="94"/>
              </w:rPr>
              <w:t>2022</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0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80" w:type="dxa"/>
            <w:vAlign w:val="bottom"/>
            <w:gridSpan w:val="26"/>
          </w:tcPr>
          <w:p>
            <w:pPr>
              <w:spacing w:after="0"/>
              <w:rPr>
                <w:sz w:val="20"/>
                <w:szCs w:val="20"/>
                <w:color w:val="auto"/>
              </w:rPr>
            </w:pPr>
            <w:r>
              <w:rPr>
                <w:rFonts w:ascii="Arial" w:cs="Arial" w:eastAsia="Arial" w:hAnsi="Arial"/>
                <w:sz w:val="18"/>
                <w:szCs w:val="18"/>
                <w:color w:val="0000FF"/>
                <w:w w:val="99"/>
              </w:rPr>
              <w:t>Condensed Consolidated Statements of Stockholders’ Equity for the Periods Ended December 31, 2023 and 2022</w:t>
            </w:r>
          </w:p>
        </w:tc>
        <w:tc>
          <w:tcPr>
            <w:tcW w:w="1240" w:type="dxa"/>
            <w:vAlign w:val="bottom"/>
            <w:gridSpan w:val="2"/>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Cash Flows for the Three Months Ended December 31, 2023 and 2022</w:t>
            </w:r>
          </w:p>
        </w:tc>
        <w:tc>
          <w:tcPr>
            <w:tcW w:w="1240" w:type="dxa"/>
            <w:vAlign w:val="bottom"/>
            <w:gridSpan w:val="2"/>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500" w:type="dxa"/>
            <w:vAlign w:val="bottom"/>
            <w:gridSpan w:val="3"/>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gridSpan w:val="26"/>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0000FF"/>
                <w:w w:val="93"/>
              </w:rPr>
              <w:t>Note 2: Goodwill</w:t>
            </w:r>
          </w:p>
        </w:tc>
        <w:tc>
          <w:tcPr>
            <w:tcW w:w="4180" w:type="dxa"/>
            <w:vAlign w:val="bottom"/>
            <w:gridSpan w:val="15"/>
          </w:tcPr>
          <w:p>
            <w:pPr>
              <w:spacing w:after="0"/>
              <w:rPr>
                <w:sz w:val="18"/>
                <w:szCs w:val="18"/>
                <w:color w:val="auto"/>
              </w:rPr>
            </w:pPr>
          </w:p>
        </w:tc>
        <w:tc>
          <w:tcPr>
            <w:tcW w:w="4380" w:type="dxa"/>
            <w:vAlign w:val="bottom"/>
            <w:gridSpan w:val="6"/>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9"/>
          </w:tcPr>
          <w:p>
            <w:pPr>
              <w:spacing w:after="0"/>
              <w:rPr>
                <w:sz w:val="20"/>
                <w:szCs w:val="20"/>
                <w:color w:val="auto"/>
              </w:rPr>
            </w:pPr>
            <w:r>
              <w:rPr>
                <w:rFonts w:ascii="Arial" w:cs="Arial" w:eastAsia="Arial" w:hAnsi="Arial"/>
                <w:sz w:val="18"/>
                <w:szCs w:val="18"/>
                <w:color w:val="0000FF"/>
                <w:w w:val="96"/>
              </w:rPr>
              <w:t>Note 3: Earnings Per Share</w:t>
            </w:r>
          </w:p>
        </w:tc>
        <w:tc>
          <w:tcPr>
            <w:tcW w:w="7680" w:type="dxa"/>
            <w:vAlign w:val="bottom"/>
            <w:gridSpan w:val="17"/>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9"/>
          </w:tcPr>
          <w:p>
            <w:pPr>
              <w:spacing w:after="0"/>
              <w:rPr>
                <w:sz w:val="20"/>
                <w:szCs w:val="20"/>
                <w:color w:val="auto"/>
              </w:rPr>
            </w:pPr>
            <w:r>
              <w:rPr>
                <w:rFonts w:ascii="Arial" w:cs="Arial" w:eastAsia="Arial" w:hAnsi="Arial"/>
                <w:sz w:val="18"/>
                <w:szCs w:val="18"/>
                <w:color w:val="0000FF"/>
              </w:rPr>
              <w:t>Note 4: Leases</w:t>
            </w:r>
          </w:p>
        </w:tc>
        <w:tc>
          <w:tcPr>
            <w:tcW w:w="7680" w:type="dxa"/>
            <w:vAlign w:val="bottom"/>
            <w:gridSpan w:val="17"/>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6"/>
              </w:rPr>
              <w:t>Note 5: Strategic Investments</w:t>
            </w:r>
          </w:p>
        </w:tc>
        <w:tc>
          <w:tcPr>
            <w:tcW w:w="752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6"/>
              </w:rPr>
              <w:t>Note 6: Fair Value Measurements</w:t>
            </w:r>
          </w:p>
        </w:tc>
        <w:tc>
          <w:tcPr>
            <w:tcW w:w="72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gridSpan w:val="26"/>
          </w:tcPr>
          <w:p>
            <w:pPr>
              <w:spacing w:after="0"/>
              <w:rPr>
                <w:sz w:val="20"/>
                <w:szCs w:val="20"/>
                <w:color w:val="auto"/>
              </w:rPr>
            </w:pPr>
            <w:r>
              <w:rPr>
                <w:rFonts w:ascii="Arial" w:cs="Arial" w:eastAsia="Arial" w:hAnsi="Arial"/>
                <w:sz w:val="18"/>
                <w:szCs w:val="18"/>
                <w:color w:val="0000FF"/>
              </w:rPr>
              <w:t>Note 7: Debt</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Note 8: Common Stock and Stock Compensation</w:t>
            </w:r>
          </w:p>
        </w:tc>
        <w:tc>
          <w:tcPr>
            <w:tcW w:w="5960" w:type="dxa"/>
            <w:vAlign w:val="bottom"/>
            <w:gridSpan w:val="11"/>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7"/>
              </w:rPr>
              <w:t>Note 9: Commitments and Contingencies</w:t>
            </w:r>
          </w:p>
        </w:tc>
        <w:tc>
          <w:tcPr>
            <w:tcW w:w="6600" w:type="dxa"/>
            <w:vAlign w:val="bottom"/>
            <w:gridSpan w:val="1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6"/>
              </w:rPr>
              <w:t>Note 10: Segment Information</w:t>
            </w:r>
          </w:p>
        </w:tc>
        <w:tc>
          <w:tcPr>
            <w:tcW w:w="7480" w:type="dxa"/>
            <w:vAlign w:val="bottom"/>
            <w:gridSpan w:val="15"/>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Note 11: Supplemental Consolidated Financial Information</w:t>
            </w:r>
          </w:p>
        </w:tc>
        <w:tc>
          <w:tcPr>
            <w:tcW w:w="5240" w:type="dxa"/>
            <w:vAlign w:val="bottom"/>
            <w:gridSpan w:val="7"/>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29"/>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4"/>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98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21"/>
          </w:tcPr>
          <w:p>
            <w:pPr>
              <w:ind w:left="20"/>
              <w:spacing w:after="0"/>
              <w:rPr>
                <w:sz w:val="20"/>
                <w:szCs w:val="20"/>
                <w:color w:val="auto"/>
              </w:rPr>
            </w:pPr>
            <w:r>
              <w:rPr>
                <w:rFonts w:ascii="Arial" w:cs="Arial" w:eastAsia="Arial" w:hAnsi="Arial"/>
                <w:sz w:val="18"/>
                <w:szCs w:val="18"/>
                <w:color w:val="0000FF"/>
              </w:rPr>
              <w:t>Item 4. Controls and Procedures</w:t>
            </w:r>
          </w:p>
        </w:tc>
        <w:tc>
          <w:tcPr>
            <w:tcW w:w="5360" w:type="dxa"/>
            <w:vAlign w:val="bottom"/>
            <w:gridSpan w:val="8"/>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80" w:type="dxa"/>
            <w:vAlign w:val="bottom"/>
            <w:gridSpan w:val="30"/>
          </w:tcPr>
          <w:p>
            <w:pPr>
              <w:spacing w:after="0"/>
              <w:rPr>
                <w:sz w:val="20"/>
                <w:szCs w:val="20"/>
                <w:color w:val="auto"/>
              </w:rPr>
            </w:pPr>
            <w:r>
              <w:rPr>
                <w:rFonts w:ascii="Arial" w:cs="Arial" w:eastAsia="Arial" w:hAnsi="Arial"/>
                <w:sz w:val="18"/>
                <w:szCs w:val="18"/>
                <w:color w:val="0000FF"/>
              </w:rPr>
              <w:t>PART II — OTHER INFORMATION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Item 1. Legal Proceedings</w:t>
            </w:r>
          </w:p>
        </w:tc>
        <w:tc>
          <w:tcPr>
            <w:tcW w:w="8160" w:type="dxa"/>
            <w:vAlign w:val="bottom"/>
            <w:gridSpan w:val="20"/>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8"/>
          </w:tcPr>
          <w:p>
            <w:pPr>
              <w:ind w:left="20"/>
              <w:spacing w:after="0"/>
              <w:rPr>
                <w:sz w:val="20"/>
                <w:szCs w:val="20"/>
                <w:color w:val="auto"/>
              </w:rPr>
            </w:pPr>
            <w:r>
              <w:rPr>
                <w:rFonts w:ascii="Arial" w:cs="Arial" w:eastAsia="Arial" w:hAnsi="Arial"/>
                <w:sz w:val="18"/>
                <w:szCs w:val="18"/>
                <w:color w:val="0000FF"/>
              </w:rPr>
              <w:t>Item 1A. Risk Factors</w:t>
            </w:r>
          </w:p>
        </w:tc>
        <w:tc>
          <w:tcPr>
            <w:tcW w:w="8560" w:type="dxa"/>
            <w:vAlign w:val="bottom"/>
            <w:gridSpan w:val="21"/>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Item 2. Unregistered Sale of Equity Security and Use of Proceeds</w:t>
            </w:r>
          </w:p>
        </w:tc>
        <w:tc>
          <w:tcPr>
            <w:tcW w:w="5420" w:type="dxa"/>
            <w:vAlign w:val="bottom"/>
            <w:gridSpan w:val="9"/>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29"/>
          </w:tcPr>
          <w:p>
            <w:pPr>
              <w:ind w:left="20"/>
              <w:spacing w:after="0"/>
              <w:rPr>
                <w:sz w:val="20"/>
                <w:szCs w:val="20"/>
                <w:color w:val="auto"/>
              </w:rPr>
            </w:pPr>
            <w:r>
              <w:rPr>
                <w:rFonts w:ascii="Arial" w:cs="Arial" w:eastAsia="Arial" w:hAnsi="Arial"/>
                <w:sz w:val="18"/>
                <w:szCs w:val="18"/>
                <w:color w:val="0000FF"/>
              </w:rPr>
              <w:t>Item 5. Other Information</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7"/>
              </w:rPr>
              <w:t>Item 6. Exhibits</w:t>
            </w:r>
          </w:p>
        </w:tc>
        <w:tc>
          <w:tcPr>
            <w:tcW w:w="760" w:type="dxa"/>
            <w:vAlign w:val="bottom"/>
            <w:tcBorders>
              <w:top w:val="single" w:sz="8" w:color="0000FF"/>
            </w:tcBorders>
            <w:gridSpan w:val="3"/>
          </w:tcPr>
          <w:p>
            <w:pPr>
              <w:spacing w:after="0"/>
              <w:rPr>
                <w:sz w:val="18"/>
                <w:szCs w:val="18"/>
                <w:color w:val="auto"/>
              </w:rPr>
            </w:pPr>
          </w:p>
        </w:tc>
        <w:tc>
          <w:tcPr>
            <w:tcW w:w="8660" w:type="dxa"/>
            <w:vAlign w:val="bottom"/>
            <w:gridSpan w:val="22"/>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0"/>
          </w:tcPr>
          <w:p>
            <w:pPr>
              <w:spacing w:after="0"/>
              <w:rPr>
                <w:sz w:val="20"/>
                <w:szCs w:val="20"/>
                <w:color w:val="auto"/>
              </w:rPr>
            </w:pPr>
            <w:r>
              <w:rPr>
                <w:rFonts w:ascii="Arial" w:cs="Arial" w:eastAsia="Arial" w:hAnsi="Arial"/>
                <w:sz w:val="18"/>
                <w:szCs w:val="18"/>
                <w:color w:val="0000FF"/>
              </w:rPr>
              <w:t>SIGNATURES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220,595</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719,719</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37,789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55,612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297,361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302,372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25,702</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1,481,193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1,402,315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r>
        <w:trPr>
          <w:trHeight w:val="417"/>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18,920</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191,972</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10,502</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706,310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696,980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721,943</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Non-voting Common Stock, par value $0.01 per share; shares authorized: 100</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million; issued and outstanding: 52,272,594 as of December 31, 2023; 52,877,930 as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of December 31, 2022; and 51,869,569 as of September 30, 2023</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457,929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414,929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431,140</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774,883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705,335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1,481,193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1,402,315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4"/>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51"/>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179,403</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163,787</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14,082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7,884</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106,449</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92,593</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299,991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115,210</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104,877</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12,208</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172,573</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152,497</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110,555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100,803</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16,543</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15,476</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8,565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135,491</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124,251</w:t>
            </w:r>
          </w:p>
        </w:tc>
      </w:tr>
      <w:tr>
        <w:trPr>
          <w:trHeight w:val="210"/>
        </w:trPr>
        <w:tc>
          <w:tcPr>
            <w:tcW w:w="824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37,082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28,246</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3,440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8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37,705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24,538</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9,235</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7,760</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28,470</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r>
      <w:tr>
        <w:trPr>
          <w:trHeight w:val="216"/>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0.52</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55,076</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56,308</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86,812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83,779</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7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Foreign currency translation adjustment, net of income tax benefit for our investment in unconsolidated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15"/>
        </w:trPr>
        <w:tc>
          <w:tcPr>
            <w:tcW w:w="7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affiliate of $57 and $396 for the three months ended December 31, 2023, and 2022, 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1"/>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4"/>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880" w:type="dxa"/>
            <w:vAlign w:val="bottom"/>
            <w:gridSpan w:val="4"/>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5"/>
                <w:szCs w:val="5"/>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54,840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8"/>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4,633</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28,470</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55,243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553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343,870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774,883</w:t>
            </w:r>
          </w:p>
        </w:tc>
        <w:tc>
          <w:tcPr>
            <w:tcW w:w="0" w:type="dxa"/>
            <w:vAlign w:val="bottom"/>
          </w:tcPr>
          <w:p>
            <w:pPr>
              <w:spacing w:after="0"/>
              <w:rPr>
                <w:sz w:val="1"/>
                <w:szCs w:val="1"/>
                <w:color w:val="auto"/>
              </w:rPr>
            </w:pPr>
          </w:p>
        </w:tc>
      </w:tr>
      <w:tr>
        <w:trPr>
          <w:trHeight w:val="396"/>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jc w:val="center"/>
              <w:ind w:right="140"/>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1"/>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4"/>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880" w:type="dxa"/>
            <w:vAlign w:val="bottom"/>
            <w:gridSpan w:val="4"/>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5"/>
                <w:szCs w:val="5"/>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10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56,425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345,330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692,231</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1,886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equity consideration for acquisition</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16,778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2022</w:t>
            </w:r>
          </w:p>
        </w:tc>
        <w:tc>
          <w:tcPr>
            <w:tcW w:w="9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55,848</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343,012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414,929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(53,165)</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705,335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ind w:left="1820"/>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28,470</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r>
      <w:tr>
        <w:trPr>
          <w:trHeight w:val="215"/>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8,565</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14,744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income from 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(1,584)</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on extinguishment of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Pawn service charges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(5,823)</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(33,991)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(34,761)</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8,309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6,574</w:t>
            </w:r>
          </w:p>
        </w:tc>
      </w:tr>
      <w:tr>
        <w:trPr>
          <w:trHeight w:val="216"/>
        </w:trPr>
        <w:tc>
          <w:tcPr>
            <w:tcW w:w="8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21,481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11,668</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(216,978)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(189,074)</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123,021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109,125</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98,209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88,030</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(12,884)</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notes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1,745</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(44,618)</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(7,403)</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(178,488)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(7,027)</w:t>
            </w:r>
          </w:p>
        </w:tc>
      </w:tr>
      <w:tr>
        <w:trPr>
          <w:trHeight w:val="230"/>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(6,392)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33,993</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228,968</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226,986</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216,017</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00497F"/>
        </w:rPr>
        <w:t>Notes to Condensed Consolidated Financial Statements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497F"/>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62"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22" w:lineRule="exact"/>
        <w:rPr>
          <w:sz w:val="20"/>
          <w:szCs w:val="20"/>
          <w:color w:val="auto"/>
        </w:rPr>
      </w:pPr>
    </w:p>
    <w:p>
      <w:pPr>
        <w:jc w:val="both"/>
        <w:ind w:right="1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2023, filed with the Securities and Exchange Commission (“SEC”) on November 15, 2023 (“2023 Annual Report”).</w:t>
      </w:r>
    </w:p>
    <w:p>
      <w:pPr>
        <w:spacing w:after="0" w:line="117"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the opinion of management, the accompanying Condensed Consolidated Financial Statements include all adjustments, consisting of normal recurring adjustments, considered necessary for a fair presentation. Financial results for the three-month period ended December 31, 2023, are not necessarily indicative of results that may be expected for the fiscal year ending September 30, 2024 or any other period due, in part, to seasonal variations. There have been no changes that have had a material impact in significant accounting policies as described in our 2023 </w:t>
      </w:r>
      <w:hyperlink r:id="rId21">
        <w:r>
          <w:rPr>
            <w:rFonts w:ascii="Arial" w:cs="Arial" w:eastAsia="Arial" w:hAnsi="Arial"/>
            <w:sz w:val="18"/>
            <w:szCs w:val="18"/>
            <w:color w:val="auto"/>
          </w:rPr>
          <w:t>Annual Report.</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Sales Revenue Recognition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Customer layaway deposits are recorded as liabilities when a customer provides a deposit for merchandise. Customer layaway deposits are generally refundable upon cancellation. Our customer layaway deposits balance as of December 31, 2023, 2022 and September 30, 2023 was $18.3 million, $16.3 million and $18.9 million, respectively, and are generally recognized as revenue within a one-year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account for our investment in Rich Data Corporation (“RDC”) in accordance with Accounting Standards Codification (“ASC”) 321, Investments — Equity Securities, and we have elected to use the measurement alternative to measure this investment at cost, less any impairment, plus or minus changes resulting from observable price changes in orderly transactions for identical or similar investments of the same issuer, if any. As of December 31, 2023 and September 30, 2023, the carrying value of our investment in RDC was $6.2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Strategic Investments for details on our investment in Founders One, LLC (“Founders”).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October 2023, the Financial Accounting Standards Board (“FASB”) issued Accounting Standards Update (“ASU”) 2023-06, </w:t>
      </w:r>
      <w:r>
        <w:rPr>
          <w:rFonts w:ascii="Arial" w:cs="Arial" w:eastAsia="Arial" w:hAnsi="Arial"/>
          <w:sz w:val="18"/>
          <w:szCs w:val="18"/>
          <w:i w:val="1"/>
          <w:iCs w:val="1"/>
          <w:color w:val="auto"/>
        </w:rPr>
        <w:t>Disclosure</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Improvements - Codification Amendments in Response to the SEC’s Disclosure Update and Simplification Initiative </w:t>
      </w:r>
      <w:r>
        <w:rPr>
          <w:rFonts w:ascii="Arial" w:cs="Arial" w:eastAsia="Arial" w:hAnsi="Arial"/>
          <w:sz w:val="18"/>
          <w:szCs w:val="18"/>
          <w:color w:val="auto"/>
        </w:rPr>
        <w:t>(“ASU 2023-06”).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spacing w:after="0" w:line="19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i w:val="1"/>
          <w:iCs w:val="1"/>
          <w:color w:val="auto"/>
        </w:rPr>
        <w:t>Segment Reporting (Topic 280): Improvements to Reportable Segment Disclosures</w:t>
      </w:r>
      <w:r>
        <w:rPr>
          <w:rFonts w:ascii="Arial" w:cs="Arial" w:eastAsia="Arial" w:hAnsi="Arial"/>
          <w:sz w:val="17"/>
          <w:szCs w:val="17"/>
          <w:color w:val="auto"/>
        </w:rPr>
        <w:t xml:space="preserve"> (“ASU 2023-07”). ASU 2023-07 requires disclosure of significant segment expenses regularly provided to the chief operating decision maker</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(“CODM”) included within segment operating profit or loss. Additionally, the ASU requires a description of how the CODM utilizes segment operating profit or loss to assess segment performance. The requirements of this ASU 2023-07 are effective for the Company for fiscal years beginning after December 15, 2023, and interim periods within fiscal years beginning after December 15, 2024. Early adoption is permitted, and retrospective application is required for all periods presented. We are currently evaluating the impact of this standard on our consolidated</w:t>
      </w:r>
    </w:p>
    <w:p>
      <w:pPr>
        <w:spacing w:after="0"/>
        <w:rPr>
          <w:sz w:val="20"/>
          <w:szCs w:val="20"/>
          <w:color w:val="auto"/>
        </w:rPr>
      </w:pPr>
      <w:r>
        <w:rPr>
          <w:rFonts w:ascii="Arial" w:cs="Arial" w:eastAsia="Arial" w:hAnsi="Arial"/>
          <w:sz w:val="18"/>
          <w:szCs w:val="18"/>
          <w:color w:val="auto"/>
        </w:rPr>
        <w:t>financial statements and related disclosures.</w:t>
      </w:r>
    </w:p>
    <w:p>
      <w:pPr>
        <w:spacing w:after="0" w:line="207"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Disclosures</w:t>
      </w:r>
      <w:r>
        <w:rPr>
          <w:rFonts w:ascii="Arial" w:cs="Arial" w:eastAsia="Arial" w:hAnsi="Arial"/>
          <w:sz w:val="17"/>
          <w:szCs w:val="17"/>
          <w:color w:val="auto"/>
        </w:rPr>
        <w:t xml:space="preserve"> (“ASU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w:t>
      </w:r>
    </w:p>
    <w:p>
      <w:pPr>
        <w:spacing w:after="0" w:line="2"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We are currently evaluating the impact of this standard on our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Three Months Ended December 31, 2023</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60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255,942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302,372</w:t>
            </w: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256,358</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303,799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 Amount represents goodwill recognized in connection with an immaterial acquisition within the U.S. Pawn segment and we have therefore omitted certain disclosures.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Three Months Ended December 31, 2022</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60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286,828</w:t>
            </w: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9,413</w:t>
            </w:r>
          </w:p>
        </w:tc>
      </w:tr>
      <w:tr>
        <w:trPr>
          <w:trHeight w:val="21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254,916</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297,361</w:t>
            </w:r>
          </w:p>
        </w:tc>
      </w:tr>
    </w:tbl>
    <w:p>
      <w:pPr>
        <w:spacing w:after="0" w:line="112" w:lineRule="exact"/>
        <w:rPr>
          <w:sz w:val="20"/>
          <w:szCs w:val="20"/>
          <w:color w:val="auto"/>
        </w:rPr>
      </w:pPr>
    </w:p>
    <w:p>
      <w:pPr>
        <w:ind w:left="180" w:right="180" w:hanging="172"/>
        <w:spacing w:after="0" w:line="305" w:lineRule="auto"/>
        <w:tabs>
          <w:tab w:leader="none" w:pos="234"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represents goodwill recognized in connection with acquisitions within the U.S. Pawn segment that were immaterial, individually and in the aggregate, and we have therefore omitted certain disclosures.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EARNINGS PER SHARE</w:t>
      </w:r>
    </w:p>
    <w:p>
      <w:pPr>
        <w:spacing w:after="0" w:line="17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64"/>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64"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28,470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16,778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55,076</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56,308</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r>
      <w:tr>
        <w:trPr>
          <w:trHeight w:val="203"/>
        </w:trPr>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r>
      <w:tr>
        <w:trPr>
          <w:trHeight w:val="215"/>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w:t>
            </w:r>
          </w:p>
        </w:tc>
      </w:tr>
      <w:tr>
        <w:trPr>
          <w:trHeight w:val="21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31,129</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21,318</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55,076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56,308</w:t>
            </w:r>
          </w:p>
        </w:tc>
      </w:tr>
      <w:tr>
        <w:trPr>
          <w:trHeight w:val="217"/>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 awards - effect of dilution**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15"/>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Convertible Notes - effect of dilution***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26,353</w:t>
            </w:r>
          </w:p>
        </w:tc>
      </w:tr>
      <w:tr>
        <w:trPr>
          <w:trHeight w:val="20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86,812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83,779</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r>
      <w:tr>
        <w:trPr>
          <w:trHeight w:val="94"/>
        </w:trPr>
        <w:tc>
          <w:tcPr>
            <w:tcW w:w="82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Potential common shares excluded from the calculation of diluted earnings per common share above: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r>
    </w:tbl>
    <w:p>
      <w:pPr>
        <w:spacing w:after="0" w:line="85" w:lineRule="exact"/>
        <w:rPr>
          <w:sz w:val="20"/>
          <w:szCs w:val="20"/>
          <w:color w:val="auto"/>
        </w:rPr>
      </w:pPr>
    </w:p>
    <w:p>
      <w:pPr>
        <w:ind w:left="340" w:right="160" w:hanging="332"/>
        <w:spacing w:after="0" w:line="272" w:lineRule="auto"/>
        <w:tabs>
          <w:tab w:leader="none" w:pos="229"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 months ended December 31,2022 includes $3.5 million loss on extinguishment of debt recorded to “Interest expense” in the Company’s condensed consolidated statement of operations. See Note 7: Debt for additional information.</w:t>
      </w:r>
    </w:p>
    <w:p>
      <w:pPr>
        <w:ind w:left="340" w:right="480" w:hanging="332"/>
        <w:spacing w:after="0" w:line="251" w:lineRule="auto"/>
        <w:tabs>
          <w:tab w:leader="none" w:pos="28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7: Debt for conversion price and initial conversion rate of the 2024 Convertible Notes, 2025 Convertible Notes, and 2029 Convertible Notes.</w:t>
      </w:r>
    </w:p>
    <w:p>
      <w:pPr>
        <w:spacing w:after="0" w:line="14" w:lineRule="exact"/>
        <w:rPr>
          <w:rFonts w:ascii="Arial" w:cs="Arial" w:eastAsia="Arial" w:hAnsi="Arial"/>
          <w:sz w:val="14"/>
          <w:szCs w:val="14"/>
          <w:color w:val="auto"/>
        </w:rPr>
      </w:pPr>
    </w:p>
    <w:p>
      <w:pPr>
        <w:ind w:left="340" w:right="200" w:hanging="332"/>
        <w:spacing w:after="0" w:line="284"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LEASES</w:t>
      </w:r>
    </w:p>
    <w:p>
      <w:pPr>
        <w:spacing w:after="0" w:line="17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 and finance leases for vehicles with lease terms ranging from two to five years.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table below presents balances of our lease assets and liabilities and their balance sheet locations for both operating and financing leases:</w:t>
      </w:r>
    </w:p>
    <w:tbl>
      <w:tblPr>
        <w:tblLayout w:type="fixed"/>
        <w:tblInd w:w="0" w:type="dxa"/>
        <w:tblCellMar>
          <w:top w:w="0" w:type="dxa"/>
          <w:left w:w="0" w:type="dxa"/>
          <w:bottom w:w="0" w:type="dxa"/>
          <w:right w:w="0" w:type="dxa"/>
        </w:tblCellMar>
      </w:tblPr>
      <w:tr>
        <w:trPr>
          <w:trHeight w:val="164"/>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Pr>
          <w:p>
            <w:pPr>
              <w:spacing w:after="0"/>
              <w:rPr>
                <w:sz w:val="14"/>
                <w:szCs w:val="14"/>
                <w:color w:val="auto"/>
              </w:rPr>
            </w:pPr>
          </w:p>
        </w:tc>
        <w:tc>
          <w:tcPr>
            <w:tcW w:w="140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c>
          <w:tcPr>
            <w:tcW w:w="140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c>
          <w:tcPr>
            <w:tcW w:w="130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2720" w:type="dxa"/>
            <w:vAlign w:val="bottom"/>
            <w:vMerge w:val="continue"/>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assets:</w:t>
            </w:r>
          </w:p>
        </w:tc>
        <w:tc>
          <w:tcPr>
            <w:tcW w:w="3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assets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04"/>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3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233,227</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230,554</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236,566</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162"/>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Accounts payable, accrued expenses and other</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58,552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57,712</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non-current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190,119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189,177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194,902</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liabilities</w:t>
            </w:r>
          </w:p>
        </w:tc>
        <w:tc>
          <w:tcPr>
            <w:tcW w:w="3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248,671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242,097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252,614</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5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cost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23,281</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21,347</w:t>
            </w:r>
          </w:p>
        </w:tc>
      </w:tr>
      <w:tr>
        <w:trPr>
          <w:trHeight w:val="418"/>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Financing lease cost:</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financing lease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financing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cost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23,497</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Includes a reduction for sublease rental income of $1.1 million and $0.8 million for the three months ended December 31, 2023 and 2022, respectively.</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 Cash paid for operating leases was $20.3 million and $21.4 million for the three months ended December 31, 2023 and 2022, respectively. Cash paid for principal and interest on finance leases was $0.1 million and $ 0.1 million, respectively, for the three months ended December 31,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There was no cash paid for principal and interest on finance leases during the three months ended December 31, 2022.</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term and discount rates for leases are as follows:</w:t>
      </w:r>
    </w:p>
    <w:p>
      <w:pPr>
        <w:spacing w:after="0" w:line="4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49"/>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70"/>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8.36 %</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maturities of lease liabilities under ASC 842 by fiscal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Financing Leases</w:t>
            </w: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42,810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r>
      <w:tr>
        <w:trPr>
          <w:trHeight w:val="215"/>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imputed interest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55,112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10"/>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r>
      <w:tr>
        <w:trPr>
          <w:trHeight w:val="215"/>
        </w:trPr>
        <w:tc>
          <w:tcPr>
            <w:tcW w:w="79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r>
      <w:tr>
        <w:trPr>
          <w:trHeight w:val="217"/>
        </w:trPr>
        <w:tc>
          <w:tcPr>
            <w:tcW w:w="7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long term net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188,475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r>
    </w:tbl>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recorded $9.3 million and $ 20.5 million in non-cash additions to our operating right-of-use assets and lease liabilities for the three months ended December 31, 2023 and 2022, respectively. We recorded $0.1 million and $0.4 million in non-cash finance lease additions for the three months ended December 31, 2023 and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4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of December 31, 2023, we owned 273,939,157 shares, or approximately 43.7%, of Cash Converters. We acquired our original investment (representing approximately 30% of the outstanding shares) in November 2009 and have increased our ownership through the acquisition of additional shares periodically since that time.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received cash dividends from Cash Converters of $1.7 million and $1.8 million, during the three months ended December 31, 2023 and 2022, respectively.</w:t>
      </w:r>
    </w:p>
    <w:p>
      <w:pPr>
        <w:spacing w:after="0" w:line="9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June 30, 2023 after translation to U.S.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158,987</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103,595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170,798</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293,158</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329,785</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59,256</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58,777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53,045</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136,751</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217,484</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293,158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329,785</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Full-Year Ended June 30,</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178,215</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125,709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116,106</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12529"/>
        </w:rPr>
        <w:t xml:space="preserve">During the three months ended December 31, 2023 and 2022, we recorded our share of income of $1.2 million and $1.6 million, respectively, from Cash Converters, included in </w:t>
      </w:r>
      <w:r>
        <w:rPr>
          <w:rFonts w:ascii="Arial" w:cs="Arial" w:eastAsia="Arial" w:hAnsi="Arial"/>
          <w:sz w:val="18"/>
          <w:szCs w:val="18"/>
          <w:color w:val="000000"/>
        </w:rPr>
        <w:t>“Equity in net income of unconsolidated affiliates”</w:t>
      </w:r>
      <w:r>
        <w:rPr>
          <w:rFonts w:ascii="Arial" w:cs="Arial" w:eastAsia="Arial" w:hAnsi="Arial"/>
          <w:sz w:val="18"/>
          <w:szCs w:val="18"/>
          <w:color w:val="212529"/>
        </w:rPr>
        <w:t xml:space="preserve"> in the condensed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investment in Cash Converters.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then newly-formed entity with one other member.</w:t>
      </w:r>
    </w:p>
    <w:p>
      <w:pPr>
        <w:spacing w:after="0" w:line="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December 2, 2022, we contributed an additional $15.0 million to Founders associated with our preferred interest. In addition, we loaned $15.0 million to Founders in exchange for a Demand Promissory Note secured by the common interest in Founders held by the other member.</w:t>
      </w:r>
    </w:p>
    <w:p>
      <w:pPr>
        <w:spacing w:after="0" w:line="9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In October 2023, we contributed an additional $15.0 million to Founders associated with our preferred interest, bringing our total equity investment in Founders to $45.0 million.</w:t>
      </w:r>
    </w:p>
    <w:p>
      <w:pPr>
        <w:spacing w:after="0" w:line="5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ASC 321, Investments — Equity Securities. As of December 31, 2023, our $45.0 million carrying value of the investment and $15.0 million Demand Promissory Note are included in “Other investments” and “Prepaid expenses and other current assets” in our condensed consolidated balance sheets, respectively. As of December 31, 2023, our maximum exposure for losses related to our investment in Founders was our $45.0 million equity investment and $15.0 million Demand Promissory Note plus accrued and unpaid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loan to Founders.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2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17,073</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15,100</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liabilities, we estimate that their carrying value approximates fair value. We consider our cash and cash equivalents, including money market accounts, to be measured using Level 1 inputs and our pawn loans, pawn service charges receivable and other liabilities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Based primarily on the short-term nature of the note, we estimate that its carrying value approximates fair value as of December 31, 2023. As of December 31, 2023, our $1.3 million carrying value of the promissory note is recorded within “Prepaid expenses and other current assets” in our condensed consolidated balance sheets.</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December 2022, we loaned $15.0 million to Founders in exchange for a Demand Promissory Note secured by the common interest in Founders held by the other member. As of December 31, 2023, the interest rate on the note was 15.00% per annum, and all principal and accrued interest is due on demand. Based primarily on the short-term nature of the note, we estimate that its carrying value approximates fair value as of December 31, 2023.</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223,284</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102,563</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360,530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358,984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360,112</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7"/>
        </w:trPr>
        <w:tc>
          <w:tcPr>
            <w:tcW w:w="2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358,984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Schedule of Contractual Maturities</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2029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2025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2024 Convertible Notes</w:t>
            </w:r>
          </w:p>
        </w:tc>
        <w:tc>
          <w:tcPr>
            <w:tcW w:w="44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34"/>
        </w:trPr>
        <w:tc>
          <w:tcPr>
            <w:tcW w:w="3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2024</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103,373</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3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367,762</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months ended December 31, 2023 and 2022:</w:t>
      </w:r>
    </w:p>
    <w:tbl>
      <w:tblPr>
        <w:tblLayout w:type="fixed"/>
        <w:tblInd w:w="0" w:type="dxa"/>
        <w:tblCellMar>
          <w:top w:w="0" w:type="dxa"/>
          <w:left w:w="0" w:type="dxa"/>
          <w:bottom w:w="0" w:type="dxa"/>
          <w:right w:w="0" w:type="dxa"/>
        </w:tblCellMar>
      </w:tblPr>
      <w:tr>
        <w:trPr>
          <w:trHeight w:val="164"/>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64"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2029 Convertible Notes: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417"/>
        </w:trPr>
        <w:tc>
          <w:tcPr>
            <w:tcW w:w="8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Gain on extinguishment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w:t>
            </w:r>
          </w:p>
        </w:tc>
      </w:tr>
      <w:tr>
        <w:trPr>
          <w:trHeight w:val="217"/>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(4,259)</w:t>
            </w:r>
          </w:p>
        </w:tc>
      </w:tr>
      <w:tr>
        <w:trPr>
          <w:trHeight w:val="203"/>
        </w:trPr>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Loss on extinguishment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w:t>
            </w:r>
          </w:p>
        </w:tc>
      </w:tr>
      <w:tr>
        <w:trPr>
          <w:trHeight w:val="217"/>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9,949</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3.750% Convertible Senior Notes Due 2029</w:t>
      </w:r>
    </w:p>
    <w:p>
      <w:pPr>
        <w:spacing w:after="0" w:line="171"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color w:val="auto"/>
        </w:rPr>
        <w:t>In December 2022, we issued $230.0 million aggregate principal amount of 3.750% Convertible Senior Notes Due 2029 (the “2029 Convertible Notes”), for which $230.0 million remains outstanding as of December 31, 2023. The 2029 Convertible Notes were</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w:t>
      </w:r>
    </w:p>
    <w:p>
      <w:pPr>
        <w:spacing w:after="0" w:line="1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effective interest rate for the three months ended December 31, 2023 was approximately 4.28%. As of December 31, 2023, the remaining unamortized debt issuance costs will be amortized using the effective interest method through the 2029 Maturity Date assuming no early conversion.</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not redeem the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2023. As of December 31, 2023, the if-converted value of the 2029 Convertible Notes did not exceed the principal amount.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Repurchases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the Company’s condensed consolidated statement of operations for the three months ended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for which $103.4 million remains outstanding as of December 31, 2023.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13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effective interest rate for the three months ended December 31, 2023 was approximately 2.88% for the 2025 Convertible Notes. As of December 31, 2023, the remaining unamortized debt issuance costs will be amortized using the effective interest method through the 2025 Maturity Date assuming no early conversion.</w:t>
      </w:r>
    </w:p>
    <w:p>
      <w:pPr>
        <w:spacing w:after="0" w:line="12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11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3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3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2023. As of December 31, 2023, the if-converted value of the 2025 Convertible Notes did not exceed the principal amount.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for which $34.4 million remains outstanding as of December 31, 2023.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effective interest rate for the three months ended December 31, 2023 was approximately 3.35%. As of December 31, 2023, the remaining unamortized debt issuance costs will be amortized using the effective interest method through the 2024 Maturity Date assuming no early conversion.</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January 1, 2024, the 2024 Convertible Notes would have been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was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had called any or all of the 2024 Convertible Notes for redemption, at any time prior to the close of business on the business day immediately preceding the redemption date; or (4) upon the occurrence of specified corporate events, as defined in the 2017 Indenture. From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December 31, 2023. As of December 31, 2023, the if-converted value of the 2024 Convertible Notes did not exceed the principal amount.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COMMON STOCK AND STOCK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On May 3, 2022, the Company’s Board of Directors (the “Board”) authorized the repurchase of up to $ 50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December 31, 2023, we had repurchased and retired 1,981,927 shares of our Class A Common Stock for $17.0 million under the Common Stock Repurchase Program, of which 354,882 shares were repurchased and retired for $3.0 million during the quarter ended December 31, 2023. During the quarter ended December 31, 2022, 243,062 shares were repurchased and retired for $ 2.0 million under the Common Stock Repurchase Program. The repurchase amount is allocated between “Additional paid-in capital” and “Retained earnings” in our condensed consolidated balance sheets.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Common Stock Repurchases</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December 2022, the Company used approximately $5.0 million of the net proceeds from the 2029 Convertible Notes offering to repurchase for cash 578,703 shares of its Class A common stock from purchasers of the notes in privately negotiated transactions. Such transactions were authorized separately from, and not considered a part of, the publicly announced share repurchase program discussed above. The repurchase amount is allocated between “Additional paid-in capital” and “Retained earnings” in our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14"/>
                <w:szCs w:val="14"/>
                <w:color w:val="auto"/>
              </w:rPr>
            </w:pPr>
          </w:p>
        </w:tc>
        <w:tc>
          <w:tcPr>
            <w:tcW w:w="14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16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4"/>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1,349,752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(b)</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2,737,947</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performance adjustment of 353,993 shares awarded above their target grants resulting from the achievement of performance targets established at the grant date.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377,231 shares were withheld to satisfy related income tax withholding.</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CONTINGENCIES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SEGMENT INFORMATION</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260" w:hanging="328"/>
        <w:spacing w:after="0" w:line="28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income of Cash Converters along with our investment in RDC and our investment in and notes receivable from Founders.</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income (loss) before income taxes tables present revenue for each reportable segment, disaggregated revenue within our reportable segments and Corporate, segment profits and segment contribution.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2023</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14,082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106,449</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299,991</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78,709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115,210</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127,445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172,573</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110,555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8,565</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Loss (gain) on sale or disposal of assets 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47,540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59,418</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59,418</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37,705</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2022</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92,593</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264,327</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104,877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6,953</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152,497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152,497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100,803</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Loss (gain) on sale or disposal of assets 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48,422</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(a)</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Items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190,766</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52,486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243,252</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40,002</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164,927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1,481,193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166,886</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42,969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209,855</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34,921</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117,994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156,064</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1,402,315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190,624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55,142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80" w:right="140" w:hanging="172"/>
        <w:spacing w:after="0" w:line="285" w:lineRule="auto"/>
        <w:tabs>
          <w:tab w:leader="none" w:pos="234"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Segment assets as of September 30, 2023 have been recast to conform to current year presentation as CCV no longer meets the 10 percent threshold to be considered its own segment.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SUPPLEMENTAL CONSOLIDATED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34,921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169,138</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164,927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156,064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notes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30,548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prepaid and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345,461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(283,293)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(256,890)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(277,365)</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68,998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55,612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23,022</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11,472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accrual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18,544</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Other payroll related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and VAT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15,112</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69,386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condensed consolidated statements of cash flows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220,595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206,028</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8,373</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8,341</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beginning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228,968</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218,516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207,658</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end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8,470</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8,359</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226,986</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216,017</w:t>
            </w:r>
          </w:p>
        </w:tc>
      </w:tr>
      <w:tr>
        <w:trPr>
          <w:trHeight w:val="255"/>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96,472</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84,851</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equity consideration for acquisition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1,250</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80"/>
        <w:spacing w:after="0" w:line="29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61"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37">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ended September 30, 2023,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206375</wp:posOffset>
            </wp:positionV>
            <wp:extent cx="4732020" cy="1139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305" w:lineRule="exact"/>
        <w:rPr>
          <w:sz w:val="20"/>
          <w:szCs w:val="20"/>
          <w:color w:val="auto"/>
        </w:rPr>
      </w:pPr>
    </w:p>
    <w:tbl>
      <w:tblPr>
        <w:tblLayout w:type="fixed"/>
        <w:tblInd w:w="1920" w:type="dxa"/>
        <w:tblCellMar>
          <w:top w:w="0" w:type="dxa"/>
          <w:left w:w="0" w:type="dxa"/>
          <w:bottom w:w="0" w:type="dxa"/>
          <w:right w:w="0" w:type="dxa"/>
        </w:tblCellMar>
      </w:tblPr>
      <w:tr>
        <w:trPr>
          <w:trHeight w:val="278"/>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52"/>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5"/>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47"/>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52"/>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5"/>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80" w:type="dxa"/>
            <w:vAlign w:val="bottom"/>
            <w:shd w:val="clear" w:color="auto" w:fill="026DCE"/>
          </w:tcPr>
          <w:p>
            <w:pPr>
              <w:spacing w:after="0"/>
              <w:rPr>
                <w:sz w:val="6"/>
                <w:szCs w:val="6"/>
                <w:color w:val="auto"/>
              </w:rPr>
            </w:pPr>
          </w:p>
        </w:tc>
        <w:tc>
          <w:tcPr>
            <w:tcW w:w="5340" w:type="dxa"/>
            <w:vAlign w:val="bottom"/>
            <w:shd w:val="clear" w:color="auto" w:fill="80C9FF"/>
          </w:tcPr>
          <w:p>
            <w:pPr>
              <w:spacing w:after="0"/>
              <w:rPr>
                <w:sz w:val="6"/>
                <w:szCs w:val="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or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In Mexico, we saw similar downward pressure in loan balances during the third quarter of prior year due to a recent change in law related to company profit sharing payments to employees. We believe this change will impact pawn loan balances in May and June going forward. As a net effect of these and other factors and excluding discrete charges, our consolidated income before tax is generally highest in our first fiscal quarter (October through December) and lowest in our third fiscal quarter (April through June).</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19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months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51435</wp:posOffset>
            </wp:positionV>
            <wp:extent cx="5743575"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sources of gross profit by geographic disbursement for the three months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Founders</w:t>
      </w:r>
    </w:p>
    <w:p>
      <w:pPr>
        <w:spacing w:after="0" w:line="16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October 2023, we contributed an additional $15.0 million to Founders One, LLC (“Founders”) associated with our preferred interest, bringing our total equity investment in Founders to $45.0 million. See Note 5 of Notes to Condensed Consolidated Financial Statements included in “Part I, Item 1 —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 Store Financial Information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months ended December 31, 2023 and 2022 were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67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20955</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6" w:lineRule="exact"/>
        <w:rPr>
          <w:sz w:val="20"/>
          <w:szCs w:val="20"/>
          <w:color w:val="auto"/>
        </w:rPr>
      </w:pPr>
    </w:p>
    <w:p>
      <w:pPr>
        <w:ind w:left="6740"/>
        <w:spacing w:after="0"/>
        <w:tabs>
          <w:tab w:leader="none" w:pos="788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20955</wp:posOffset>
            </wp:positionV>
            <wp:extent cx="1388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Three Months Ended</w:t>
      </w:r>
    </w:p>
    <w:p>
      <w:pPr>
        <w:jc w:val="center"/>
        <w:ind w:right="6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10795</wp:posOffset>
            </wp:positionV>
            <wp:extent cx="1388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0"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20955</wp:posOffset>
            </wp:positionV>
            <wp:extent cx="1388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8280" w:space="720"/>
            <w:col w:w="22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3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17.0</w:t>
            </w: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19.5</w:t>
            </w: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5"/>
        </w:trPr>
        <w:tc>
          <w:tcPr>
            <w:tcW w:w="426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3540" w:type="dxa"/>
            <w:vAlign w:val="bottom"/>
          </w:tcPr>
          <w:p>
            <w:pPr>
              <w:jc w:val="right"/>
              <w:ind w:right="339"/>
              <w:spacing w:after="0"/>
              <w:rPr>
                <w:sz w:val="20"/>
                <w:szCs w:val="20"/>
                <w:color w:val="auto"/>
              </w:rPr>
            </w:pPr>
            <w:r>
              <w:rPr>
                <w:rFonts w:ascii="Arial" w:cs="Arial" w:eastAsia="Arial" w:hAnsi="Arial"/>
                <w:sz w:val="16"/>
                <w:szCs w:val="16"/>
                <w:color w:val="auto"/>
              </w:rPr>
              <w:t>7.7</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7.7</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7.6</w:t>
            </w: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3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24.3</w:t>
            </w: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24.4</w:t>
            </w: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4260" w:type="dxa"/>
            <w:vAlign w:val="bottom"/>
          </w:tcPr>
          <w:p>
            <w:pPr>
              <w:ind w:left="20"/>
              <w:spacing w:after="0"/>
              <w:rPr>
                <w:sz w:val="20"/>
                <w:szCs w:val="20"/>
                <w:color w:val="auto"/>
              </w:rPr>
            </w:pPr>
            <w:r>
              <w:rPr>
                <w:rFonts w:ascii="Arial" w:cs="Arial" w:eastAsia="Arial" w:hAnsi="Arial"/>
                <w:sz w:val="16"/>
                <w:szCs w:val="16"/>
                <w:color w:val="auto"/>
              </w:rPr>
              <w:t>Australian dollar</w:t>
            </w:r>
          </w:p>
        </w:tc>
        <w:tc>
          <w:tcPr>
            <w:tcW w:w="354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along with our investment in Rich Data Corporation (“RDC”) and our investment in and notes receivable from Founders.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2023</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2022</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2023 vs. Three Months Ended December 31, 2022</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400" w:type="dxa"/>
            <w:vAlign w:val="bottom"/>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79,073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69,310</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14%</w:t>
            </w:r>
          </w:p>
        </w:tc>
      </w:tr>
      <w:tr>
        <w:trPr>
          <w:trHeight w:val="217"/>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125,513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118,314</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46,804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45,058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12,815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7,176</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79%</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48%</w:t>
            </w:r>
          </w:p>
        </w:tc>
      </w:tr>
      <w:tr>
        <w:trPr>
          <w:trHeight w:val="210"/>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127,445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115,353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77,255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73,304</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5%</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6D6D6D"/>
            </w:tcBorders>
          </w:tcPr>
          <w:p>
            <w:pPr>
              <w:jc w:val="center"/>
              <w:spacing w:after="0"/>
              <w:rPr>
                <w:sz w:val="20"/>
                <w:szCs w:val="20"/>
                <w:color w:val="auto"/>
              </w:rPr>
            </w:pPr>
            <w:r>
              <w:rPr>
                <w:rFonts w:ascii="Arial" w:cs="Arial" w:eastAsia="Arial" w:hAnsi="Arial"/>
                <w:sz w:val="16"/>
                <w:szCs w:val="16"/>
                <w:color w:val="auto"/>
                <w:w w:val="95"/>
              </w:rPr>
              <w:t>*</w:t>
            </w:r>
          </w:p>
        </w:tc>
      </w:tr>
      <w:tr>
        <w:trPr>
          <w:trHeight w:val="204"/>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47,540</w:t>
            </w: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39,291</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21%</w:t>
            </w:r>
          </w:p>
        </w:tc>
      </w:t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317,774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284,880</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12%</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14%</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General merchandise as a % of PLO</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as a % of PLO</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100bps</w:t>
            </w:r>
          </w:p>
        </w:tc>
      </w:tr>
    </w:tbl>
    <w:p>
      <w:pPr>
        <w:spacing w:after="0" w:line="126"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PLO ended the quarter at $190.8 million, up 14% (13% on a same store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up 12% and gross profit increased 10%, reflecting increased PSC and higher merchandise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14% as a result of higher average PLO.</w:t>
      </w:r>
    </w:p>
    <w:p>
      <w:pPr>
        <w:spacing w:after="0" w:line="1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Merchandise sales increased 6% and gross margin decreased to 37% from 38%. Aged general merchandise was 1.1% of total general merchandise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8%, as expected with the growth in PLO. Inventory turnover increased to 2.7x from 2.6x.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5%, primarily due to wage inflationary pressures, higher store count and, to a lesser extent, 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21% to $47.5 million, due to the changes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store count increased by 1 store during the quarter due to an acquisition.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Three Months Ended 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2023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2022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2023 (Constant</w:t>
            </w:r>
          </w:p>
        </w:tc>
        <w:tc>
          <w:tcPr>
            <w:tcW w:w="12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85"/>
        </w:trPr>
        <w:tc>
          <w:tcPr>
            <w:tcW w:w="4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27,376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23,283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25,212</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53,890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45,473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49,065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13,852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15,816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200bps</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64%</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4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37,122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41,350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27,499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30,363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2,128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9,047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10,149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7,529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9,591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27%</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81,107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81,509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merchandise as a % of PLO</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(500)bps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(700)bps</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Jewelry as a % of PLO</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500bps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700bps</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2023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2023 Change</w:t>
            </w:r>
          </w:p>
        </w:tc>
      </w:tr>
      <w:tr>
        <w:trPr>
          <w:trHeight w:val="216"/>
        </w:trPr>
        <w:tc>
          <w:tcPr>
            <w:tcW w:w="40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308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6"/>
                <w:szCs w:val="16"/>
                <w:color w:val="auto"/>
              </w:rPr>
              <w:t>PLO</w:t>
            </w:r>
          </w:p>
        </w:tc>
        <w:tc>
          <w:tcPr>
            <w:tcW w:w="508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19%</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2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5080" w:type="dxa"/>
            <w:vAlign w:val="bottom"/>
            <w:gridSpan w:val="2"/>
            <w:shd w:val="clear" w:color="auto" w:fill="CCEEFF"/>
          </w:tcPr>
          <w:p>
            <w:pPr>
              <w:jc w:val="center"/>
              <w:ind w:left="2990"/>
              <w:spacing w:after="0"/>
              <w:rPr>
                <w:sz w:val="20"/>
                <w:szCs w:val="20"/>
                <w:color w:val="auto"/>
              </w:rPr>
            </w:pPr>
            <w:r>
              <w:rPr>
                <w:rFonts w:ascii="Arial" w:cs="Arial" w:eastAsia="Arial" w:hAnsi="Arial"/>
                <w:sz w:val="18"/>
                <w:szCs w:val="18"/>
                <w:color w:val="auto"/>
                <w:w w:val="99"/>
              </w:rPr>
              <w:t>15%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29"/>
        </w:trPr>
        <w:tc>
          <w:tcPr>
            <w:tcW w:w="40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508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14%</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5080" w:type="dxa"/>
            <w:vAlign w:val="bottom"/>
            <w:gridSpan w:val="2"/>
            <w:shd w:val="clear" w:color="auto" w:fill="CCEEFF"/>
          </w:tcPr>
          <w:p>
            <w:pPr>
              <w:jc w:val="center"/>
              <w:ind w:left="2990"/>
              <w:spacing w:after="0"/>
              <w:rPr>
                <w:sz w:val="20"/>
                <w:szCs w:val="20"/>
                <w:color w:val="auto"/>
              </w:rPr>
            </w:pPr>
            <w:r>
              <w:rPr>
                <w:rFonts w:ascii="Arial" w:cs="Arial" w:eastAsia="Arial" w:hAnsi="Arial"/>
                <w:sz w:val="18"/>
                <w:szCs w:val="18"/>
                <w:color w:val="auto"/>
                <w:w w:val="99"/>
              </w:rPr>
              <w:t>25%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39"/>
        </w:trPr>
        <w:tc>
          <w:tcPr>
            <w:tcW w:w="40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508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16%</w:t>
            </w:r>
          </w:p>
        </w:tc>
        <w:tc>
          <w:tcPr>
            <w:tcW w:w="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859"/>
        </w:trPr>
        <w:tc>
          <w:tcPr>
            <w:tcW w:w="4020" w:type="dxa"/>
            <w:vAlign w:val="bottom"/>
          </w:tcPr>
          <w:p>
            <w:pPr>
              <w:spacing w:after="0"/>
              <w:rPr>
                <w:sz w:val="24"/>
                <w:szCs w:val="24"/>
                <w:color w:val="auto"/>
              </w:rPr>
            </w:pPr>
          </w:p>
        </w:tc>
        <w:tc>
          <w:tcPr>
            <w:tcW w:w="3080" w:type="dxa"/>
            <w:vAlign w:val="bottom"/>
          </w:tcPr>
          <w:p>
            <w:pPr>
              <w:jc w:val="right"/>
              <w:ind w:right="1290"/>
              <w:spacing w:after="0"/>
              <w:rPr>
                <w:sz w:val="20"/>
                <w:szCs w:val="20"/>
                <w:color w:val="auto"/>
              </w:rPr>
            </w:pPr>
            <w:r>
              <w:rPr>
                <w:rFonts w:ascii="Arial" w:cs="Arial" w:eastAsia="Arial" w:hAnsi="Arial"/>
                <w:sz w:val="18"/>
                <w:szCs w:val="18"/>
                <w:color w:val="auto"/>
              </w:rPr>
              <w:t>26</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1"/>
        </w:trPr>
        <w:tc>
          <w:tcPr>
            <w:tcW w:w="40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PLO improved to $52.5 million, up 22% (11% on constant currency basis). On a same store basis, PLO increased 19% (8% on a constant currency basis).</w:t>
      </w:r>
    </w:p>
    <w:p>
      <w:pPr>
        <w:spacing w:after="0" w:line="11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Total revenue was up 19% (9% on constant currency basis) and gross profit increased 22% (11% on a constant currency basis), reflecting increased PSC, higher merchandise sales and improved merchandise sales gross profit.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18% (8% on a constant currency basis)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from 30% to 32%. Aged general merchandise was 1.6% of total merchandise inventory.</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Net inventory remained flat (decreased 11% on a constant currency basis) due to PLO growth, offset by increased inventory turnover at 3.8x, up from 3.3x.</w:t>
      </w:r>
    </w:p>
    <w:p>
      <w:pPr>
        <w:spacing w:after="0" w:line="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Store expenses increased 21% (10% on a constant currency basis), primarily due to increases in minimum wage and headcount, higher store count and, to a lesser extent, rent. Same-store expenses increased 16% (6% on a constant currency basis).</w:t>
      </w:r>
    </w:p>
    <w:p>
      <w:pPr>
        <w:spacing w:after="0" w:line="99" w:lineRule="exact"/>
        <w:rPr>
          <w:sz w:val="20"/>
          <w:szCs w:val="20"/>
          <w:color w:val="auto"/>
        </w:rPr>
      </w:pPr>
    </w:p>
    <w:p>
      <w:pPr>
        <w:ind w:right="1440"/>
        <w:spacing w:after="0" w:line="524" w:lineRule="auto"/>
        <w:rPr>
          <w:sz w:val="20"/>
          <w:szCs w:val="20"/>
          <w:color w:val="auto"/>
        </w:rPr>
      </w:pPr>
      <w:r>
        <w:rPr>
          <w:rFonts w:ascii="Arial" w:cs="Arial" w:eastAsia="Arial" w:hAnsi="Arial"/>
          <w:sz w:val="18"/>
          <w:szCs w:val="18"/>
          <w:color w:val="auto"/>
        </w:rPr>
        <w:t xml:space="preserve">Segment contribution increased 35% (27% on a constant currency basis) to $10.1 million, due to the changes noted above. Segment store count increased by 5 de novo stores opened during the quarter. </w:t>
      </w:r>
      <w:r>
        <w:rPr>
          <w:rFonts w:ascii="Arial" w:cs="Arial" w:eastAsia="Arial" w:hAnsi="Arial"/>
          <w:sz w:val="18"/>
          <w:szCs w:val="18"/>
          <w:b w:val="1"/>
          <w:bCs w:val="1"/>
          <w:color w:val="auto"/>
        </w:rPr>
        <w:t>Other Investments</w:t>
      </w:r>
    </w:p>
    <w:p>
      <w:pPr>
        <w:spacing w:after="0" w:line="2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(82)%</w:t>
            </w: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(82)%</w:t>
            </w: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(27)%</w:t>
            </w:r>
          </w:p>
        </w:tc>
      </w:tr>
      <w:tr>
        <w:trPr>
          <w:trHeight w:val="210"/>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8%</w:t>
            </w:r>
          </w:p>
        </w:tc>
      </w:tr>
      <w:tr>
        <w:trPr>
          <w:trHeight w:val="217"/>
        </w:trPr>
        <w:tc>
          <w:tcPr>
            <w:tcW w:w="6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loss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(75)%</w:t>
            </w:r>
          </w:p>
        </w:tc>
      </w:tr>
      <w:tr>
        <w:trPr>
          <w:trHeight w:val="217"/>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r>
    </w:tbl>
    <w:p>
      <w:pPr>
        <w:spacing w:after="0" w:line="274"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Segment contribution was $1.7 million, an increase of $0.1 million due to interest income on our notes receivable to Founders, partially offset by the decrease in our share of equity in income of Cash Converters.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48,422</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23%</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19%</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6,190</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(44)%</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(27)%</w:t>
            </w: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54%</w:t>
            </w: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19%</w:t>
            </w: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70%</w:t>
            </w:r>
          </w:p>
        </w:tc>
      </w:tr>
    </w:tbl>
    <w:p>
      <w:pPr>
        <w:spacing w:after="0" w:line="126" w:lineRule="exact"/>
        <w:rPr>
          <w:sz w:val="20"/>
          <w:szCs w:val="20"/>
          <w:color w:val="auto"/>
        </w:rPr>
      </w:pPr>
    </w:p>
    <w:p>
      <w:pPr>
        <w:ind w:left="360" w:hanging="334"/>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Segment contribution increased $11.0 million or 23% over the prior year quarter primarily due to improved operating results of the U.S. Pawn and Latin America Pawn segments above.</w:t>
      </w:r>
    </w:p>
    <w:p>
      <w:pPr>
        <w:spacing w:after="0" w:line="10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General and administrative expense increased $1.1 million or 7%, primarily due to annual salary increases and an increase in costs related to the implementation of Workday.</w:t>
      </w:r>
    </w:p>
    <w:p>
      <w:pPr>
        <w:spacing w:after="0" w:line="10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Interest expense decreased $2.8 million, primarily due to the loss on extinguishment of debt in the prior year quarter. 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recorded a $3.5 million loss on extinguishment of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$1.2 million, due primarily to our treasury management with increased market interest rates.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Income tax expense increased $1.5 million primarily due to an increase in income before income taxes of $13.2 million this quarter compared to the prior year quarter as a result of improved operating results within the U.S. Pawn segment and the Latin American Pawn segment.</w:t>
      </w:r>
    </w:p>
    <w:p>
      <w:pPr>
        <w:spacing w:after="0" w:line="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2023 Note 11: Income Taxes of Notes to Consolidated Financial Statements included in “Part II, Item 8 — Financial Statements and Supplemental Data” for quantification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cash and equivalents balance was $218.5 million at December 31, 2023 compared to $220.6 million at September 30, 2023. At December 31, 2023, our cash and equivalents were held in cash depository accounts with major banks or invested in high quality, short-term liquid investments.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10"/>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11,668</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84%</w:t>
            </w: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(16,864)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(44,618)</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(62)%</w:t>
            </w: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33,993</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6"/>
              </w:rPr>
              <w:t>(119)%</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2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(134)%</w:t>
            </w:r>
          </w:p>
        </w:tc>
      </w:tr>
      <w:tr>
        <w:trPr>
          <w:trHeight w:val="21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bl>
    <w:p>
      <w:pPr>
        <w:spacing w:after="0" w:line="2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increase in cash flows provided by operating activities quarter-over-quarter was primarily due to an increase in net income as well as changes in working capital primarily related to the timing of payments of prepaid expenses and accounts payable.</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$27.8 million decrease in cash flows used in investing activities year-over-year was primarily due to a $29.8 million decrease in cash flows used to fund acquisitions and strategic investments, offset by a $10.2 million increase in cash inflows from the sale of forfeited collateral and an increase of $14.0 million in net pawn lending outflows.</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$40.4 million decrease in cash flows provided by financing activities was primarily related to the December 2022 financing of the 2029 Convertible Notes, in which we issued $230.0 million (less issuance costs) principal amount of 3.750% Convertible Senior Notes Due 2029 offset by the extinguishment of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$ 5.0 million of the net proceeds from the 2029 Convertible Notes offering to repurchase 578,703 shares of our Class A common stock from purchasers of the notes in privately negotiated transactions.</w:t>
      </w:r>
    </w:p>
    <w:p>
      <w:pPr>
        <w:spacing w:after="0" w:line="129"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net effect of these changes was a $2.0 million decrease in cash on hand during the current year to date period, resulting in a $227.0 million ending cash and restricted cash balance.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Condensed Consolidated Financial Statements included in “Part I, Item 1 — Financial Statements.” The shares repurchased in conjunction with the transactions discussed above were authorized separately from, and not considered part of, the publicly announced share repurchase program referred to below.</w:t>
      </w:r>
    </w:p>
    <w:p>
      <w:pPr>
        <w:spacing w:after="0" w:line="13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On May 3, 2022, our Board authorized the repurchase of up to $50 million of our Class A Common Stock over three years. As of December 31, 2023, we have repurchased 1,981,927 shares of our Class A Common Stock under the program for $17.0 million. Execution of the program will be responsive to fluctuating market conditions and valuations, liquidity needs and the expected return on investment compared to other opportunities.</w:t>
      </w:r>
    </w:p>
    <w:p>
      <w:pPr>
        <w:spacing w:after="0" w:line="1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Condensed Consolidated Financial Statements included in “Part I, Item 1 —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Depending</w:t>
      </w:r>
      <w:r>
        <w:rPr>
          <w:rFonts w:ascii="Arial" w:cs="Arial" w:eastAsia="Arial" w:hAnsi="Arial"/>
          <w:sz w:val="18"/>
          <w:szCs w:val="18"/>
          <w:color w:val="auto"/>
        </w:rPr>
        <w:t xml:space="preserve"> </w:t>
      </w:r>
      <w:r>
        <w:rPr>
          <w:rFonts w:ascii="Arial" w:cs="Arial" w:eastAsia="Arial" w:hAnsi="Arial"/>
          <w:sz w:val="18"/>
          <w:szCs w:val="18"/>
          <w:color w:val="212529"/>
        </w:rPr>
        <w:t>on the level of acquisition activity and other factors, our ability to repay our longer-term debt obligations, including the convertible debt maturing in 2025 and 2029, may require us to refinance these obligations through the issuance of new debt securities, equity securities, convertible securities or through new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2023, we reported that we had $ 736.6 million in total contractual obligations as of September 30, 2023. There have been no material changes to this total obligation since September 30, 2023.</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2023, these collectively amounted to $16.3 million.</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9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See Note 1 of the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177"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 -looking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37">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 xml:space="preserve">Item 1A — Risk Factors” of our Annual Report on Form 10-K for the year ended September 30, 2023 and “Part II, Item 1A — Risk Factors” </w:t>
        </w:r>
      </w:hyperlink>
      <w:r>
        <w:rPr>
          <w:rFonts w:ascii="Arial" w:cs="Arial" w:eastAsia="Arial" w:hAnsi="Arial"/>
          <w:sz w:val="18"/>
          <w:szCs w:val="18"/>
          <w:color w:val="auto"/>
        </w:rPr>
        <w:t>of this Report.</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2023. There have been no material changes in our reported market risks or risk management policies since the filing of our Annual Report on Form 10-K for the year ended September 30, 2023.</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December 31, 2023. Our principal executive officer and principal financial officer have concluded that as of December 31, 2023,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1" w:lineRule="exact"/>
        <w:rPr>
          <w:sz w:val="20"/>
          <w:szCs w:val="20"/>
          <w:color w:val="auto"/>
        </w:rPr>
      </w:pPr>
    </w:p>
    <w:p>
      <w:pPr>
        <w:ind w:right="3600" w:firstLine="3627"/>
        <w:spacing w:after="0" w:line="391"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rPr>
          <w:sz w:val="20"/>
          <w:szCs w:val="20"/>
          <w:color w:val="auto"/>
        </w:rPr>
      </w:pPr>
      <w:r>
        <w:rPr>
          <w:rFonts w:ascii="Arial" w:cs="Arial" w:eastAsia="Arial" w:hAnsi="Arial"/>
          <w:sz w:val="18"/>
          <w:szCs w:val="18"/>
          <w:color w:val="auto"/>
        </w:rPr>
        <w:t>See Note 9: Contingencies of Notes to Condensed Consolidated Financial Statements included in “Part I, Item 1 —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19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2023.</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 of Equity Security and Use of Proceeds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right"/>
              <w:ind w:right="995"/>
              <w:spacing w:after="0"/>
              <w:rPr>
                <w:sz w:val="20"/>
                <w:szCs w:val="20"/>
                <w:color w:val="auto"/>
              </w:rPr>
            </w:pPr>
            <w:r>
              <w:rPr>
                <w:rFonts w:ascii="Arial" w:cs="Arial" w:eastAsia="Arial" w:hAnsi="Arial"/>
                <w:sz w:val="16"/>
                <w:szCs w:val="16"/>
                <w:b w:val="1"/>
                <w:bCs w:val="1"/>
                <w:color w:val="auto"/>
              </w:rPr>
              <w:t>Share Repurchases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3"/>
                <w:szCs w:val="13"/>
                <w:color w:val="auto"/>
              </w:rPr>
            </w:pPr>
          </w:p>
        </w:tc>
        <w:tc>
          <w:tcPr>
            <w:tcW w:w="1640" w:type="dxa"/>
            <w:vAlign w:val="bottom"/>
          </w:tcPr>
          <w:p>
            <w:pPr>
              <w:jc w:val="right"/>
              <w:ind w:right="52"/>
              <w:spacing w:after="0" w:line="155" w:lineRule="exact"/>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restart"/>
          </w:tcPr>
          <w:p>
            <w:pPr>
              <w:jc w:val="right"/>
              <w:ind w:right="176"/>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4"/>
                <w:szCs w:val="14"/>
                <w:color w:val="auto"/>
              </w:rPr>
            </w:pPr>
          </w:p>
        </w:tc>
        <w:tc>
          <w:tcPr>
            <w:tcW w:w="162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9"/>
              </w:rPr>
              <w:t>Average Price Paid</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8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8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Per Share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Announced Programs</w:t>
            </w:r>
          </w:p>
        </w:tc>
        <w:tc>
          <w:tcPr>
            <w:tcW w:w="1800" w:type="dxa"/>
            <w:vAlign w:val="bottom"/>
            <w:tcBorders>
              <w:bottom w:val="single" w:sz="8" w:color="auto"/>
            </w:tcBorders>
            <w:gridSpan w:val="2"/>
          </w:tcPr>
          <w:p>
            <w:pPr>
              <w:ind w:left="60"/>
              <w:spacing w:after="0" w:line="216" w:lineRule="exact"/>
              <w:rPr>
                <w:sz w:val="20"/>
                <w:szCs w:val="20"/>
                <w:color w:val="auto"/>
              </w:rPr>
            </w:pPr>
            <w:r>
              <w:rPr>
                <w:rFonts w:ascii="Arial" w:cs="Arial" w:eastAsia="Arial" w:hAnsi="Arial"/>
                <w:sz w:val="16"/>
                <w:szCs w:val="16"/>
                <w:b w:val="1"/>
                <w:bCs w:val="1"/>
                <w:color w:val="auto"/>
                <w:w w:val="98"/>
              </w:rPr>
              <w:t xml:space="preserve">Under the Programs </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5640" w:type="dxa"/>
            <w:vAlign w:val="bottom"/>
            <w:gridSpan w:val="5"/>
          </w:tcPr>
          <w:p>
            <w:pPr>
              <w:ind w:left="1680"/>
              <w:spacing w:after="0"/>
              <w:rPr>
                <w:sz w:val="20"/>
                <w:szCs w:val="20"/>
                <w:color w:val="auto"/>
              </w:rPr>
            </w:pPr>
            <w:r>
              <w:rPr>
                <w:rFonts w:ascii="Arial" w:cs="Arial" w:eastAsia="Arial" w:hAnsi="Arial"/>
                <w:sz w:val="13"/>
                <w:szCs w:val="13"/>
                <w:color w:val="auto"/>
                <w:w w:val="96"/>
              </w:rPr>
              <w:t>(in thousands, except number of shares and average price information)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2023 through October 31, 2023</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122,677</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35,004</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November 1, 2023 through November 30, 2023</w:t>
            </w:r>
          </w:p>
        </w:tc>
        <w:tc>
          <w:tcPr>
            <w:tcW w:w="1760" w:type="dxa"/>
            <w:vAlign w:val="bottom"/>
          </w:tcPr>
          <w:p>
            <w:pPr>
              <w:jc w:val="right"/>
              <w:spacing w:after="0"/>
              <w:rPr>
                <w:sz w:val="20"/>
                <w:szCs w:val="20"/>
                <w:color w:val="auto"/>
              </w:rPr>
            </w:pPr>
            <w:r>
              <w:rPr>
                <w:rFonts w:ascii="Arial" w:cs="Arial" w:eastAsia="Arial" w:hAnsi="Arial"/>
                <w:sz w:val="18"/>
                <w:szCs w:val="18"/>
                <w:color w:val="auto"/>
              </w:rPr>
              <w:t>69,062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8.24</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69,062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34,435</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2023 through 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163,143</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33,004</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color w:val="auto"/>
              </w:rPr>
              <w:t>Quarter ended December 31, 2023</w:t>
            </w:r>
          </w:p>
        </w:tc>
        <w:tc>
          <w:tcPr>
            <w:tcW w:w="1760" w:type="dxa"/>
            <w:vAlign w:val="bottom"/>
          </w:tcPr>
          <w:p>
            <w:pPr>
              <w:jc w:val="right"/>
              <w:spacing w:after="0"/>
              <w:rPr>
                <w:sz w:val="20"/>
                <w:szCs w:val="20"/>
                <w:color w:val="auto"/>
              </w:rPr>
            </w:pPr>
            <w:r>
              <w:rPr>
                <w:rFonts w:ascii="Arial" w:cs="Arial" w:eastAsia="Arial" w:hAnsi="Arial"/>
                <w:sz w:val="18"/>
                <w:szCs w:val="18"/>
                <w:color w:val="auto"/>
              </w:rPr>
              <w:t>354,882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8.45</w:t>
            </w:r>
          </w:p>
        </w:tc>
        <w:tc>
          <w:tcPr>
            <w:tcW w:w="1880" w:type="dxa"/>
            <w:vAlign w:val="bottom"/>
          </w:tcPr>
          <w:p>
            <w:pPr>
              <w:jc w:val="right"/>
              <w:spacing w:after="0"/>
              <w:rPr>
                <w:sz w:val="20"/>
                <w:szCs w:val="20"/>
                <w:color w:val="auto"/>
              </w:rPr>
            </w:pPr>
            <w:r>
              <w:rPr>
                <w:rFonts w:ascii="Arial" w:cs="Arial" w:eastAsia="Arial" w:hAnsi="Arial"/>
                <w:sz w:val="18"/>
                <w:szCs w:val="18"/>
                <w:color w:val="auto"/>
              </w:rPr>
              <w:t>354,882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33,004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40" w:hanging="230"/>
        <w:spacing w:after="0" w:line="231" w:lineRule="auto"/>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5.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On November 29, 2023, Pablo Lagos Espinosa, Director, as sole beneficial owner of Lakeside Growth Enterprises, LP, entered into a prearranged trading plan to sell up to 20,000 shares of the Company’s Class A Non-Voting Common Stock between March 4, 2024 and February 28, 2025 pursuant to the terms of the plan. The plan is designed to satisfy the affirmative defense conditions of Rule 10b5-1(c) under the Exchange Act and comply with the Company’s policies regarding stock transactions.</w:t>
      </w:r>
    </w:p>
    <w:p>
      <w:pPr>
        <w:spacing w:after="0" w:line="21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Other than as described above, no Director or Executive Officer adopted, modified or terminated any contract, instruction, written plan or other trading arrangement relating to the purchase or sale of Company securities during the fiscal quarter ended December 31, 2023.</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27260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471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0"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Principal Executive Officer, pursuant to Rule 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u w:val="single" w:color="auto"/>
          <w:color w:val="0000FF"/>
        </w:rPr>
        <w:t>14(a) under the Securities Exchange Act of 1934</w:t>
      </w:r>
    </w:p>
    <w:p>
      <w:pPr>
        <w:spacing w:after="0" w:line="10"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of Principal Financial Officer, pursuant to Rule 13a-14(a)</w:t>
      </w:r>
    </w:p>
    <w:p>
      <w:pPr>
        <w:ind w:left="800"/>
        <w:spacing w:after="0"/>
        <w:rPr>
          <w:sz w:val="20"/>
          <w:szCs w:val="20"/>
          <w:color w:val="auto"/>
        </w:rPr>
      </w:pPr>
      <w:r>
        <w:rPr>
          <w:rFonts w:ascii="Arial" w:cs="Arial" w:eastAsia="Arial" w:hAnsi="Arial"/>
          <w:sz w:val="16"/>
          <w:szCs w:val="16"/>
          <w:u w:val="single" w:color="auto"/>
          <w:color w:val="0000FF"/>
        </w:rPr>
        <w:t>under the Securities Exchange Act of 1934</w:t>
      </w:r>
    </w:p>
    <w:p>
      <w:pPr>
        <w:spacing w:after="0" w:line="16" w:lineRule="exact"/>
        <w:rPr>
          <w:sz w:val="20"/>
          <w:szCs w:val="20"/>
          <w:color w:val="auto"/>
        </w:rPr>
      </w:pPr>
    </w:p>
    <w:p>
      <w:pPr>
        <w:ind w:left="800" w:right="4240" w:hanging="604"/>
        <w:spacing w:after="0" w:line="246" w:lineRule="auto"/>
        <w:tabs>
          <w:tab w:leader="none" w:pos="7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Certifications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right="4280" w:hanging="694"/>
        <w:spacing w:after="0" w:line="234"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sectPr>
          <w:pgSz w:w="11900" w:h="16838" w:orient="portrait"/>
          <w:cols w:equalWidth="0" w:num="2">
            <w:col w:w="9760" w:space="680"/>
            <w:col w:w="680"/>
          </w:cols>
          <w:pgMar w:left="320" w:top="130" w:right="459" w:bottom="1440" w:gutter="0" w:footer="0" w:header="0"/>
        </w:sectPr>
      </w:pPr>
    </w:p>
    <w:p>
      <w:pPr>
        <w:ind w:left="800" w:right="5440" w:hanging="542"/>
        <w:spacing w:after="0" w:line="251"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3" w:lineRule="exact"/>
        <w:rPr>
          <w:sz w:val="20"/>
          <w:szCs w:val="20"/>
          <w:color w:val="auto"/>
        </w:rPr>
      </w:pPr>
    </w:p>
    <w:p>
      <w:pPr>
        <w:ind w:left="800" w:right="240" w:hanging="774"/>
        <w:spacing w:after="0" w:line="264"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January 31, 2024</w:t>
      </w:r>
      <w:r>
        <w:rPr>
          <w:sz w:val="20"/>
          <w:szCs w:val="20"/>
          <w:color w:val="auto"/>
        </w:rPr>
        <w:tab/>
      </w:r>
      <w:r>
        <w:rPr>
          <w:rFonts w:ascii="Arial" w:cs="Arial" w:eastAsia="Arial" w:hAnsi="Arial"/>
          <w:sz w:val="17"/>
          <w:szCs w:val="17"/>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17780</wp:posOffset>
            </wp:positionV>
            <wp:extent cx="333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130"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2024</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Lachlan P. Given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2024</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undersigned officers of EZCORP, Inc. hereby certify that (a) EZCORP’s Quarterly Report on Form 10-Q for the quarter ended December 31, 2023,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Lachlan P. Given</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January 31, 2024</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jpe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21" Type="http://schemas.openxmlformats.org/officeDocument/2006/relationships/hyperlink" Target="https://www.sec.gov/ix?doc=/Archives/edgar/data/876523/000087652322000071/ezpw-20220930.htm#i217f6b0b6bcd49c4bdbf4d1738ef426e_172" TargetMode="External"/><Relationship Id="rId37" Type="http://schemas.openxmlformats.org/officeDocument/2006/relationships/hyperlink" Target="http://www.sec.gov/ix?doc=/Archives/edgar/data/876523/000087652321000068/ezpw-2021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2024-01-31T15:24:48Z</dcterms:created>
  <dcterms:modified xsi:type="dcterms:W3CDTF">2024-01-31T15:24:48Z</dcterms:modified>
</cp:coreProperties>
</file>