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4, 2021</w:t>
      </w:r>
    </w:p>
    <w:p>
      <w:pPr>
        <w:spacing w:after="0" w:line="7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1820" w:type="dxa"/>
            <w:vAlign w:val="bottom"/>
          </w:tcPr>
          <w:p>
            <w:pPr>
              <w:jc w:val="center"/>
              <w:ind w:right="10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44"/>
        </w:trPr>
        <w:tc>
          <w:tcPr>
            <w:tcW w:w="1820" w:type="dxa"/>
            <w:vAlign w:val="bottom"/>
          </w:tcPr>
          <w:p>
            <w:pPr>
              <w:jc w:val="center"/>
              <w:ind w:right="102"/>
              <w:spacing w:after="0" w:line="144" w:lineRule="exact"/>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78"/>
              <w:spacing w:after="0" w:line="144" w:lineRule="exact"/>
              <w:rPr>
                <w:sz w:val="20"/>
                <w:szCs w:val="20"/>
                <w:color w:val="auto"/>
              </w:rPr>
            </w:pPr>
            <w:r>
              <w:rPr>
                <w:rFonts w:ascii="Arial" w:cs="Arial" w:eastAsia="Arial" w:hAnsi="Arial"/>
                <w:sz w:val="14"/>
                <w:szCs w:val="14"/>
                <w:b w:val="1"/>
                <w:bCs w:val="1"/>
                <w:color w:val="auto"/>
                <w:w w:val="92"/>
              </w:rPr>
              <w:t>(Commission</w:t>
            </w:r>
          </w:p>
        </w:tc>
        <w:tc>
          <w:tcPr>
            <w:tcW w:w="1420" w:type="dxa"/>
            <w:vAlign w:val="bottom"/>
          </w:tcPr>
          <w:p>
            <w:pPr>
              <w:jc w:val="center"/>
              <w:ind w:left="202"/>
              <w:spacing w:after="0" w:line="144"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2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291"/>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77"/>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8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9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86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August 4, 2021, EZCORP, Inc. ("EZCORP") issued a press release announcing its results of operations and financial condition for the year ended June 30, 2021. A copy of that press release is attached as Exhibit 99.1.</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21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21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copy of the presentation materials that management will review during the Company’s earnings conference call (to be held on August 5, 2021) will be posted in the Investor Relations section of the company’s website at www.ezcorp.com.</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Exhibits.</w:t>
      </w:r>
    </w:p>
    <w:p>
      <w:pPr>
        <w:spacing w:after="0" w:line="293" w:lineRule="exact"/>
        <w:rPr>
          <w:sz w:val="20"/>
          <w:szCs w:val="20"/>
          <w:color w:val="auto"/>
        </w:rPr>
      </w:pPr>
    </w:p>
    <w:p>
      <w:pPr>
        <w:ind w:left="720" w:right="1140" w:hanging="687"/>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99.1 </w:t>
      </w:r>
      <w:hyperlink w:anchor="page3">
        <w:r>
          <w:rPr>
            <w:rFonts w:ascii="Arial" w:cs="Arial" w:eastAsia="Arial" w:hAnsi="Arial"/>
            <w:sz w:val="18"/>
            <w:szCs w:val="18"/>
            <w:u w:val="single" w:color="auto"/>
            <w:color w:val="0000FF"/>
          </w:rPr>
          <w:t>Press Release, dated August 4, 2021, announcing EZCORP, Inc.’s results of operations and financial condition for the quarter and year</w:t>
        </w:r>
      </w:hyperlink>
      <w:r>
        <w:rPr>
          <w:rFonts w:ascii="Arial" w:cs="Arial" w:eastAsia="Arial" w:hAnsi="Arial"/>
          <w:sz w:val="18"/>
          <w:szCs w:val="18"/>
          <w:color w:val="auto"/>
        </w:rPr>
        <w:t xml:space="preserve"> </w:t>
      </w:r>
      <w:hyperlink w:anchor="page3">
        <w:r>
          <w:rPr>
            <w:rFonts w:ascii="Arial" w:cs="Arial" w:eastAsia="Arial" w:hAnsi="Arial"/>
            <w:sz w:val="18"/>
            <w:szCs w:val="18"/>
            <w:u w:val="single" w:color="auto"/>
            <w:color w:val="0000FF"/>
          </w:rPr>
          <w:t>ended June 30, 2021.</w:t>
        </w:r>
      </w:hyperlink>
    </w:p>
    <w:p>
      <w:pPr>
        <w:ind w:left="60"/>
        <w:spacing w:after="0"/>
        <w:rPr>
          <w:sz w:val="20"/>
          <w:szCs w:val="20"/>
          <w:color w:val="auto"/>
        </w:rPr>
      </w:pPr>
      <w:r>
        <w:rPr>
          <w:rFonts w:ascii="Arial" w:cs="Arial" w:eastAsia="Arial" w:hAnsi="Arial"/>
          <w:sz w:val="18"/>
          <w:szCs w:val="18"/>
          <w:color w:val="auto"/>
        </w:rPr>
        <w:t>104 Cover Page Interactive Data File (embedded within the Inline XBRL document)</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5540" w:type="dxa"/>
            <w:vAlign w:val="bottom"/>
            <w:gridSpan w:val="2"/>
          </w:tcPr>
          <w:p>
            <w:pPr>
              <w:ind w:left="1560"/>
              <w:spacing w:after="0"/>
              <w:rPr>
                <w:sz w:val="20"/>
                <w:szCs w:val="20"/>
                <w:color w:val="auto"/>
              </w:rPr>
            </w:pPr>
            <w:r>
              <w:rPr>
                <w:rFonts w:ascii="Arial" w:cs="Arial" w:eastAsia="Arial" w:hAnsi="Arial"/>
                <w:sz w:val="18"/>
                <w:szCs w:val="18"/>
                <w:color w:val="auto"/>
              </w:rPr>
              <w:t>EZCORP, INC.</w:t>
            </w:r>
          </w:p>
        </w:tc>
      </w:tr>
      <w:tr>
        <w:trPr>
          <w:trHeight w:val="283"/>
        </w:trPr>
        <w:tc>
          <w:tcPr>
            <w:tcW w:w="3140" w:type="dxa"/>
            <w:vAlign w:val="bottom"/>
          </w:tcPr>
          <w:p>
            <w:pPr>
              <w:spacing w:after="0"/>
              <w:rPr>
                <w:sz w:val="20"/>
                <w:szCs w:val="20"/>
                <w:color w:val="auto"/>
              </w:rPr>
            </w:pPr>
            <w:r>
              <w:rPr>
                <w:rFonts w:ascii="Arial" w:cs="Arial" w:eastAsia="Arial" w:hAnsi="Arial"/>
                <w:sz w:val="18"/>
                <w:szCs w:val="18"/>
                <w:color w:val="auto"/>
              </w:rPr>
              <w:t>Date: August 4, 2021</w:t>
            </w:r>
          </w:p>
        </w:tc>
        <w:tc>
          <w:tcPr>
            <w:tcW w:w="2200" w:type="dxa"/>
            <w:vAlign w:val="bottom"/>
          </w:tcPr>
          <w:p>
            <w:pPr>
              <w:ind w:left="1560"/>
              <w:spacing w:after="0"/>
              <w:rPr>
                <w:sz w:val="20"/>
                <w:szCs w:val="20"/>
                <w:color w:val="auto"/>
              </w:rPr>
            </w:pPr>
            <w:r>
              <w:rPr>
                <w:rFonts w:ascii="Arial" w:cs="Arial" w:eastAsia="Arial" w:hAnsi="Arial"/>
                <w:sz w:val="18"/>
                <w:szCs w:val="18"/>
                <w:color w:val="auto"/>
              </w:rPr>
              <w:t>By:</w:t>
            </w:r>
          </w:p>
        </w:tc>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K. Jugmans</w:t>
            </w:r>
          </w:p>
        </w:tc>
      </w:tr>
      <w:tr>
        <w:trPr>
          <w:trHeight w:val="222"/>
        </w:trPr>
        <w:tc>
          <w:tcPr>
            <w:tcW w:w="31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Timothy K. Jugmans</w:t>
            </w:r>
          </w:p>
        </w:tc>
      </w:tr>
      <w:tr>
        <w:trPr>
          <w:trHeight w:val="230"/>
        </w:trPr>
        <w:tc>
          <w:tcPr>
            <w:tcW w:w="31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1053" w:right="359" w:bottom="1440" w:gutter="0" w:footer="0" w:header="0"/>
        </w:sectPr>
      </w:pPr>
    </w:p>
    <w:bookmarkStart w:id="2" w:name="page3"/>
    <w:bookmarkEnd w:id="2"/>
    <w:p>
      <w:pPr>
        <w:spacing w:after="0" w:line="2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603250</wp:posOffset>
            </wp:positionV>
            <wp:extent cx="2005965"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517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EZCORP Reports Third Quarter Fiscal 2021 Results</w:t>
      </w:r>
    </w:p>
    <w:p>
      <w:pPr>
        <w:spacing w:after="0" w:line="39"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b w:val="1"/>
          <w:bCs w:val="1"/>
          <w:color w:val="auto"/>
        </w:rPr>
        <w:t xml:space="preserve">Pawn Loans Outstanding of $157.2 million, Net Revenue of $108 million, Net Loss of $2.6 million - All Year-Over-Year Improvements Austin, Texas (August 4, 2021) — </w:t>
      </w:r>
      <w:r>
        <w:rPr>
          <w:rFonts w:ascii="Arial" w:cs="Arial" w:eastAsia="Arial" w:hAnsi="Arial"/>
          <w:sz w:val="18"/>
          <w:szCs w:val="18"/>
          <w:color w:val="auto"/>
        </w:rPr>
        <w:t>EZCORP, Inc. (NASDAQ: EZPW), a leading provider of pawn transactions in the United States and Latin</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today announced results for its third quarter ended June 30, 2021.</w:t>
      </w:r>
    </w:p>
    <w:p>
      <w:pPr>
        <w:spacing w:after="0" w:line="137"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i w:val="1"/>
          <w:iCs w:val="1"/>
          <w:color w:val="auto"/>
        </w:rPr>
        <w:t>All amounts in this release are in conformity with U.S. generally accepted accounting principles ("GAAP") unless otherwise noted. Comparisons shown in this release are to the same period in the prior year unless otherwise noted.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3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Chief Executive Officer Jason Kulas stated, “During the quarter, we completed the acquisition of 128 Cash Apoyo Efectivo stores in Mexico, our largest acquisition to date in terms of store-count, solidifying our position as the second largest for-profit pawn operator in Mexico. We also acquired 11 stores in the Houston, Texas area and opened four de novo stores in Latin America, bringing our total store count to 1,143 at the end of the quarter, 627 (55%) of which are in Latin America.</w:t>
      </w:r>
    </w:p>
    <w:p>
      <w:pPr>
        <w:spacing w:after="0" w:line="204"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third quarter was a solid quarter in which we continued to make significant strides in strengthening and growing our core pawn business. Despite lingering transitory COVID-related impacts, including government stimulus programs in the U.S., we continued to drive meaningful improvements across core operating metrics. We achieved our highest quarter-ending balance of PLO since the beginning of the pandemic, up 25% on a sequential basis and 39% compared to a year ago. While merchandise sales volumes were down 21% from their peak pandemic levels a year ago, we delivered a 6% increase in sales gross profit through effective inventory management and higher margins. These positive results reflect the relentless focus of our store teams on meeting our customers’ needs and executing the fundamentals.</w:t>
      </w:r>
    </w:p>
    <w:p>
      <w:pPr>
        <w:spacing w:after="0" w:line="3"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“Net Income improved from a loss of $5.5 million to a loss of $2.6 million, while adjusted EBITDA more than doubled, reflecting not only the improvement in core operating metrics, but also our ongoing commitment to expense management and efficiency. We remain on track to realize annualized cost savings of more than $14.0 million for fiscal 2021 even assuming store-level expenses trend higher as transaction volumes accelerate.</w:t>
      </w:r>
    </w:p>
    <w:p>
      <w:pPr>
        <w:spacing w:after="0" w:line="2"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“Looking ahead, we remain well positioned to continue our trend of improving financial performance, and are excited about the increasing earnings power of the platform. Pawn transaction activity continues to rebuild, driving PLO balances closer to pre-pandemic levels, which will drive accelerating pawn service charge revenue in the coming quarters given the natural lag between pawn originations and related fees. In addition, we remain on track to realize meaningful cost savings this year and beyond, even assuming store-level expenses trend higher to meet accelerating transaction volumes. And, we maintain a strong and liquid balance sheet to fund accelerating pawn demand and capitalize on acquisition opportunities that further enhance our scale-enabled and geographically diverse footprint and generate strong returns on investment.”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20" w:type="dxa"/>
            <w:vAlign w:val="bottom"/>
          </w:tcPr>
          <w:p>
            <w:pPr>
              <w:spacing w:after="0"/>
              <w:rPr>
                <w:sz w:val="20"/>
                <w:szCs w:val="20"/>
                <w:color w:val="auto"/>
              </w:rPr>
            </w:pPr>
            <w:r>
              <w:rPr>
                <w:rFonts w:ascii="Arial" w:cs="Arial" w:eastAsia="Arial" w:hAnsi="Arial"/>
                <w:sz w:val="18"/>
                <w:szCs w:val="18"/>
                <w:b w:val="1"/>
                <w:bCs w:val="1"/>
                <w:color w:val="auto"/>
              </w:rPr>
              <w:t>CONSOLIDATED RESULTS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9"/>
        </w:trPr>
        <w:tc>
          <w:tcPr>
            <w:tcW w:w="5720" w:type="dxa"/>
            <w:vAlign w:val="bottom"/>
          </w:tcPr>
          <w:p>
            <w:pPr>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5"/>
        </w:trPr>
        <w:tc>
          <w:tcPr>
            <w:tcW w:w="5720" w:type="dxa"/>
            <w:vAlign w:val="bottom"/>
          </w:tcPr>
          <w:p>
            <w:pPr>
              <w:spacing w:after="0"/>
              <w:rPr>
                <w:sz w:val="20"/>
                <w:szCs w:val="20"/>
                <w:color w:val="auto"/>
              </w:rPr>
            </w:pPr>
            <w:r>
              <w:rPr>
                <w:rFonts w:ascii="Arial" w:cs="Arial" w:eastAsia="Arial" w:hAnsi="Arial"/>
                <w:sz w:val="18"/>
                <w:szCs w:val="18"/>
                <w:i w:val="1"/>
                <w:iCs w:val="1"/>
                <w:color w:val="auto"/>
              </w:rPr>
              <w:t>in millions, except per share amounts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8"/>
        </w:trPr>
        <w:tc>
          <w:tcPr>
            <w:tcW w:w="5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5"/>
          </w:tcPr>
          <w:p>
            <w:pPr>
              <w:ind w:left="480"/>
              <w:spacing w:after="0"/>
              <w:rPr>
                <w:sz w:val="20"/>
                <w:szCs w:val="20"/>
                <w:color w:val="auto"/>
              </w:rPr>
            </w:pPr>
            <w:r>
              <w:rPr>
                <w:rFonts w:ascii="Arial" w:cs="Arial" w:eastAsia="Arial" w:hAnsi="Arial"/>
                <w:sz w:val="18"/>
                <w:szCs w:val="18"/>
                <w:b w:val="1"/>
                <w:bCs w:val="1"/>
                <w:color w:val="auto"/>
              </w:rPr>
              <w:t>As Reported</w:t>
            </w:r>
          </w:p>
        </w:tc>
        <w:tc>
          <w:tcPr>
            <w:tcW w:w="26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23"/>
                <w:szCs w:val="23"/>
                <w:b w:val="1"/>
                <w:bCs w:val="1"/>
                <w:color w:val="auto"/>
                <w:vertAlign w:val="superscript"/>
              </w:rPr>
              <w:t>1</w:t>
            </w:r>
          </w:p>
        </w:tc>
        <w:tc>
          <w:tcPr>
            <w:tcW w:w="820" w:type="dxa"/>
            <w:vAlign w:val="bottom"/>
          </w:tcPr>
          <w:p>
            <w:pPr>
              <w:spacing w:after="0"/>
              <w:rPr>
                <w:sz w:val="24"/>
                <w:szCs w:val="24"/>
                <w:color w:val="auto"/>
              </w:rPr>
            </w:pPr>
          </w:p>
        </w:tc>
      </w:tr>
      <w:tr>
        <w:trPr>
          <w:trHeight w:val="223"/>
        </w:trPr>
        <w:tc>
          <w:tcPr>
            <w:tcW w:w="57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2020</w:t>
            </w:r>
          </w:p>
        </w:tc>
      </w:tr>
      <w:tr>
        <w:trPr>
          <w:trHeight w:val="264"/>
        </w:trPr>
        <w:tc>
          <w:tcPr>
            <w:tcW w:w="57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210.2</w:t>
            </w:r>
          </w:p>
        </w:tc>
        <w:tc>
          <w:tcPr>
            <w:tcW w:w="4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210.2</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102.2</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104.4</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(Loss) Income, Before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Diluted Loss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(0.10)</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240"/>
          </w:cols>
          <w:pgMar w:left="320" w:top="1440" w:right="339" w:bottom="1440" w:gutter="0" w:footer="0" w:header="0"/>
        </w:sectPr>
      </w:pPr>
    </w:p>
    <w:bookmarkStart w:id="3" w:name="page4"/>
    <w:bookmarkEnd w:id="3"/>
    <w:p>
      <w:pPr>
        <w:ind w:left="660" w:right="300" w:hanging="328"/>
        <w:spacing w:after="0" w:line="218" w:lineRule="auto"/>
        <w:tabs>
          <w:tab w:leader="none" w:pos="669"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Diluted loss per share was $0.05, compared to a diluted loss per share of $0.10 in the prior-year quarter. On an adjusted basis</w:t>
      </w:r>
      <w:r>
        <w:rPr>
          <w:rFonts w:ascii="Arial" w:cs="Arial" w:eastAsia="Arial" w:hAnsi="Arial"/>
          <w:sz w:val="23"/>
          <w:szCs w:val="23"/>
          <w:color w:val="auto"/>
          <w:vertAlign w:val="superscript"/>
        </w:rPr>
        <w:t>1</w:t>
      </w:r>
      <w:r>
        <w:rPr>
          <w:rFonts w:ascii="Arial" w:cs="Arial" w:eastAsia="Arial" w:hAnsi="Arial"/>
          <w:sz w:val="18"/>
          <w:szCs w:val="18"/>
          <w:color w:val="auto"/>
        </w:rPr>
        <w:t>, diluted loss per share was $0.03, compared to diluted loss per share of $0.02 in the prior-year quarter.</w:t>
      </w:r>
    </w:p>
    <w:p>
      <w:pPr>
        <w:spacing w:after="0" w:line="149" w:lineRule="exact"/>
        <w:rPr>
          <w:rFonts w:ascii="Arial" w:cs="Arial" w:eastAsia="Arial" w:hAnsi="Arial"/>
          <w:sz w:val="18"/>
          <w:szCs w:val="18"/>
          <w:b w:val="1"/>
          <w:bCs w:val="1"/>
          <w:color w:val="auto"/>
        </w:rPr>
      </w:pPr>
    </w:p>
    <w:p>
      <w:pPr>
        <w:ind w:left="660" w:right="60" w:hanging="328"/>
        <w:spacing w:after="0" w:line="261" w:lineRule="auto"/>
        <w:tabs>
          <w:tab w:leader="none" w:pos="669"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Income before taxes improved $9.5 million or 93% from a loss of $10.2 million to a loss of $0.8 million. Adjusted EBITDA increased $6.7 million or 126% from $5.3 million to $12.0 million.</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69" w:val="left"/>
        </w:tabs>
        <w:numPr>
          <w:ilvl w:val="0"/>
          <w:numId w:val="2"/>
        </w:numPr>
        <w:rPr>
          <w:rFonts w:ascii="Arial" w:cs="Arial" w:eastAsia="Arial" w:hAnsi="Arial"/>
          <w:sz w:val="18"/>
          <w:szCs w:val="18"/>
          <w:color w:val="auto"/>
        </w:rPr>
      </w:pPr>
      <w:r>
        <w:rPr>
          <w:rFonts w:ascii="Arial" w:cs="Arial" w:eastAsia="Arial" w:hAnsi="Arial"/>
          <w:sz w:val="18"/>
          <w:szCs w:val="18"/>
          <w:color w:val="auto"/>
        </w:rPr>
        <w:t>Pawn loans outstanding (PLO) increased to $157.2 million up 39% from the prior-year quarter and 25% on a sequential basis. On a same store basis, PLO increased 34% year-over-year and 21% sequentially.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revenues increased $5.8 million or 6% while total revenues decreased $36.2 million or 17%.</w:t>
      </w:r>
    </w:p>
    <w:p>
      <w:pPr>
        <w:spacing w:after="0" w:line="49" w:lineRule="exact"/>
        <w:rPr>
          <w:rFonts w:ascii="Arial" w:cs="Arial" w:eastAsia="Arial" w:hAnsi="Arial"/>
          <w:sz w:val="18"/>
          <w:szCs w:val="18"/>
          <w:color w:val="auto"/>
        </w:rPr>
      </w:pPr>
    </w:p>
    <w:p>
      <w:pPr>
        <w:ind w:left="660" w:right="100" w:hanging="328"/>
        <w:spacing w:after="0" w:line="237" w:lineRule="auto"/>
        <w:tabs>
          <w:tab w:leader="none" w:pos="668" w:val="left"/>
        </w:tabs>
        <w:numPr>
          <w:ilvl w:val="0"/>
          <w:numId w:val="2"/>
        </w:numPr>
        <w:rPr>
          <w:rFonts w:ascii="Arial" w:cs="Arial" w:eastAsia="Arial" w:hAnsi="Arial"/>
          <w:sz w:val="22"/>
          <w:szCs w:val="22"/>
          <w:color w:val="auto"/>
        </w:rPr>
      </w:pPr>
      <w:r>
        <w:rPr>
          <w:rFonts w:ascii="Arial" w:cs="Arial" w:eastAsia="Arial" w:hAnsi="Arial"/>
          <w:sz w:val="18"/>
          <w:szCs w:val="18"/>
          <w:color w:val="auto"/>
        </w:rPr>
        <w:t>Merchandise sales gross profit increased by 6%, even though merchandise sales decreased by $28.7 million or 21% as a result of effective inventory management. Merchandise sales gross profit margin was 44%, a 1,100 bps improvement over the prior-year quarter (which was adversely impacted by a cost of goods sold adjustment for merchandise lost during looting at 30 U.S. stores during that quarter) and 100 bps over the immediately preceding quarter.</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PSC increased $8.0 million or 15% due to an increase in the average PLO balance during the quarter.</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9" w:val="left"/>
        </w:tabs>
        <w:numPr>
          <w:ilvl w:val="0"/>
          <w:numId w:val="2"/>
        </w:numPr>
        <w:rPr>
          <w:rFonts w:ascii="Arial" w:cs="Arial" w:eastAsia="Arial" w:hAnsi="Arial"/>
          <w:sz w:val="18"/>
          <w:szCs w:val="18"/>
          <w:color w:val="auto"/>
        </w:rPr>
      </w:pPr>
      <w:r>
        <w:rPr>
          <w:rFonts w:ascii="Arial" w:cs="Arial" w:eastAsia="Arial" w:hAnsi="Arial"/>
          <w:sz w:val="18"/>
          <w:szCs w:val="18"/>
          <w:color w:val="auto"/>
        </w:rPr>
        <w:t>Jewelry scrapping sales decreased $14.6 million or 72% and jewelry scrapping sales gross profit decreased $3.9 million or 95%. Jewelry scrapping sales gross profit margin decreased to 4% from 20%. This reflects our strategy of focusing on selling jewelry at higher retail margins than the scrapping process provides.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inventory was $92.2 million, down 25% year-over-year and 7% sequentially. Inventory turnover improved to 3.1x from 2.9x.</w:t>
      </w:r>
    </w:p>
    <w:p>
      <w:pPr>
        <w:spacing w:after="0" w:line="49" w:lineRule="exact"/>
        <w:rPr>
          <w:rFonts w:ascii="Arial" w:cs="Arial" w:eastAsia="Arial" w:hAnsi="Arial"/>
          <w:sz w:val="18"/>
          <w:szCs w:val="18"/>
          <w:color w:val="auto"/>
        </w:rPr>
      </w:pPr>
    </w:p>
    <w:p>
      <w:pPr>
        <w:jc w:val="both"/>
        <w:ind w:left="660" w:right="160" w:hanging="328"/>
        <w:spacing w:after="0" w:line="233" w:lineRule="auto"/>
        <w:tabs>
          <w:tab w:leader="none" w:pos="668" w:val="left"/>
        </w:tabs>
        <w:numPr>
          <w:ilvl w:val="0"/>
          <w:numId w:val="2"/>
        </w:numPr>
        <w:rPr>
          <w:rFonts w:ascii="Arial" w:cs="Arial" w:eastAsia="Arial" w:hAnsi="Arial"/>
          <w:sz w:val="22"/>
          <w:szCs w:val="22"/>
          <w:color w:val="auto"/>
        </w:rPr>
      </w:pPr>
      <w:r>
        <w:rPr>
          <w:rFonts w:ascii="Arial" w:cs="Arial" w:eastAsia="Arial" w:hAnsi="Arial"/>
          <w:sz w:val="18"/>
          <w:szCs w:val="18"/>
          <w:color w:val="auto"/>
        </w:rPr>
        <w:t>Total operating expenses were down $2.1 million or 2% to $104.3 million. Store expenses decreased 1% even though store count grew by 11%. In addition, general and administrative expenses decreased $1.6 million or 10% due to continued focus on expense control initiatives implemented since the fourth quarter of 2020.</w:t>
      </w:r>
    </w:p>
    <w:p>
      <w:pPr>
        <w:spacing w:after="0" w:line="162" w:lineRule="exact"/>
        <w:rPr>
          <w:rFonts w:ascii="Arial" w:cs="Arial" w:eastAsia="Arial" w:hAnsi="Arial"/>
          <w:sz w:val="22"/>
          <w:szCs w:val="22"/>
          <w:color w:val="auto"/>
        </w:rPr>
      </w:pPr>
    </w:p>
    <w:p>
      <w:pPr>
        <w:ind w:left="660" w:right="60" w:hanging="328"/>
        <w:spacing w:after="0" w:line="261" w:lineRule="auto"/>
        <w:tabs>
          <w:tab w:leader="none" w:pos="669"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Cash and cash equivalents at the end of the quarter was $283.7 million, down $27.5 million or 9% year-over-year and $52.0 million or 15% on a sequential basis. The decrease is primarily due to the increase in PLO and the acquisition of new stores.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U.S. Pawn</w:t>
      </w:r>
    </w:p>
    <w:p>
      <w:pPr>
        <w:spacing w:after="0" w:line="171" w:lineRule="exact"/>
        <w:rPr>
          <w:sz w:val="20"/>
          <w:szCs w:val="20"/>
          <w:color w:val="auto"/>
        </w:rPr>
      </w:pPr>
    </w:p>
    <w:p>
      <w:pPr>
        <w:ind w:left="660" w:right="260" w:hanging="328"/>
        <w:spacing w:after="0" w:line="261"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PLO increased 35% year-over-year to $117.2 million. On a sequential basis, PLO increased 23% compared to a 29% sequential decrease in the prior-year quarter. On a same store basis, PLO increased 34% year-over-year and 22% sequentially.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 was down 25% to $130.4 million, while net revenues decreased 3% to $83.3 million.</w:t>
      </w:r>
    </w:p>
    <w:p>
      <w:pPr>
        <w:spacing w:after="0" w:line="211" w:lineRule="exact"/>
        <w:rPr>
          <w:rFonts w:ascii="Arial" w:cs="Arial" w:eastAsia="Arial" w:hAnsi="Arial"/>
          <w:sz w:val="18"/>
          <w:szCs w:val="18"/>
          <w:color w:val="auto"/>
        </w:rPr>
      </w:pPr>
    </w:p>
    <w:p>
      <w:pPr>
        <w:ind w:left="660" w:hanging="328"/>
        <w:spacing w:after="0" w:line="237" w:lineRule="auto"/>
        <w:tabs>
          <w:tab w:leader="none" w:pos="668" w:val="left"/>
        </w:tabs>
        <w:numPr>
          <w:ilvl w:val="0"/>
          <w:numId w:val="3"/>
        </w:numPr>
        <w:rPr>
          <w:rFonts w:ascii="Arial" w:cs="Arial" w:eastAsia="Arial" w:hAnsi="Arial"/>
          <w:sz w:val="22"/>
          <w:szCs w:val="22"/>
          <w:color w:val="auto"/>
        </w:rPr>
      </w:pPr>
      <w:r>
        <w:rPr>
          <w:rFonts w:ascii="Arial" w:cs="Arial" w:eastAsia="Arial" w:hAnsi="Arial"/>
          <w:sz w:val="18"/>
          <w:szCs w:val="18"/>
          <w:color w:val="auto"/>
        </w:rPr>
        <w:t>Merchandise sales and same store sales declined 27% to $84.5 million, but merchandise sales gross profit was down only 3%, reflecting increased gross margins of 46% compared to 35% in the prior-year-quarter (37% when excluding a loss from looting of $2.2 million from merchandise cost of goods sold in the prior-year-quarter). Aged general merchandise inventory as a percentage of total inventory improved to 1.2% from 4.9%.</w:t>
      </w:r>
    </w:p>
    <w:p>
      <w:pPr>
        <w:spacing w:after="0" w:line="158"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PSC increased 7% to $44.0 million as a result of higher average PLO for the quarter.</w:t>
      </w:r>
    </w:p>
    <w:p>
      <w:pPr>
        <w:ind w:left="660" w:right="300" w:hanging="328"/>
        <w:spacing w:after="0" w:line="219"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Jewelry scrapping sales decreased $15.2 million or 89% and jewelry scrapping sales gross profit decreased $4.2 million or 99% Jewelry scrapping sales gross profit margin decreased to 2% from 25%.</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inventory was down $20.9 million or 23% year-over-year and 1% sequentially. Inventory turnover decreased to 2.8x from 3.2x.</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Store expenses were down 6% to $62.5 million driven by a reduction in labor expense.</w:t>
      </w:r>
    </w:p>
    <w:p>
      <w:pPr>
        <w:sectPr>
          <w:pgSz w:w="11900" w:h="16838" w:orient="portrait"/>
          <w:cols w:equalWidth="0" w:num="1">
            <w:col w:w="11120"/>
          </w:cols>
          <w:pgMar w:left="320" w:top="1100" w:right="459" w:bottom="1440" w:gutter="0" w:footer="0" w:header="0"/>
        </w:sectPr>
      </w:pPr>
    </w:p>
    <w:bookmarkStart w:id="4" w:name="page5"/>
    <w:bookmarkEnd w:id="4"/>
    <w:p>
      <w:pPr>
        <w:ind w:left="660" w:right="500" w:hanging="328"/>
        <w:spacing w:after="0" w:line="235"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Segment contribution increased $1.6 million to $18.1 million. When excluding the looting charge taken in the prior year quarter, segment contribution decreased $0.6 million.</w:t>
      </w:r>
    </w:p>
    <w:p>
      <w:pPr>
        <w:spacing w:after="0" w:line="175" w:lineRule="exact"/>
        <w:rPr>
          <w:rFonts w:ascii="Arial" w:cs="Arial" w:eastAsia="Arial" w:hAnsi="Arial"/>
          <w:sz w:val="18"/>
          <w:szCs w:val="18"/>
          <w:color w:val="auto"/>
        </w:rPr>
      </w:pPr>
    </w:p>
    <w:p>
      <w:pPr>
        <w:ind w:right="600" w:firstLine="332"/>
        <w:spacing w:after="0" w:line="380" w:lineRule="auto"/>
        <w:tabs>
          <w:tab w:leader="none" w:pos="656" w:val="left"/>
        </w:tabs>
        <w:numPr>
          <w:ilvl w:val="0"/>
          <w:numId w:val="4"/>
        </w:numPr>
        <w:rPr>
          <w:rFonts w:ascii="Arial" w:cs="Arial" w:eastAsia="Arial" w:hAnsi="Arial"/>
          <w:sz w:val="22"/>
          <w:szCs w:val="22"/>
          <w:color w:val="auto"/>
        </w:rPr>
      </w:pPr>
      <w:r>
        <w:rPr>
          <w:rFonts w:ascii="Arial" w:cs="Arial" w:eastAsia="Arial" w:hAnsi="Arial"/>
          <w:sz w:val="18"/>
          <w:szCs w:val="18"/>
          <w:color w:val="auto"/>
        </w:rPr>
        <w:t>Segment store count increased by 11 during the quarter, due to the acquisition of 11 pawn stores in the Houston, Texas area. Latin America Pawn</w:t>
      </w:r>
    </w:p>
    <w:p>
      <w:pPr>
        <w:spacing w:after="0" w:line="14" w:lineRule="exact"/>
        <w:rPr>
          <w:rFonts w:ascii="Arial" w:cs="Arial" w:eastAsia="Arial" w:hAnsi="Arial"/>
          <w:sz w:val="22"/>
          <w:szCs w:val="22"/>
          <w:color w:val="auto"/>
        </w:rPr>
      </w:pPr>
    </w:p>
    <w:p>
      <w:pPr>
        <w:jc w:val="both"/>
        <w:ind w:left="660" w:right="220" w:hanging="328"/>
        <w:spacing w:after="0" w:line="256"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PLO increased 51% year-over-year to $40.0 million (36% on constant currency basis). On a sequential basis, PLO increased 34% compared to a 31% sequential decrease in the prior-year quarter. On a same store basis, PLO increased 32% year-over-year and 17% sequentially.</w:t>
      </w:r>
    </w:p>
    <w:p>
      <w:pPr>
        <w:spacing w:after="0" w:line="147" w:lineRule="exact"/>
        <w:rPr>
          <w:rFonts w:ascii="Arial" w:cs="Arial" w:eastAsia="Arial" w:hAnsi="Arial"/>
          <w:sz w:val="18"/>
          <w:szCs w:val="18"/>
          <w:color w:val="auto"/>
        </w:rPr>
      </w:pPr>
    </w:p>
    <w:p>
      <w:pPr>
        <w:ind w:left="660" w:right="220" w:hanging="328"/>
        <w:spacing w:after="0" w:line="261"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was up 25% to $43.5 million (12% on a constant currency basis), while net revenues increased 59% to $24.7 million (43% on a constant currency basis).</w:t>
      </w:r>
    </w:p>
    <w:p>
      <w:pPr>
        <w:spacing w:after="0" w:line="157" w:lineRule="exact"/>
        <w:rPr>
          <w:rFonts w:ascii="Arial" w:cs="Arial" w:eastAsia="Arial" w:hAnsi="Arial"/>
          <w:sz w:val="18"/>
          <w:szCs w:val="18"/>
          <w:color w:val="auto"/>
        </w:rPr>
      </w:pPr>
    </w:p>
    <w:p>
      <w:pPr>
        <w:ind w:left="660" w:right="20" w:hanging="328"/>
        <w:spacing w:after="0" w:line="245" w:lineRule="auto"/>
        <w:tabs>
          <w:tab w:leader="none" w:pos="662" w:val="left"/>
        </w:tabs>
        <w:numPr>
          <w:ilvl w:val="0"/>
          <w:numId w:val="4"/>
        </w:numPr>
        <w:rPr>
          <w:rFonts w:ascii="Arial" w:cs="Arial" w:eastAsia="Arial" w:hAnsi="Arial"/>
          <w:sz w:val="20"/>
          <w:szCs w:val="20"/>
          <w:color w:val="auto"/>
        </w:rPr>
      </w:pPr>
      <w:r>
        <w:rPr>
          <w:rFonts w:ascii="Arial" w:cs="Arial" w:eastAsia="Arial" w:hAnsi="Arial"/>
          <w:sz w:val="18"/>
          <w:szCs w:val="18"/>
          <w:color w:val="auto"/>
        </w:rPr>
        <w:t>Merchandise sales grew 15% to $23.3 million (up 3% to $20.8 million on a constant currency basis) and same store sales grew 8% (down 4% on a constant currency basis). Merchandise sales gross profit was up 91%, reflecting significantly improved margins of 35% compared to 21% in the prior-year quarter. Aged general merchandise as a percentage of total inventory improved to 0.9% from 18.1%.</w:t>
      </w:r>
    </w:p>
    <w:p>
      <w:pPr>
        <w:spacing w:after="0" w:line="157" w:lineRule="exact"/>
        <w:rPr>
          <w:rFonts w:ascii="Arial" w:cs="Arial" w:eastAsia="Arial" w:hAnsi="Arial"/>
          <w:sz w:val="20"/>
          <w:szCs w:val="20"/>
          <w:color w:val="auto"/>
        </w:rPr>
      </w:pPr>
    </w:p>
    <w:p>
      <w:pPr>
        <w:ind w:left="660" w:right="20" w:hanging="328"/>
        <w:spacing w:after="0" w:line="261"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PSC increased $5.0 million to $16.4 million (up 30% to $14.8 million on a constant currency basis) as a result of higher average PLO for the quarter.</w:t>
      </w:r>
    </w:p>
    <w:p>
      <w:pPr>
        <w:spacing w:after="0" w:line="157" w:lineRule="exact"/>
        <w:rPr>
          <w:rFonts w:ascii="Arial" w:cs="Arial" w:eastAsia="Arial" w:hAnsi="Arial"/>
          <w:sz w:val="18"/>
          <w:szCs w:val="18"/>
          <w:color w:val="auto"/>
        </w:rPr>
      </w:pPr>
    </w:p>
    <w:p>
      <w:pPr>
        <w:ind w:left="660" w:right="140" w:hanging="328"/>
        <w:spacing w:after="0" w:line="237" w:lineRule="auto"/>
        <w:tabs>
          <w:tab w:leader="none" w:pos="662" w:val="left"/>
        </w:tabs>
        <w:numPr>
          <w:ilvl w:val="0"/>
          <w:numId w:val="4"/>
        </w:numPr>
        <w:rPr>
          <w:rFonts w:ascii="Arial" w:cs="Arial" w:eastAsia="Arial" w:hAnsi="Arial"/>
          <w:sz w:val="20"/>
          <w:szCs w:val="20"/>
          <w:color w:val="auto"/>
        </w:rPr>
      </w:pPr>
      <w:r>
        <w:rPr>
          <w:rFonts w:ascii="Arial" w:cs="Arial" w:eastAsia="Arial" w:hAnsi="Arial"/>
          <w:sz w:val="18"/>
          <w:szCs w:val="18"/>
          <w:color w:val="auto"/>
        </w:rPr>
        <w:t>Net inventory was down $9.9 million or 30% year-over-year (38% on a constant currency basis), but up 41% sequentially. Inventory turnover improved to 4.0x from 2.2x.</w:t>
      </w:r>
    </w:p>
    <w:p>
      <w:pPr>
        <w:spacing w:after="0" w:line="40" w:lineRule="exact"/>
        <w:rPr>
          <w:rFonts w:ascii="Arial" w:cs="Arial" w:eastAsia="Arial" w:hAnsi="Arial"/>
          <w:sz w:val="20"/>
          <w:szCs w:val="20"/>
          <w:color w:val="auto"/>
        </w:rPr>
      </w:pPr>
    </w:p>
    <w:p>
      <w:pPr>
        <w:ind w:left="660" w:right="56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Store expenses were up $4.3 million or 28% ($2.2 million or 15% on a constant currency basis) primarily due to an increase in transaction volume and costs resulting from the re-opening of stores impacted by the COVID-19 pandemic last year.</w:t>
      </w:r>
    </w:p>
    <w:p>
      <w:pPr>
        <w:spacing w:after="0" w:line="162" w:lineRule="exact"/>
        <w:rPr>
          <w:rFonts w:ascii="Arial" w:cs="Arial" w:eastAsia="Arial" w:hAnsi="Arial"/>
          <w:sz w:val="22"/>
          <w:szCs w:val="22"/>
          <w:color w:val="auto"/>
        </w:rPr>
      </w:pPr>
    </w:p>
    <w:p>
      <w:pPr>
        <w:ind w:left="660" w:right="100" w:hanging="328"/>
        <w:spacing w:after="0" w:line="255"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Segment contribution was $3.6 million ($3.2 million on a constant currency basis), compared to a segment loss of $0.7 million in the prior year quarter.</w:t>
      </w:r>
    </w:p>
    <w:p>
      <w:pPr>
        <w:spacing w:after="0" w:line="32" w:lineRule="exact"/>
        <w:rPr>
          <w:rFonts w:ascii="Arial" w:cs="Arial" w:eastAsia="Arial" w:hAnsi="Arial"/>
          <w:sz w:val="18"/>
          <w:szCs w:val="18"/>
          <w:color w:val="auto"/>
        </w:rPr>
      </w:pPr>
    </w:p>
    <w:p>
      <w:pPr>
        <w:ind w:left="660" w:right="16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Segment store count increased by 121 during the quarter, reflecting the acquisition of 128 Cash Apoyo Efectivo stores, the addition of four de novo stores and the closure of 11 stores in Peru.</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w:t>
      </w:r>
    </w:p>
    <w:p>
      <w:pPr>
        <w:spacing w:after="0" w:line="193"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 xml:space="preserve">EZCORP’s Quarterly Report on Form 10-Q for the quarter ended June 30, 2021 has been filed with the Securities and Exchange Commission and is available in the Investor Relations section of the Company’s website at </w:t>
      </w:r>
      <w:r>
        <w:rPr>
          <w:rFonts w:ascii="Arial" w:cs="Arial" w:eastAsia="Arial" w:hAnsi="Arial"/>
          <w:sz w:val="18"/>
          <w:szCs w:val="18"/>
          <w:u w:val="single" w:color="auto"/>
          <w:color w:val="auto"/>
        </w:rPr>
        <w:t>http://investors.ezcorp.com</w:t>
      </w:r>
      <w:r>
        <w:rPr>
          <w:rFonts w:ascii="Arial" w:cs="Arial" w:eastAsia="Arial" w:hAnsi="Arial"/>
          <w:sz w:val="18"/>
          <w:szCs w:val="18"/>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8" w:lineRule="exact"/>
        <w:rPr>
          <w:sz w:val="20"/>
          <w:szCs w:val="20"/>
          <w:color w:val="auto"/>
        </w:rPr>
      </w:pPr>
    </w:p>
    <w:p>
      <w:pPr>
        <w:jc w:val="both"/>
        <w:ind w:right="300"/>
        <w:spacing w:after="0"/>
        <w:rPr>
          <w:sz w:val="20"/>
          <w:szCs w:val="20"/>
          <w:color w:val="auto"/>
        </w:rPr>
      </w:pPr>
      <w:r>
        <w:rPr>
          <w:rFonts w:ascii="Arial" w:cs="Arial" w:eastAsia="Arial" w:hAnsi="Arial"/>
          <w:sz w:val="17"/>
          <w:szCs w:val="17"/>
          <w:color w:val="auto"/>
        </w:rPr>
        <w:t xml:space="preserve">EZCORP will host a conference call on Thursday, August 5, 2021, at 7:00 am Central Time to discuss fiscal third quarter results. Analysts and institutional investors may participate on the conference call by dialing (866) 269-4262, Conference ID: 8885759, or internationally by dialing (323) 347-3281. The conference call will be webcast simultaneously to the public through this link: </w:t>
      </w:r>
      <w:r>
        <w:rPr>
          <w:rFonts w:ascii="Arial" w:cs="Arial" w:eastAsia="Arial" w:hAnsi="Arial"/>
          <w:sz w:val="17"/>
          <w:szCs w:val="17"/>
          <w:u w:val="single" w:color="auto"/>
          <w:color w:val="auto"/>
        </w:rPr>
        <w:t>http://investors.ezcorp.com/</w:t>
      </w:r>
      <w:r>
        <w:rPr>
          <w:rFonts w:ascii="Arial" w:cs="Arial" w:eastAsia="Arial" w:hAnsi="Arial"/>
          <w:sz w:val="17"/>
          <w:szCs w:val="17"/>
          <w:color w:val="auto"/>
        </w:rPr>
        <w:t xml:space="preserve">. A replay of the conference call will be available online at </w:t>
      </w:r>
      <w:r>
        <w:rPr>
          <w:rFonts w:ascii="Arial" w:cs="Arial" w:eastAsia="Arial" w:hAnsi="Arial"/>
          <w:sz w:val="17"/>
          <w:szCs w:val="17"/>
          <w:u w:val="single" w:color="auto"/>
          <w:color w:val="auto"/>
        </w:rPr>
        <w:t>http://investors.ezcorp.com/</w:t>
      </w:r>
      <w:r>
        <w:rPr>
          <w:rFonts w:ascii="Arial" w:cs="Arial" w:eastAsia="Arial" w:hAnsi="Arial"/>
          <w:sz w:val="17"/>
          <w:szCs w:val="17"/>
          <w:color w:val="auto"/>
        </w:rPr>
        <w:t xml:space="preserve"> shortly after the end of the call.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Formed in 1989, EZCORP has grown into a leading provider of pawn transactions in the United States and Latin America. We also sell merchandise, primarily collateral forfeited from pawn lending operations and pre-owned and recycled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1000 Index and Nasdaq Composite Index.</w:t>
      </w:r>
    </w:p>
    <w:p>
      <w:pPr>
        <w:sectPr>
          <w:pgSz w:w="11900" w:h="16838" w:orient="portrait"/>
          <w:cols w:equalWidth="0" w:num="1">
            <w:col w:w="11220"/>
          </w:cols>
          <w:pgMar w:left="320" w:top="93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340"/>
        <w:spacing w:after="0" w:line="227" w:lineRule="auto"/>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”Adjusted” basis, which is a non-GAAP measure, excludes certain items. “Constant currency” basis, which is a non-GAAP measure, excludes the impact of foreign currency exchange rate fluctuations. “Free cash flow,” which is a non-GAAP measure, includes certain adjustments to cash flow from operating activities.</w:t>
      </w:r>
    </w:p>
    <w:p>
      <w:pPr>
        <w:spacing w:after="0" w:line="224" w:lineRule="exact"/>
        <w:rPr>
          <w:sz w:val="20"/>
          <w:szCs w:val="20"/>
          <w:color w:val="auto"/>
        </w:rPr>
      </w:pPr>
    </w:p>
    <w:p>
      <w:pPr>
        <w:ind w:right="320"/>
        <w:spacing w:after="0" w:line="273" w:lineRule="auto"/>
        <w:rPr>
          <w:sz w:val="20"/>
          <w:szCs w:val="20"/>
          <w:color w:val="auto"/>
        </w:rPr>
      </w:pPr>
      <w:r>
        <w:rPr>
          <w:rFonts w:ascii="Arial" w:cs="Arial" w:eastAsia="Arial" w:hAnsi="Arial"/>
          <w:sz w:val="14"/>
          <w:szCs w:val="14"/>
          <w:i w:val="1"/>
          <w:iCs w:val="1"/>
          <w:color w:val="auto"/>
        </w:rPr>
        <w:t>For additional information about these calculations, as well as a reconciliation to the most comparable GAAP financial measures, see “Non-GAAP Financial Information” at the end of this release.</w:t>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6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5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10"/>
        </w:trPr>
        <w:tc>
          <w:tcPr>
            <w:tcW w:w="5220" w:type="dxa"/>
            <w:vAlign w:val="bottom"/>
          </w:tcPr>
          <w:p>
            <w:pPr>
              <w:ind w:left="20"/>
              <w:spacing w:after="0"/>
              <w:rPr>
                <w:sz w:val="20"/>
                <w:szCs w:val="20"/>
                <w:color w:val="auto"/>
              </w:rPr>
            </w:pPr>
            <w:r>
              <w:rPr>
                <w:rFonts w:ascii="Arial" w:cs="Arial" w:eastAsia="Arial" w:hAnsi="Arial"/>
                <w:sz w:val="14"/>
                <w:szCs w:val="14"/>
                <w:color w:val="auto"/>
              </w:rPr>
              <w:t>(in thousands, except per share amount)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44"/>
        </w:trPr>
        <w:tc>
          <w:tcPr>
            <w:tcW w:w="522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107,808</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136,537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330,816</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393,095</w:t>
            </w:r>
          </w:p>
        </w:tc>
      </w:tr>
      <w:tr>
        <w:trPr>
          <w:trHeight w:val="216"/>
        </w:trPr>
        <w:tc>
          <w:tcPr>
            <w:tcW w:w="522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5,673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20,303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18,507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41,709</w:t>
            </w:r>
          </w:p>
        </w:tc>
      </w:tr>
      <w:tr>
        <w:trPr>
          <w:trHeight w:val="216"/>
        </w:trPr>
        <w:tc>
          <w:tcPr>
            <w:tcW w:w="52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60,431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52,460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187,356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217,407</w:t>
            </w:r>
          </w:p>
        </w:tc>
      </w:tr>
      <w:tr>
        <w:trPr>
          <w:trHeight w:val="219"/>
        </w:trPr>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3,727</w:t>
            </w:r>
          </w:p>
        </w:tc>
      </w:tr>
      <w:tr>
        <w:trPr>
          <w:trHeight w:val="206"/>
        </w:trPr>
        <w:tc>
          <w:tcPr>
            <w:tcW w:w="52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174,033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210,224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537,107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655,938</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60,539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91,859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190,872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261,711</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5,473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33,529</w:t>
            </w:r>
          </w:p>
        </w:tc>
      </w:tr>
      <w:tr>
        <w:trPr>
          <w:trHeight w:val="21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cost of revenues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w:t>
            </w:r>
          </w:p>
        </w:tc>
      </w:tr>
      <w:tr>
        <w:trPr>
          <w:trHeight w:val="207"/>
        </w:trPr>
        <w:tc>
          <w:tcPr>
            <w:tcW w:w="522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108,021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102,175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330,159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359,605</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81,803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82,341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242,261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259,264</w:t>
            </w:r>
          </w:p>
        </w:tc>
      </w:tr>
      <w:tr>
        <w:trPr>
          <w:trHeight w:val="216"/>
        </w:trPr>
        <w:tc>
          <w:tcPr>
            <w:tcW w:w="52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14,589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40,870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50,355</w:t>
            </w:r>
          </w:p>
        </w:tc>
      </w:tr>
      <w:tr>
        <w:trPr>
          <w:trHeight w:val="216"/>
        </w:trPr>
        <w:tc>
          <w:tcPr>
            <w:tcW w:w="5220" w:type="dxa"/>
            <w:vAlign w:val="bottom"/>
          </w:tcPr>
          <w:p>
            <w:pPr>
              <w:ind w:left="220"/>
              <w:spacing w:after="0"/>
              <w:rPr>
                <w:sz w:val="20"/>
                <w:szCs w:val="20"/>
                <w:color w:val="auto"/>
              </w:rPr>
            </w:pPr>
            <w:r>
              <w:rPr>
                <w:rFonts w:ascii="Arial" w:cs="Arial" w:eastAsia="Arial" w:hAnsi="Arial"/>
                <w:sz w:val="16"/>
                <w:szCs w:val="16"/>
                <w:color w:val="auto"/>
              </w:rPr>
              <w:t>Impairment of goodwill, intangible and other assets</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47,060</w:t>
            </w:r>
          </w:p>
        </w:tc>
      </w:tr>
      <w:tr>
        <w:trPr>
          <w:trHeight w:val="216"/>
        </w:trPr>
        <w:tc>
          <w:tcPr>
            <w:tcW w:w="52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7,419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23,080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23,174</w:t>
            </w:r>
          </w:p>
        </w:tc>
      </w:tr>
      <w:tr>
        <w:trPr>
          <w:trHeight w:val="216"/>
        </w:trPr>
        <w:tc>
          <w:tcPr>
            <w:tcW w:w="5220" w:type="dxa"/>
            <w:vAlign w:val="bottom"/>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1,260</w:t>
            </w:r>
          </w:p>
        </w:tc>
      </w:tr>
      <w:tr>
        <w:trPr>
          <w:trHeight w:val="219"/>
        </w:trPr>
        <w:tc>
          <w:tcPr>
            <w:tcW w:w="5220" w:type="dxa"/>
            <w:vAlign w:val="bottom"/>
          </w:tcPr>
          <w:p>
            <w:pPr>
              <w:ind w:left="220"/>
              <w:spacing w:after="0"/>
              <w:rPr>
                <w:sz w:val="20"/>
                <w:szCs w:val="20"/>
                <w:color w:val="auto"/>
              </w:rPr>
            </w:pPr>
            <w:r>
              <w:rPr>
                <w:rFonts w:ascii="Arial" w:cs="Arial" w:eastAsia="Arial" w:hAnsi="Arial"/>
                <w:sz w:val="16"/>
                <w:szCs w:val="16"/>
                <w:color w:val="auto"/>
              </w:rPr>
              <w:t>Other charges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2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104,308</w:t>
            </w: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106,451</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306,798</w:t>
            </w: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381,113</w:t>
            </w:r>
          </w:p>
        </w:tc>
      </w:tr>
      <w:tr>
        <w:trPr>
          <w:trHeight w:val="209"/>
        </w:trPr>
        <w:tc>
          <w:tcPr>
            <w:tcW w:w="52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Operating income (loss)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3,713</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23,361</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(21,508)</w:t>
            </w: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5,569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5,379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16,542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16,589</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(2,412)</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Equity in net (income) loss of unconsolidated affiliates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5,896</w:t>
            </w:r>
          </w:p>
        </w:tc>
      </w:tr>
      <w:tr>
        <w:trPr>
          <w:trHeight w:val="21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expense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color w:val="auto"/>
              </w:rPr>
              <w:t>(Loss) income before income taxes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11,535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(41,366)</w:t>
            </w:r>
          </w:p>
        </w:tc>
      </w:tr>
      <w:tr>
        <w:trPr>
          <w:trHeight w:val="21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 (benefit)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1,804</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4,476</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3,757</w:t>
            </w:r>
          </w:p>
        </w:tc>
      </w:tr>
      <w:tr>
        <w:trPr>
          <w:trHeight w:val="21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(loss)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(2,570)</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7,059</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(45,123)</w:t>
            </w:r>
          </w:p>
        </w:tc>
      </w:tr>
      <w:tr>
        <w:trPr>
          <w:trHeight w:val="413"/>
        </w:trPr>
        <w:tc>
          <w:tcPr>
            <w:tcW w:w="5220" w:type="dxa"/>
            <w:vAlign w:val="bottom"/>
          </w:tcPr>
          <w:p>
            <w:pPr>
              <w:ind w:left="20"/>
              <w:spacing w:after="0"/>
              <w:rPr>
                <w:sz w:val="20"/>
                <w:szCs w:val="20"/>
                <w:color w:val="auto"/>
              </w:rPr>
            </w:pPr>
            <w:r>
              <w:rPr>
                <w:rFonts w:ascii="Arial" w:cs="Arial" w:eastAsia="Arial" w:hAnsi="Arial"/>
                <w:sz w:val="16"/>
                <w:szCs w:val="16"/>
                <w:color w:val="auto"/>
              </w:rPr>
              <w:t>Basic (loss) earnings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4"/>
                <w:szCs w:val="24"/>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(0.81)</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Diluted (loss) earnings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(0.81)</w:t>
            </w:r>
          </w:p>
        </w:tc>
      </w:tr>
      <w:tr>
        <w:trPr>
          <w:trHeight w:val="432"/>
        </w:trPr>
        <w:tc>
          <w:tcPr>
            <w:tcW w:w="5220" w:type="dxa"/>
            <w:vAlign w:val="bottom"/>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55,898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55,068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55,639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55,395</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55,898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55,068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55,653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55,395</w:t>
            </w:r>
          </w:p>
        </w:tc>
      </w:tr>
    </w:tbl>
    <w:p>
      <w:pPr>
        <w:sectPr>
          <w:pgSz w:w="11900" w:h="16838" w:orient="portrait"/>
          <w:cols w:equalWidth="0" w:num="1">
            <w:col w:w="11240"/>
          </w:cols>
          <w:pgMar w:left="320" w:top="117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219"/>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170"/>
        </w:trPr>
        <w:tc>
          <w:tcPr>
            <w:tcW w:w="6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3"/>
          </w:tcPr>
          <w:p>
            <w:pPr>
              <w:jc w:val="right"/>
              <w:spacing w:after="0" w:line="170" w:lineRule="exact"/>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1"/>
        </w:trPr>
        <w:tc>
          <w:tcPr>
            <w:tcW w:w="6700" w:type="dxa"/>
            <w:vAlign w:val="bottom"/>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283,668</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311,130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304,542</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13,795</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8,011</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Pawn loans</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157,155</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113,290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131,323</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Pawn service charges receivable, net</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24,965</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17,432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20,580</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Inventory, net</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92,242</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123,112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95,891</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Notes receivable, net</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28,343</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25,754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32,903</w:t>
            </w:r>
          </w:p>
        </w:tc>
      </w:tr>
      <w:tr>
        <w:trPr>
          <w:trHeight w:val="207"/>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600,168</w:t>
            </w:r>
          </w:p>
        </w:tc>
        <w:tc>
          <w:tcPr>
            <w:tcW w:w="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598,584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593,250</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35,387</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29,483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32,458</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55,630</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58,098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56,986</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Lease right-of-use asset</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185,467</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204,591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183,809</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283,619</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257,326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257,582</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61,922</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65,003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58,638</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Notes receivable, net</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1,173</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1,148</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Deferred tax asset, net</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10,292</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8,931</w:t>
            </w:r>
          </w:p>
        </w:tc>
      </w:tr>
      <w:tr>
        <w:trPr>
          <w:trHeight w:val="219"/>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4,992</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4,221</w:t>
            </w:r>
          </w:p>
        </w:tc>
      </w:tr>
      <w:tr>
        <w:trPr>
          <w:trHeight w:val="220"/>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1,238,650</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1,224,302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1,197,023</w:t>
            </w:r>
          </w:p>
        </w:tc>
      </w:tr>
      <w:tr>
        <w:trPr>
          <w:trHeight w:val="304"/>
        </w:trPr>
        <w:tc>
          <w:tcPr>
            <w:tcW w:w="670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Current maturities of long-term debt, net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spacing w:after="0"/>
              <w:rPr>
                <w:sz w:val="18"/>
                <w:szCs w:val="18"/>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84,966</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58,358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71,504</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11,884</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11,008</w:t>
            </w:r>
          </w:p>
        </w:tc>
      </w:tr>
      <w:tr>
        <w:trPr>
          <w:trHeight w:val="219"/>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Lease liability</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47,241</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48,840</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49,742</w:t>
            </w:r>
          </w:p>
        </w:tc>
      </w:tr>
      <w:tr>
        <w:trPr>
          <w:trHeight w:val="207"/>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144,091</w:t>
            </w:r>
          </w:p>
        </w:tc>
        <w:tc>
          <w:tcPr>
            <w:tcW w:w="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119,368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132,467</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Long-term debt, net</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260,632</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247,618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251,016</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Deferred tax liability, net</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1,309</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Lease liability</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149,342</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167,716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153,040</w:t>
            </w:r>
          </w:p>
        </w:tc>
      </w:tr>
      <w:tr>
        <w:trPr>
          <w:trHeight w:val="219"/>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10,058</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10,849</w:t>
            </w:r>
          </w:p>
        </w:tc>
      </w:tr>
      <w:tr>
        <w:trPr>
          <w:trHeight w:val="206"/>
        </w:trPr>
        <w:tc>
          <w:tcPr>
            <w:tcW w:w="670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7"/>
                <w:szCs w:val="17"/>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565,432</w:t>
            </w:r>
          </w:p>
        </w:tc>
        <w:tc>
          <w:tcPr>
            <w:tcW w:w="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544,390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547,896</w:t>
            </w:r>
          </w:p>
        </w:tc>
      </w:tr>
      <w:tr>
        <w:trPr>
          <w:trHeight w:val="216"/>
        </w:trPr>
        <w:tc>
          <w:tcPr>
            <w:tcW w:w="6700" w:type="dxa"/>
            <w:vAlign w:val="bottom"/>
          </w:tcPr>
          <w:p>
            <w:pPr>
              <w:ind w:left="20"/>
              <w:spacing w:after="0"/>
              <w:rPr>
                <w:sz w:val="20"/>
                <w:szCs w:val="20"/>
                <w:color w:val="auto"/>
              </w:rPr>
            </w:pPr>
            <w:r>
              <w:rPr>
                <w:rFonts w:ascii="Arial" w:cs="Arial" w:eastAsia="Arial" w:hAnsi="Arial"/>
                <w:sz w:val="16"/>
                <w:szCs w:val="16"/>
                <w:color w:val="auto"/>
              </w:rPr>
              <w:t>Commitments and Contingencies (Note 13)</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3"/>
        </w:trPr>
        <w:tc>
          <w:tcPr>
            <w:tcW w:w="6700" w:type="dxa"/>
            <w:vAlign w:val="bottom"/>
          </w:tcPr>
          <w:p>
            <w:pPr>
              <w:ind w:left="480"/>
              <w:spacing w:after="0"/>
              <w:rPr>
                <w:sz w:val="20"/>
                <w:szCs w:val="20"/>
                <w:color w:val="auto"/>
              </w:rPr>
            </w:pPr>
            <w:r>
              <w:rPr>
                <w:rFonts w:ascii="Arial" w:cs="Arial" w:eastAsia="Arial" w:hAnsi="Arial"/>
                <w:sz w:val="16"/>
                <w:szCs w:val="16"/>
                <w:color w:val="auto"/>
              </w:rPr>
              <w:t>Class A Non-voting Common Stock, par value $0.01 per share; shares authorized:</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62"/>
        </w:trPr>
        <w:tc>
          <w:tcPr>
            <w:tcW w:w="6700" w:type="dxa"/>
            <w:vAlign w:val="bottom"/>
          </w:tcPr>
          <w:p>
            <w:pPr>
              <w:ind w:left="480"/>
              <w:spacing w:after="0" w:line="162" w:lineRule="exact"/>
              <w:rPr>
                <w:sz w:val="20"/>
                <w:szCs w:val="20"/>
                <w:color w:val="auto"/>
              </w:rPr>
            </w:pPr>
            <w:r>
              <w:rPr>
                <w:rFonts w:ascii="Arial" w:cs="Arial" w:eastAsia="Arial" w:hAnsi="Arial"/>
                <w:sz w:val="16"/>
                <w:szCs w:val="16"/>
                <w:color w:val="auto"/>
              </w:rPr>
              <w:t>100 million; issued and outstanding: 53,086,438 as of June 30, 2021; 52,097,590 as of</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5"/>
        </w:trPr>
        <w:tc>
          <w:tcPr>
            <w:tcW w:w="6700" w:type="dxa"/>
            <w:vAlign w:val="bottom"/>
          </w:tcPr>
          <w:p>
            <w:pPr>
              <w:ind w:left="480"/>
              <w:spacing w:after="0"/>
              <w:rPr>
                <w:sz w:val="20"/>
                <w:szCs w:val="20"/>
                <w:color w:val="auto"/>
              </w:rPr>
            </w:pPr>
            <w:r>
              <w:rPr>
                <w:rFonts w:ascii="Arial" w:cs="Arial" w:eastAsia="Arial" w:hAnsi="Arial"/>
                <w:sz w:val="16"/>
                <w:szCs w:val="16"/>
                <w:color w:val="auto"/>
              </w:rPr>
              <w:t>June 30, 2020; and 52,332,848 as of September 30, 2020</w:t>
            </w:r>
          </w:p>
        </w:tc>
        <w:tc>
          <w:tcPr>
            <w:tcW w:w="240" w:type="dxa"/>
            <w:vAlign w:val="bottom"/>
          </w:tcPr>
          <w:p>
            <w:pPr>
              <w:spacing w:after="0"/>
              <w:rPr>
                <w:sz w:val="16"/>
                <w:szCs w:val="16"/>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530</w:t>
            </w:r>
          </w:p>
        </w:tc>
        <w:tc>
          <w:tcPr>
            <w:tcW w:w="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183"/>
        </w:trPr>
        <w:tc>
          <w:tcPr>
            <w:tcW w:w="6700" w:type="dxa"/>
            <w:vAlign w:val="bottom"/>
          </w:tcPr>
          <w:p>
            <w:pPr>
              <w:ind w:left="480"/>
              <w:spacing w:after="0"/>
              <w:rPr>
                <w:sz w:val="20"/>
                <w:szCs w:val="20"/>
                <w:color w:val="auto"/>
              </w:rPr>
            </w:pPr>
            <w:r>
              <w:rPr>
                <w:rFonts w:ascii="Arial" w:cs="Arial" w:eastAsia="Arial" w:hAnsi="Arial"/>
                <w:sz w:val="16"/>
                <w:szCs w:val="16"/>
                <w:color w:val="auto"/>
              </w:rPr>
              <w:t>Class B Voting Common Stock, convertible, par value $0.01 per share; shares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5"/>
        </w:trPr>
        <w:tc>
          <w:tcPr>
            <w:tcW w:w="6700" w:type="dxa"/>
            <w:vAlign w:val="bottom"/>
          </w:tcPr>
          <w:p>
            <w:pPr>
              <w:ind w:left="480"/>
              <w:spacing w:after="0"/>
              <w:rPr>
                <w:sz w:val="20"/>
                <w:szCs w:val="20"/>
                <w:color w:val="auto"/>
              </w:rPr>
            </w:pPr>
            <w:r>
              <w:rPr>
                <w:rFonts w:ascii="Arial" w:cs="Arial" w:eastAsia="Arial" w:hAnsi="Arial"/>
                <w:sz w:val="16"/>
                <w:szCs w:val="16"/>
                <w:color w:val="auto"/>
              </w:rPr>
              <w:t>authorized: 3 million; issued and outstanding: 2,970,171</w:t>
            </w:r>
          </w:p>
        </w:tc>
        <w:tc>
          <w:tcPr>
            <w:tcW w:w="240" w:type="dxa"/>
            <w:vAlign w:val="bottom"/>
          </w:tcPr>
          <w:p>
            <w:pPr>
              <w:spacing w:after="0"/>
              <w:rPr>
                <w:sz w:val="16"/>
                <w:szCs w:val="16"/>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30</w:t>
            </w:r>
          </w:p>
        </w:tc>
        <w:tc>
          <w:tcPr>
            <w:tcW w:w="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402,522</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408,601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398,475</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325,228</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341,517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318,169</w:t>
            </w:r>
          </w:p>
        </w:tc>
      </w:tr>
      <w:tr>
        <w:trPr>
          <w:trHeight w:val="219"/>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(55,092)</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(70,757)</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(68,068)</w:t>
            </w:r>
          </w:p>
        </w:tc>
      </w:tr>
      <w:tr>
        <w:trPr>
          <w:trHeight w:val="210"/>
        </w:trPr>
        <w:tc>
          <w:tcPr>
            <w:tcW w:w="67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673,218</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679,912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649,127</w:t>
            </w:r>
          </w:p>
        </w:tc>
      </w:tr>
      <w:tr>
        <w:trPr>
          <w:trHeight w:val="21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1,238,650</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1,224,302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1,197,023</w:t>
            </w:r>
          </w:p>
        </w:tc>
      </w:tr>
    </w:tbl>
    <w:p>
      <w:pPr>
        <w:sectPr>
          <w:pgSz w:w="11900" w:h="16838" w:orient="portrait"/>
          <w:cols w:equalWidth="0" w:num="1">
            <w:col w:w="11240"/>
          </w:cols>
          <w:pgMar w:left="320" w:top="125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45"/>
        </w:trPr>
        <w:tc>
          <w:tcPr>
            <w:tcW w:w="82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7,059</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(45,123)</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Adjustments to reconcile net income (loss) to net cash flows from operating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23,080</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23,174</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10,243</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9,814</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Amortization of lease right-of-use asset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35,885</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34,265</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Accretion of notes receivable discount and deferred compensation fee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(688)</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(576)</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(3,327)</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Impairment of goodwill and intangible assets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47,060</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Other adjustments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(331)</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2,128</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Provision for inventory reserve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(6,812)</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(4,477)</w:t>
            </w:r>
          </w:p>
        </w:tc>
      </w:tr>
      <w:tr>
        <w:trPr>
          <w:trHeight w:val="216"/>
        </w:trPr>
        <w:tc>
          <w:tcPr>
            <w:tcW w:w="8240" w:type="dxa"/>
            <w:vAlign w:val="bottom"/>
          </w:tcPr>
          <w:p>
            <w:pPr>
              <w:ind w:left="680"/>
              <w:spacing w:after="0"/>
              <w:rPr>
                <w:sz w:val="20"/>
                <w:szCs w:val="20"/>
                <w:color w:val="auto"/>
              </w:rPr>
            </w:pPr>
            <w:r>
              <w:rPr>
                <w:rFonts w:ascii="Arial" w:cs="Arial" w:eastAsia="Arial" w:hAnsi="Arial"/>
                <w:sz w:val="16"/>
                <w:szCs w:val="16"/>
                <w:color w:val="auto"/>
              </w:rPr>
              <w:t>Stock compensation expense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3,156</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5,093</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Equity in net (income) loss of unconsolidated affiliates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(2,409)</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5,896</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Service charges and fees receivable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(2,832)</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14,076</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5,382</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12,467</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7,908</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(3,348)</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(51,565)</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(40,450)</w:t>
            </w:r>
          </w:p>
        </w:tc>
      </w:tr>
      <w:tr>
        <w:trPr>
          <w:trHeight w:val="216"/>
        </w:trPr>
        <w:tc>
          <w:tcPr>
            <w:tcW w:w="824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511</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(709)</w:t>
            </w:r>
          </w:p>
        </w:tc>
      </w:tr>
      <w:tr>
        <w:trPr>
          <w:trHeight w:val="219"/>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Income taxes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4,423</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r>
      <w:tr>
        <w:trPr>
          <w:trHeight w:val="206"/>
        </w:trPr>
        <w:tc>
          <w:tcPr>
            <w:tcW w:w="8240" w:type="dxa"/>
            <w:vAlign w:val="bottom"/>
          </w:tcPr>
          <w:p>
            <w:pPr>
              <w:ind w:left="80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33,122</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56,365</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Loans made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(423,450)</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(442,752)</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Loans repaid</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260,536</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321,718</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155,595</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248,290</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Capital expenditures, net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(14,635)</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(20,867)</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(15,132)</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Principal collections on notes receivable</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w:t>
            </w:r>
          </w:p>
        </w:tc>
      </w:tr>
      <w:tr>
        <w:trPr>
          <w:trHeight w:val="207"/>
        </w:trPr>
        <w:tc>
          <w:tcPr>
            <w:tcW w:w="8240" w:type="dxa"/>
            <w:vAlign w:val="bottom"/>
          </w:tcPr>
          <w:p>
            <w:pPr>
              <w:ind w:left="800"/>
              <w:spacing w:after="0"/>
              <w:rPr>
                <w:sz w:val="20"/>
                <w:szCs w:val="20"/>
                <w:color w:val="auto"/>
              </w:rPr>
            </w:pPr>
            <w:r>
              <w:rPr>
                <w:rFonts w:ascii="Arial" w:cs="Arial" w:eastAsia="Arial" w:hAnsi="Arial"/>
                <w:sz w:val="16"/>
                <w:szCs w:val="16"/>
                <w:color w:val="auto"/>
              </w:rPr>
              <w:t>Net cash (used in) provided by investing activities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(37,086)</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110,389</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(839)</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(1,458)</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Payout of deferred consideration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Proceeds from borrowings, net of issuance costs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Payments on assumed debt and other borrowings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(15,363)</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219"/>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Repurchase of common stock</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(5,158)</w:t>
            </w:r>
          </w:p>
        </w:tc>
      </w:tr>
      <w:tr>
        <w:trPr>
          <w:trHeight w:val="206"/>
        </w:trPr>
        <w:tc>
          <w:tcPr>
            <w:tcW w:w="8240" w:type="dxa"/>
            <w:vAlign w:val="bottom"/>
          </w:tcPr>
          <w:p>
            <w:pPr>
              <w:ind w:left="80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(16,202)</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(7,388)</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5,076</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(6,678)</w:t>
            </w: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(15,090)</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152,688</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312,553</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162,442</w:t>
            </w:r>
          </w:p>
        </w:tc>
      </w:tr>
      <w:tr>
        <w:trPr>
          <w:trHeight w:val="22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297,463</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315,130</w:t>
            </w:r>
          </w:p>
        </w:tc>
      </w:tr>
      <w:tr>
        <w:trPr>
          <w:trHeight w:val="399"/>
        </w:trPr>
        <w:tc>
          <w:tcPr>
            <w:tcW w:w="824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824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283,668</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311,130</w:t>
            </w:r>
          </w:p>
        </w:tc>
      </w:tr>
      <w:tr>
        <w:trPr>
          <w:trHeight w:val="219"/>
        </w:trPr>
        <w:tc>
          <w:tcPr>
            <w:tcW w:w="8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13,795</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w:t>
            </w:r>
          </w:p>
        </w:tc>
      </w:tr>
      <w:tr>
        <w:trPr>
          <w:trHeight w:val="220"/>
        </w:trPr>
        <w:tc>
          <w:tcPr>
            <w:tcW w:w="8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cash and cash equivalents and restricted cash</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297,463</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315,130</w:t>
            </w:r>
          </w:p>
        </w:tc>
      </w:tr>
      <w:tr>
        <w:trPr>
          <w:trHeight w:val="399"/>
        </w:trPr>
        <w:tc>
          <w:tcPr>
            <w:tcW w:w="824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Pawn loans forfeited and transferred to inventory</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145,839</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200,160</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Transfer of consideration for current period acquisition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1,547</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Acquisition earn-out contingency</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4,608</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tcPr>
          <w:p>
            <w:pPr>
              <w:ind w:left="220"/>
              <w:spacing w:after="0"/>
              <w:rPr>
                <w:sz w:val="20"/>
                <w:szCs w:val="20"/>
                <w:color w:val="auto"/>
              </w:rPr>
            </w:pPr>
            <w:r>
              <w:rPr>
                <w:rFonts w:ascii="Arial" w:cs="Arial" w:eastAsia="Arial" w:hAnsi="Arial"/>
                <w:sz w:val="16"/>
                <w:szCs w:val="16"/>
                <w:color w:val="auto"/>
              </w:rPr>
              <w:t>Accrued acquisition consideration held as restricted cash</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5,824</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11240"/>
          </w:cols>
          <w:pgMar w:left="320" w:top="125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Three Months Ended June 30, 2021</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International</w:t>
            </w:r>
          </w:p>
        </w:tc>
        <w:tc>
          <w:tcPr>
            <w:tcW w:w="1420" w:type="dxa"/>
            <w:vAlign w:val="bottom"/>
            <w:gridSpan w:val="3"/>
            <w:vMerge w:val="continue"/>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84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84,465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23,343</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107,808</w:t>
            </w:r>
          </w:p>
        </w:tc>
        <w:tc>
          <w:tcPr>
            <w:tcW w:w="1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107,808</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5,673</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44,039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60,431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60,431</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7"/>
        </w:trPr>
        <w:tc>
          <w:tcPr>
            <w:tcW w:w="28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130,444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43,500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174,033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174,033</w:t>
            </w: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45,310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60,539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60,539</w:t>
            </w: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5,473</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cost of revenues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84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83,256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24,676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108,021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108,021</w:t>
            </w:r>
          </w:p>
        </w:tc>
        <w:tc>
          <w:tcPr>
            <w:tcW w:w="0" w:type="dxa"/>
            <w:vAlign w:val="bottom"/>
          </w:tcPr>
          <w:p>
            <w:pPr>
              <w:spacing w:after="0"/>
              <w:rPr>
                <w:sz w:val="1"/>
                <w:szCs w:val="1"/>
                <w:color w:val="auto"/>
              </w:rPr>
            </w:pPr>
          </w:p>
        </w:tc>
      </w:tr>
      <w:tr>
        <w:trPr>
          <w:trHeight w:val="183"/>
        </w:trPr>
        <w:tc>
          <w:tcPr>
            <w:tcW w:w="2840" w:type="dxa"/>
            <w:vAlign w:val="bottom"/>
          </w:tcPr>
          <w:p>
            <w:pPr>
              <w:ind w:left="20"/>
              <w:spacing w:after="0"/>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62,507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19,296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81,803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81,803</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14,589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14,589</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7,419</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Other charges</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5,569</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183"/>
        </w:trPr>
        <w:tc>
          <w:tcPr>
            <w:tcW w:w="2840" w:type="dxa"/>
            <w:vAlign w:val="bottom"/>
          </w:tcPr>
          <w:p>
            <w:pPr>
              <w:ind w:left="220"/>
              <w:spacing w:after="0"/>
              <w:rPr>
                <w:sz w:val="20"/>
                <w:szCs w:val="20"/>
                <w:color w:val="auto"/>
              </w:rPr>
            </w:pPr>
            <w:r>
              <w:rPr>
                <w:rFonts w:ascii="Arial" w:cs="Arial" w:eastAsia="Arial" w:hAnsi="Arial"/>
                <w:sz w:val="16"/>
                <w:szCs w:val="16"/>
                <w:color w:val="auto"/>
              </w:rPr>
              <w:t>Equity in net income of</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22,429</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22,429</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(23,195)</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Three Months Ended June 30, 2020</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International</w:t>
            </w:r>
          </w:p>
        </w:tc>
        <w:tc>
          <w:tcPr>
            <w:tcW w:w="1420" w:type="dxa"/>
            <w:vAlign w:val="bottom"/>
            <w:gridSpan w:val="3"/>
            <w:vMerge w:val="continue"/>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84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116,258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20,279</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136,537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136,537</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17,129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20,303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20,303</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41,069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52,460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52,460</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07"/>
        </w:trPr>
        <w:tc>
          <w:tcPr>
            <w:tcW w:w="28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174,496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34,844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210,224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210,224</w:t>
            </w: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75,838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91,859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91,859</w:t>
            </w: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12,875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16,158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16,158</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cost of revenues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7"/>
        </w:trPr>
        <w:tc>
          <w:tcPr>
            <w:tcW w:w="284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85,783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15,508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102,175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102,175</w:t>
            </w:r>
          </w:p>
        </w:tc>
        <w:tc>
          <w:tcPr>
            <w:tcW w:w="0" w:type="dxa"/>
            <w:vAlign w:val="bottom"/>
          </w:tcPr>
          <w:p>
            <w:pPr>
              <w:spacing w:after="0"/>
              <w:rPr>
                <w:sz w:val="1"/>
                <w:szCs w:val="1"/>
                <w:color w:val="auto"/>
              </w:rPr>
            </w:pPr>
          </w:p>
        </w:tc>
      </w:tr>
      <w:tr>
        <w:trPr>
          <w:trHeight w:val="183"/>
        </w:trPr>
        <w:tc>
          <w:tcPr>
            <w:tcW w:w="2840" w:type="dxa"/>
            <w:vAlign w:val="bottom"/>
          </w:tcPr>
          <w:p>
            <w:pPr>
              <w:ind w:left="20"/>
              <w:spacing w:after="0"/>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66,243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82,341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82,341</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16,176</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7,679</w:t>
            </w:r>
          </w:p>
        </w:tc>
        <w:tc>
          <w:tcPr>
            <w:tcW w:w="0" w:type="dxa"/>
            <w:vAlign w:val="bottom"/>
          </w:tcPr>
          <w:p>
            <w:pPr>
              <w:spacing w:after="0"/>
              <w:rPr>
                <w:sz w:val="1"/>
                <w:szCs w:val="1"/>
                <w:color w:val="auto"/>
              </w:rPr>
            </w:pPr>
          </w:p>
        </w:tc>
      </w:tr>
      <w:tr>
        <w:trPr>
          <w:trHeight w:val="183"/>
        </w:trPr>
        <w:tc>
          <w:tcPr>
            <w:tcW w:w="2840" w:type="dxa"/>
            <w:vAlign w:val="bottom"/>
          </w:tcPr>
          <w:p>
            <w:pPr>
              <w:ind w:left="220"/>
              <w:spacing w:after="0"/>
              <w:rPr>
                <w:sz w:val="20"/>
                <w:szCs w:val="20"/>
                <w:color w:val="auto"/>
              </w:rPr>
            </w:pPr>
            <w:r>
              <w:rPr>
                <w:rFonts w:ascii="Arial" w:cs="Arial" w:eastAsia="Arial" w:hAnsi="Arial"/>
                <w:sz w:val="16"/>
                <w:szCs w:val="16"/>
                <w:color w:val="auto"/>
              </w:rPr>
              <w:t>(Gain) loss on sale or disposal of</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20"/>
              <w:spacing w:after="0"/>
              <w:rPr>
                <w:sz w:val="20"/>
                <w:szCs w:val="20"/>
                <w:color w:val="auto"/>
              </w:rPr>
            </w:pPr>
            <w:r>
              <w:rPr>
                <w:rFonts w:ascii="Arial" w:cs="Arial" w:eastAsia="Arial" w:hAnsi="Arial"/>
                <w:sz w:val="16"/>
                <w:szCs w:val="16"/>
                <w:color w:val="auto"/>
              </w:rPr>
              <w:t>assets and other</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5,379</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183"/>
        </w:trPr>
        <w:tc>
          <w:tcPr>
            <w:tcW w:w="2840" w:type="dxa"/>
            <w:vAlign w:val="bottom"/>
          </w:tcPr>
          <w:p>
            <w:pPr>
              <w:ind w:left="220"/>
              <w:spacing w:after="0"/>
              <w:rPr>
                <w:sz w:val="20"/>
                <w:szCs w:val="20"/>
                <w:color w:val="auto"/>
              </w:rPr>
            </w:pPr>
            <w:r>
              <w:rPr>
                <w:rFonts w:ascii="Arial" w:cs="Arial" w:eastAsia="Arial" w:hAnsi="Arial"/>
                <w:sz w:val="16"/>
                <w:szCs w:val="16"/>
                <w:color w:val="auto"/>
              </w:rPr>
              <w:t>Equity in net income of</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1,183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14,345</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Loss before income taxes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14,345</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(24,583)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(10,238)</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66"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Nine Months Ended June 30, 2021</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340" w:type="dxa"/>
            <w:vAlign w:val="bottom"/>
            <w:gridSpan w:val="3"/>
          </w:tcPr>
          <w:p>
            <w:pPr>
              <w:jc w:val="center"/>
              <w:ind w:right="120"/>
              <w:spacing w:after="0" w:line="158" w:lineRule="exact"/>
              <w:rPr>
                <w:sz w:val="20"/>
                <w:szCs w:val="20"/>
                <w:color w:val="auto"/>
              </w:rPr>
            </w:pPr>
            <w:r>
              <w:rPr>
                <w:rFonts w:ascii="Arial" w:cs="Arial" w:eastAsia="Arial" w:hAnsi="Arial"/>
                <w:sz w:val="16"/>
                <w:szCs w:val="16"/>
                <w:b w:val="1"/>
                <w:bCs w:val="1"/>
                <w:color w:val="auto"/>
              </w:rPr>
              <w:t>Latin America</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rPr>
              <w:t>Other</w:t>
            </w:r>
          </w:p>
        </w:tc>
        <w:tc>
          <w:tcPr>
            <w:tcW w:w="13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Total Segments</w:t>
            </w: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Corporate</w:t>
            </w:r>
          </w:p>
        </w:tc>
        <w:tc>
          <w:tcPr>
            <w:tcW w:w="120" w:type="dxa"/>
            <w:vAlign w:val="bottom"/>
          </w:tcPr>
          <w:p>
            <w:pPr>
              <w:spacing w:after="0"/>
              <w:rPr>
                <w:sz w:val="13"/>
                <w:szCs w:val="13"/>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28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International</w:t>
            </w:r>
          </w:p>
        </w:tc>
        <w:tc>
          <w:tcPr>
            <w:tcW w:w="13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880" w:type="dxa"/>
            <w:vAlign w:val="bottom"/>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260,545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70,271</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330,816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330,816</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18,507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18,507</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143,836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43,520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187,356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187,356</w:t>
            </w:r>
          </w:p>
        </w:tc>
        <w:tc>
          <w:tcPr>
            <w:tcW w:w="0" w:type="dxa"/>
            <w:vAlign w:val="bottom"/>
          </w:tcPr>
          <w:p>
            <w:pPr>
              <w:spacing w:after="0"/>
              <w:rPr>
                <w:sz w:val="1"/>
                <w:szCs w:val="1"/>
                <w:color w:val="auto"/>
              </w:rPr>
            </w:pPr>
          </w:p>
        </w:tc>
      </w:tr>
      <w:tr>
        <w:trPr>
          <w:trHeight w:val="219"/>
        </w:trPr>
        <w:tc>
          <w:tcPr>
            <w:tcW w:w="28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07"/>
        </w:trPr>
        <w:tc>
          <w:tcPr>
            <w:tcW w:w="288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413,957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122,812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537,107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537,107</w:t>
            </w: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145,181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45,691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190,872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190,872</w:t>
            </w:r>
          </w:p>
        </w:tc>
        <w:tc>
          <w:tcPr>
            <w:tcW w:w="0" w:type="dxa"/>
            <w:vAlign w:val="bottom"/>
          </w:tcPr>
          <w:p>
            <w:pPr>
              <w:spacing w:after="0"/>
              <w:rPr>
                <w:sz w:val="1"/>
                <w:szCs w:val="1"/>
                <w:color w:val="auto"/>
              </w:rPr>
            </w:pPr>
          </w:p>
        </w:tc>
      </w:tr>
      <w:tr>
        <w:trPr>
          <w:trHeight w:val="219"/>
        </w:trPr>
        <w:tc>
          <w:tcPr>
            <w:tcW w:w="288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7,871</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8,205</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16,076</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16,076</w:t>
            </w:r>
          </w:p>
        </w:tc>
        <w:tc>
          <w:tcPr>
            <w:tcW w:w="0" w:type="dxa"/>
            <w:vAlign w:val="bottom"/>
          </w:tcPr>
          <w:p>
            <w:pPr>
              <w:spacing w:after="0"/>
              <w:rPr>
                <w:sz w:val="1"/>
                <w:szCs w:val="1"/>
                <w:color w:val="auto"/>
              </w:rPr>
            </w:pPr>
          </w:p>
        </w:tc>
      </w:tr>
      <w:tr>
        <w:trPr>
          <w:trHeight w:val="207"/>
        </w:trPr>
        <w:tc>
          <w:tcPr>
            <w:tcW w:w="288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260,905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68,916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330,159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330,159</w:t>
            </w:r>
          </w:p>
        </w:tc>
        <w:tc>
          <w:tcPr>
            <w:tcW w:w="0" w:type="dxa"/>
            <w:vAlign w:val="bottom"/>
          </w:tcPr>
          <w:p>
            <w:pPr>
              <w:spacing w:after="0"/>
              <w:rPr>
                <w:sz w:val="1"/>
                <w:szCs w:val="1"/>
                <w:color w:val="auto"/>
              </w:rPr>
            </w:pPr>
          </w:p>
        </w:tc>
      </w:tr>
      <w:tr>
        <w:trPr>
          <w:trHeight w:val="183"/>
        </w:trPr>
        <w:tc>
          <w:tcPr>
            <w:tcW w:w="2880" w:type="dxa"/>
            <w:vAlign w:val="bottom"/>
          </w:tcPr>
          <w:p>
            <w:pPr>
              <w:ind w:left="20"/>
              <w:spacing w:after="0"/>
              <w:rPr>
                <w:sz w:val="20"/>
                <w:szCs w:val="20"/>
                <w:color w:val="auto"/>
              </w:rPr>
            </w:pPr>
            <w:r>
              <w:rPr>
                <w:rFonts w:ascii="Arial" w:cs="Arial" w:eastAsia="Arial" w:hAnsi="Arial"/>
                <w:sz w:val="16"/>
                <w:szCs w:val="16"/>
                <w:color w:val="auto"/>
              </w:rPr>
              <w:t>Segment and corporate expenses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80" w:type="dxa"/>
            <w:vAlign w:val="bottom"/>
          </w:tcPr>
          <w:p>
            <w:pPr>
              <w:ind w:left="2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188,256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54,005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242,261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242,261</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40,870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40,870</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9,649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23,080</w:t>
            </w:r>
          </w:p>
        </w:tc>
        <w:tc>
          <w:tcPr>
            <w:tcW w:w="0" w:type="dxa"/>
            <w:vAlign w:val="bottom"/>
          </w:tcPr>
          <w:p>
            <w:pPr>
              <w:spacing w:after="0"/>
              <w:rPr>
                <w:sz w:val="1"/>
                <w:szCs w:val="1"/>
                <w:color w:val="auto"/>
              </w:rPr>
            </w:pPr>
          </w:p>
        </w:tc>
      </w:tr>
      <w:tr>
        <w:trPr>
          <w:trHeight w:val="183"/>
        </w:trPr>
        <w:tc>
          <w:tcPr>
            <w:tcW w:w="2880" w:type="dxa"/>
            <w:vAlign w:val="bottom"/>
          </w:tcPr>
          <w:p>
            <w:pPr>
              <w:ind w:left="220"/>
              <w:spacing w:after="0"/>
              <w:rPr>
                <w:sz w:val="20"/>
                <w:szCs w:val="20"/>
                <w:color w:val="auto"/>
              </w:rPr>
            </w:pPr>
            <w:r>
              <w:rPr>
                <w:rFonts w:ascii="Arial" w:cs="Arial" w:eastAsia="Arial" w:hAnsi="Arial"/>
                <w:sz w:val="16"/>
                <w:szCs w:val="16"/>
                <w:color w:val="auto"/>
              </w:rPr>
              <w:t>Loss on sale or disposal of assets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80" w:type="dxa"/>
            <w:vAlign w:val="bottom"/>
          </w:tcPr>
          <w:p>
            <w:pPr>
              <w:ind w:left="220"/>
              <w:spacing w:after="0"/>
              <w:rPr>
                <w:sz w:val="20"/>
                <w:szCs w:val="20"/>
                <w:color w:val="auto"/>
              </w:rPr>
            </w:pPr>
            <w:r>
              <w:rPr>
                <w:rFonts w:ascii="Arial" w:cs="Arial" w:eastAsia="Arial" w:hAnsi="Arial"/>
                <w:sz w:val="16"/>
                <w:szCs w:val="16"/>
                <w:color w:val="auto"/>
              </w:rPr>
              <w:t>and other</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Other charges</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16,542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16,542</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(1,918)</w:t>
            </w:r>
          </w:p>
        </w:tc>
        <w:tc>
          <w:tcPr>
            <w:tcW w:w="0" w:type="dxa"/>
            <w:vAlign w:val="bottom"/>
          </w:tcPr>
          <w:p>
            <w:pPr>
              <w:spacing w:after="0"/>
              <w:rPr>
                <w:sz w:val="1"/>
                <w:szCs w:val="1"/>
                <w:color w:val="auto"/>
              </w:rPr>
            </w:pPr>
          </w:p>
        </w:tc>
      </w:tr>
      <w:tr>
        <w:trPr>
          <w:trHeight w:val="183"/>
        </w:trPr>
        <w:tc>
          <w:tcPr>
            <w:tcW w:w="2880" w:type="dxa"/>
            <w:vAlign w:val="bottom"/>
          </w:tcPr>
          <w:p>
            <w:pPr>
              <w:ind w:left="220"/>
              <w:spacing w:after="0"/>
              <w:rPr>
                <w:sz w:val="20"/>
                <w:szCs w:val="20"/>
                <w:color w:val="auto"/>
              </w:rPr>
            </w:pPr>
            <w:r>
              <w:rPr>
                <w:rFonts w:ascii="Arial" w:cs="Arial" w:eastAsia="Arial" w:hAnsi="Arial"/>
                <w:sz w:val="16"/>
                <w:szCs w:val="16"/>
                <w:color w:val="auto"/>
              </w:rPr>
              <w:t>Equity in net income of</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8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6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(2,409)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(2,409)</w:t>
            </w:r>
          </w:p>
        </w:tc>
        <w:tc>
          <w:tcPr>
            <w:tcW w:w="0" w:type="dxa"/>
            <w:vAlign w:val="bottom"/>
          </w:tcPr>
          <w:p>
            <w:pPr>
              <w:spacing w:after="0"/>
              <w:rPr>
                <w:sz w:val="1"/>
                <w:szCs w:val="1"/>
                <w:color w:val="auto"/>
              </w:rPr>
            </w:pPr>
          </w:p>
        </w:tc>
      </w:tr>
      <w:tr>
        <w:trPr>
          <w:trHeight w:val="219"/>
        </w:trPr>
        <w:tc>
          <w:tcPr>
            <w:tcW w:w="28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09"/>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64,650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11,149</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2,930</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78,729</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78,729</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(67,194)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11,535</w:t>
            </w:r>
          </w:p>
        </w:tc>
        <w:tc>
          <w:tcPr>
            <w:tcW w:w="0" w:type="dxa"/>
            <w:vAlign w:val="bottom"/>
          </w:tcPr>
          <w:p>
            <w:pPr>
              <w:spacing w:after="0"/>
              <w:rPr>
                <w:sz w:val="1"/>
                <w:szCs w:val="1"/>
                <w:color w:val="auto"/>
              </w:rPr>
            </w:pPr>
          </w:p>
        </w:tc>
      </w:tr>
    </w:tbl>
    <w:p>
      <w:pPr>
        <w:sectPr>
          <w:pgSz w:w="11900" w:h="16838" w:orient="portrait"/>
          <w:cols w:equalWidth="0" w:num="1">
            <w:col w:w="10920"/>
          </w:cols>
          <w:pgMar w:left="320" w:top="1228" w:right="65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Nine Months Ended June 30, 2020</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34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Other</w:t>
            </w:r>
          </w:p>
        </w:tc>
        <w:tc>
          <w:tcPr>
            <w:tcW w:w="13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Total Segments</w:t>
            </w:r>
          </w:p>
        </w:tc>
        <w:tc>
          <w:tcPr>
            <w:tcW w:w="180" w:type="dxa"/>
            <w:vAlign w:val="bottom"/>
          </w:tcPr>
          <w:p>
            <w:pPr>
              <w:spacing w:after="0"/>
              <w:rPr>
                <w:sz w:val="13"/>
                <w:szCs w:val="13"/>
                <w:color w:val="auto"/>
              </w:rPr>
            </w:pPr>
          </w:p>
        </w:tc>
        <w:tc>
          <w:tcPr>
            <w:tcW w:w="120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9"/>
              </w:rPr>
              <w:t>Corporate</w:t>
            </w:r>
          </w:p>
        </w:tc>
        <w:tc>
          <w:tcPr>
            <w:tcW w:w="120" w:type="dxa"/>
            <w:vAlign w:val="bottom"/>
          </w:tcPr>
          <w:p>
            <w:pPr>
              <w:spacing w:after="0"/>
              <w:rPr>
                <w:sz w:val="13"/>
                <w:szCs w:val="13"/>
                <w:color w:val="auto"/>
              </w:rPr>
            </w:pP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International</w:t>
            </w:r>
          </w:p>
        </w:tc>
        <w:tc>
          <w:tcPr>
            <w:tcW w:w="13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Items</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8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314,059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79,036</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393,095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393,095</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32,905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41,709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41,709</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166,859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50,548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217,407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217,407</w:t>
            </w:r>
          </w:p>
        </w:tc>
        <w:tc>
          <w:tcPr>
            <w:tcW w:w="0" w:type="dxa"/>
            <w:vAlign w:val="bottom"/>
          </w:tcPr>
          <w:p>
            <w:pPr>
              <w:spacing w:after="0"/>
              <w:rPr>
                <w:sz w:val="1"/>
                <w:szCs w:val="1"/>
                <w:color w:val="auto"/>
              </w:rPr>
            </w:pPr>
          </w:p>
        </w:tc>
      </w:tr>
      <w:tr>
        <w:trPr>
          <w:trHeight w:val="219"/>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3,570</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3,727</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3,727</w:t>
            </w:r>
          </w:p>
        </w:tc>
        <w:tc>
          <w:tcPr>
            <w:tcW w:w="0" w:type="dxa"/>
            <w:vAlign w:val="bottom"/>
          </w:tcPr>
          <w:p>
            <w:pPr>
              <w:spacing w:after="0"/>
              <w:rPr>
                <w:sz w:val="1"/>
                <w:szCs w:val="1"/>
                <w:color w:val="auto"/>
              </w:rPr>
            </w:pPr>
          </w:p>
        </w:tc>
      </w:tr>
      <w:tr>
        <w:trPr>
          <w:trHeight w:val="207"/>
        </w:trPr>
        <w:tc>
          <w:tcPr>
            <w:tcW w:w="28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513,930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138,438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655,938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655,938</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202,488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59,223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261,711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261,711</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25,430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33,529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33,529</w:t>
            </w:r>
          </w:p>
        </w:tc>
        <w:tc>
          <w:tcPr>
            <w:tcW w:w="0" w:type="dxa"/>
            <w:vAlign w:val="bottom"/>
          </w:tcPr>
          <w:p>
            <w:pPr>
              <w:spacing w:after="0"/>
              <w:rPr>
                <w:sz w:val="1"/>
                <w:szCs w:val="1"/>
                <w:color w:val="auto"/>
              </w:rPr>
            </w:pPr>
          </w:p>
        </w:tc>
      </w:tr>
      <w:tr>
        <w:trPr>
          <w:trHeight w:val="219"/>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cost of revenues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w:t>
            </w:r>
          </w:p>
        </w:tc>
        <w:tc>
          <w:tcPr>
            <w:tcW w:w="0" w:type="dxa"/>
            <w:vAlign w:val="bottom"/>
          </w:tcPr>
          <w:p>
            <w:pPr>
              <w:spacing w:after="0"/>
              <w:rPr>
                <w:sz w:val="1"/>
                <w:szCs w:val="1"/>
                <w:color w:val="auto"/>
              </w:rPr>
            </w:pPr>
          </w:p>
        </w:tc>
      </w:tr>
      <w:tr>
        <w:trPr>
          <w:trHeight w:val="207"/>
        </w:trPr>
        <w:tc>
          <w:tcPr>
            <w:tcW w:w="282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286,012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71,047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2,546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359,605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359,605</w:t>
            </w:r>
          </w:p>
        </w:tc>
        <w:tc>
          <w:tcPr>
            <w:tcW w:w="0" w:type="dxa"/>
            <w:vAlign w:val="bottom"/>
          </w:tcPr>
          <w:p>
            <w:pPr>
              <w:spacing w:after="0"/>
              <w:rPr>
                <w:sz w:val="1"/>
                <w:szCs w:val="1"/>
                <w:color w:val="auto"/>
              </w:rPr>
            </w:pPr>
          </w:p>
        </w:tc>
      </w:tr>
      <w:tr>
        <w:trPr>
          <w:trHeight w:val="183"/>
        </w:trPr>
        <w:tc>
          <w:tcPr>
            <w:tcW w:w="2820" w:type="dxa"/>
            <w:vAlign w:val="bottom"/>
          </w:tcPr>
          <w:p>
            <w:pPr>
              <w:ind w:left="20"/>
              <w:spacing w:after="0"/>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201,921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53,493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259,264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259,264</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50,355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50,355</w:t>
            </w:r>
          </w:p>
        </w:tc>
        <w:tc>
          <w:tcPr>
            <w:tcW w:w="0" w:type="dxa"/>
            <w:vAlign w:val="bottom"/>
          </w:tcPr>
          <w:p>
            <w:pPr>
              <w:spacing w:after="0"/>
              <w:rPr>
                <w:sz w:val="1"/>
                <w:szCs w:val="1"/>
                <w:color w:val="auto"/>
              </w:rPr>
            </w:pPr>
          </w:p>
        </w:tc>
      </w:tr>
      <w:tr>
        <w:trPr>
          <w:trHeight w:val="183"/>
        </w:trPr>
        <w:tc>
          <w:tcPr>
            <w:tcW w:w="2820" w:type="dxa"/>
            <w:vAlign w:val="bottom"/>
          </w:tcPr>
          <w:p>
            <w:pPr>
              <w:ind w:left="220"/>
              <w:spacing w:after="0"/>
              <w:rPr>
                <w:sz w:val="20"/>
                <w:szCs w:val="20"/>
                <w:color w:val="auto"/>
              </w:rPr>
            </w:pPr>
            <w:r>
              <w:rPr>
                <w:rFonts w:ascii="Arial" w:cs="Arial" w:eastAsia="Arial" w:hAnsi="Arial"/>
                <w:sz w:val="16"/>
                <w:szCs w:val="16"/>
                <w:color w:val="auto"/>
              </w:rPr>
              <w:t>Impairment of goodwill, intangible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Arial" w:cs="Arial" w:eastAsia="Arial" w:hAnsi="Arial"/>
                <w:sz w:val="16"/>
                <w:szCs w:val="16"/>
                <w:color w:val="auto"/>
              </w:rPr>
              <w:t>and other assets</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35,936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47,060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47,060</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23,174</w:t>
            </w:r>
          </w:p>
        </w:tc>
        <w:tc>
          <w:tcPr>
            <w:tcW w:w="0" w:type="dxa"/>
            <w:vAlign w:val="bottom"/>
          </w:tcPr>
          <w:p>
            <w:pPr>
              <w:spacing w:after="0"/>
              <w:rPr>
                <w:sz w:val="1"/>
                <w:szCs w:val="1"/>
                <w:color w:val="auto"/>
              </w:rPr>
            </w:pPr>
          </w:p>
        </w:tc>
      </w:tr>
      <w:tr>
        <w:trPr>
          <w:trHeight w:val="183"/>
        </w:trPr>
        <w:tc>
          <w:tcPr>
            <w:tcW w:w="2820" w:type="dxa"/>
            <w:vAlign w:val="bottom"/>
          </w:tcPr>
          <w:p>
            <w:pPr>
              <w:ind w:left="220"/>
              <w:spacing w:after="0"/>
              <w:rPr>
                <w:sz w:val="20"/>
                <w:szCs w:val="20"/>
                <w:color w:val="auto"/>
              </w:rPr>
            </w:pPr>
            <w:r>
              <w:rPr>
                <w:rFonts w:ascii="Arial" w:cs="Arial" w:eastAsia="Arial" w:hAnsi="Arial"/>
                <w:sz w:val="16"/>
                <w:szCs w:val="16"/>
                <w:color w:val="auto"/>
              </w:rPr>
              <w:t>(Gain) loss on sale or disposal of</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Arial" w:cs="Arial" w:eastAsia="Arial" w:hAnsi="Arial"/>
                <w:sz w:val="16"/>
                <w:szCs w:val="16"/>
                <w:color w:val="auto"/>
              </w:rPr>
              <w:t>assets and other</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1,260</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16,589</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(2,412)</w:t>
            </w:r>
          </w:p>
        </w:tc>
        <w:tc>
          <w:tcPr>
            <w:tcW w:w="0" w:type="dxa"/>
            <w:vAlign w:val="bottom"/>
          </w:tcPr>
          <w:p>
            <w:pPr>
              <w:spacing w:after="0"/>
              <w:rPr>
                <w:sz w:val="1"/>
                <w:szCs w:val="1"/>
                <w:color w:val="auto"/>
              </w:rPr>
            </w:pPr>
          </w:p>
        </w:tc>
      </w:tr>
      <w:tr>
        <w:trPr>
          <w:trHeight w:val="183"/>
        </w:trPr>
        <w:tc>
          <w:tcPr>
            <w:tcW w:w="2820" w:type="dxa"/>
            <w:vAlign w:val="bottom"/>
          </w:tcPr>
          <w:p>
            <w:pPr>
              <w:ind w:left="220"/>
              <w:spacing w:after="0"/>
              <w:rPr>
                <w:sz w:val="20"/>
                <w:szCs w:val="20"/>
                <w:color w:val="auto"/>
              </w:rPr>
            </w:pPr>
            <w:r>
              <w:rPr>
                <w:rFonts w:ascii="Arial" w:cs="Arial" w:eastAsia="Arial" w:hAnsi="Arial"/>
                <w:sz w:val="16"/>
                <w:szCs w:val="16"/>
                <w:color w:val="auto"/>
              </w:rPr>
              <w:t>Equity in net loss of unconsolidated</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8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5,896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5,896</w:t>
            </w:r>
          </w:p>
        </w:tc>
        <w:tc>
          <w:tcPr>
            <w:tcW w:w="0" w:type="dxa"/>
            <w:vAlign w:val="bottom"/>
          </w:tcPr>
          <w:p>
            <w:pPr>
              <w:spacing w:after="0"/>
              <w:rPr>
                <w:sz w:val="1"/>
                <w:szCs w:val="1"/>
                <w:color w:val="auto"/>
              </w:rPr>
            </w:pPr>
          </w:p>
        </w:tc>
      </w:tr>
      <w:tr>
        <w:trPr>
          <w:trHeight w:val="219"/>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Segment contribution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65,532</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(22,752)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(8,842)</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33,938</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33,938</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(75,304)</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(41,366)</w:t>
            </w:r>
          </w:p>
        </w:tc>
        <w:tc>
          <w:tcPr>
            <w:tcW w:w="0" w:type="dxa"/>
            <w:vAlign w:val="bottom"/>
          </w:tcPr>
          <w:p>
            <w:pPr>
              <w:spacing w:after="0"/>
              <w:rPr>
                <w:sz w:val="1"/>
                <w:szCs w:val="1"/>
                <w:color w:val="auto"/>
              </w:rPr>
            </w:pPr>
          </w:p>
        </w:tc>
      </w:tr>
    </w:tbl>
    <w:p>
      <w:pPr>
        <w:sectPr>
          <w:pgSz w:w="11900" w:h="16838" w:orient="portrait"/>
          <w:cols w:equalWidth="0" w:num="1">
            <w:col w:w="10920"/>
          </w:cols>
          <w:pgMar w:left="320" w:top="1026" w:right="65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6"/>
          <w:szCs w:val="16"/>
          <w:b w:val="1"/>
          <w:bCs w:val="1"/>
          <w:color w:val="auto"/>
        </w:rPr>
        <w:t>EZCORP,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STORE COUNT ACTIVITY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40" w:type="dxa"/>
            <w:vAlign w:val="bottom"/>
          </w:tcPr>
          <w:p>
            <w:pPr>
              <w:spacing w:after="0"/>
              <w:rPr>
                <w:sz w:val="18"/>
                <w:szCs w:val="18"/>
                <w:color w:val="auto"/>
              </w:rPr>
            </w:pPr>
          </w:p>
        </w:tc>
        <w:tc>
          <w:tcPr>
            <w:tcW w:w="41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June 30, 2021</w:t>
            </w:r>
          </w:p>
        </w:tc>
        <w:tc>
          <w:tcPr>
            <w:tcW w:w="0" w:type="dxa"/>
            <w:vAlign w:val="bottom"/>
          </w:tcPr>
          <w:p>
            <w:pPr>
              <w:spacing w:after="0"/>
              <w:rPr>
                <w:sz w:val="1"/>
                <w:szCs w:val="1"/>
                <w:color w:val="auto"/>
              </w:rPr>
            </w:pPr>
          </w:p>
        </w:tc>
      </w:tr>
      <w:tr>
        <w:trPr>
          <w:trHeight w:val="158"/>
        </w:trPr>
        <w:tc>
          <w:tcPr>
            <w:tcW w:w="7040" w:type="dxa"/>
            <w:vAlign w:val="bottom"/>
          </w:tcPr>
          <w:p>
            <w:pPr>
              <w:spacing w:after="0"/>
              <w:rPr>
                <w:sz w:val="13"/>
                <w:szCs w:val="13"/>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U.S. Pawn</w:t>
            </w:r>
          </w:p>
        </w:tc>
        <w:tc>
          <w:tcPr>
            <w:tcW w:w="14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70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Pawn</w:t>
            </w: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040" w:type="dxa"/>
            <w:vAlign w:val="bottom"/>
          </w:tcPr>
          <w:p>
            <w:pPr>
              <w:spacing w:after="0"/>
              <w:rPr>
                <w:sz w:val="20"/>
                <w:szCs w:val="20"/>
                <w:color w:val="auto"/>
              </w:rPr>
            </w:pPr>
            <w:r>
              <w:rPr>
                <w:rFonts w:ascii="Arial" w:cs="Arial" w:eastAsia="Arial" w:hAnsi="Arial"/>
                <w:sz w:val="16"/>
                <w:szCs w:val="16"/>
                <w:color w:val="auto"/>
              </w:rPr>
              <w:t>As of March 31, 2021</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16"/>
        </w:trPr>
        <w:tc>
          <w:tcPr>
            <w:tcW w:w="7040" w:type="dxa"/>
            <w:vAlign w:val="bottom"/>
          </w:tcPr>
          <w:p>
            <w:pPr>
              <w:ind w:left="200"/>
              <w:spacing w:after="0"/>
              <w:rPr>
                <w:sz w:val="20"/>
                <w:szCs w:val="20"/>
                <w:color w:val="auto"/>
              </w:rPr>
            </w:pPr>
            <w:r>
              <w:rPr>
                <w:rFonts w:ascii="Arial" w:cs="Arial" w:eastAsia="Arial" w:hAnsi="Arial"/>
                <w:sz w:val="16"/>
                <w:szCs w:val="16"/>
                <w:color w:val="auto"/>
              </w:rPr>
              <w:t>New locations opened</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7040" w:type="dxa"/>
            <w:vAlign w:val="bottom"/>
          </w:tcPr>
          <w:p>
            <w:pPr>
              <w:ind w:left="200"/>
              <w:spacing w:after="0"/>
              <w:rPr>
                <w:sz w:val="20"/>
                <w:szCs w:val="20"/>
                <w:color w:val="auto"/>
              </w:rPr>
            </w:pPr>
            <w:r>
              <w:rPr>
                <w:rFonts w:ascii="Arial" w:cs="Arial" w:eastAsia="Arial" w:hAnsi="Arial"/>
                <w:sz w:val="16"/>
                <w:szCs w:val="16"/>
                <w:color w:val="auto"/>
              </w:rPr>
              <w:t>Locations acquired</w:t>
            </w:r>
          </w:p>
        </w:tc>
        <w:tc>
          <w:tcPr>
            <w:tcW w:w="13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6"/>
        </w:trPr>
        <w:tc>
          <w:tcPr>
            <w:tcW w:w="7040" w:type="dxa"/>
            <w:vAlign w:val="bottom"/>
          </w:tcPr>
          <w:p>
            <w:pPr>
              <w:ind w:left="200"/>
              <w:spacing w:after="0"/>
              <w:rPr>
                <w:sz w:val="20"/>
                <w:szCs w:val="20"/>
                <w:color w:val="auto"/>
              </w:rPr>
            </w:pPr>
            <w:r>
              <w:rPr>
                <w:rFonts w:ascii="Arial" w:cs="Arial" w:eastAsia="Arial" w:hAnsi="Arial"/>
                <w:sz w:val="16"/>
                <w:szCs w:val="16"/>
                <w:color w:val="auto"/>
              </w:rPr>
              <w:t>Locations sold, combined or closed</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7040" w:type="dxa"/>
            <w:vAlign w:val="bottom"/>
          </w:tcPr>
          <w:p>
            <w:pPr>
              <w:spacing w:after="0"/>
              <w:rPr>
                <w:sz w:val="20"/>
                <w:szCs w:val="20"/>
                <w:color w:val="auto"/>
              </w:rPr>
            </w:pPr>
            <w:r>
              <w:rPr>
                <w:rFonts w:ascii="Arial" w:cs="Arial" w:eastAsia="Arial" w:hAnsi="Arial"/>
                <w:sz w:val="16"/>
                <w:szCs w:val="16"/>
                <w:color w:val="auto"/>
              </w:rPr>
              <w:t>As of June 30, 2021</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r>
        <w:trPr>
          <w:trHeight w:val="24"/>
        </w:trPr>
        <w:tc>
          <w:tcPr>
            <w:tcW w:w="70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Three Months Ended June 30, 2020</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U.S. Pawn</w:t>
            </w:r>
          </w:p>
        </w:tc>
        <w:tc>
          <w:tcPr>
            <w:tcW w:w="142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8"/>
              </w:rPr>
              <w:t>Other</w:t>
            </w:r>
          </w:p>
        </w:tc>
        <w:tc>
          <w:tcPr>
            <w:tcW w:w="1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56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Pawn</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International</w:t>
            </w: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620" w:type="dxa"/>
            <w:vAlign w:val="bottom"/>
          </w:tcPr>
          <w:p>
            <w:pPr>
              <w:spacing w:after="0"/>
              <w:rPr>
                <w:sz w:val="20"/>
                <w:szCs w:val="20"/>
                <w:color w:val="auto"/>
              </w:rPr>
            </w:pPr>
            <w:r>
              <w:rPr>
                <w:rFonts w:ascii="Arial" w:cs="Arial" w:eastAsia="Arial" w:hAnsi="Arial"/>
                <w:sz w:val="16"/>
                <w:szCs w:val="16"/>
                <w:color w:val="auto"/>
              </w:rPr>
              <w:t>As of March 31, 2020</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1,027</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Arial" w:cs="Arial" w:eastAsia="Arial" w:hAnsi="Arial"/>
                <w:sz w:val="16"/>
                <w:szCs w:val="16"/>
                <w:color w:val="auto"/>
              </w:rPr>
              <w:t>New locations opened</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Arial" w:cs="Arial" w:eastAsia="Arial" w:hAnsi="Arial"/>
                <w:sz w:val="16"/>
                <w:szCs w:val="16"/>
                <w:color w:val="auto"/>
              </w:rPr>
              <w:t>Locations sold, combined or closed</w:t>
            </w: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As of June 30, 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1,029</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40" w:type="dxa"/>
            <w:vAlign w:val="bottom"/>
          </w:tcPr>
          <w:p>
            <w:pPr>
              <w:spacing w:after="0"/>
              <w:rPr>
                <w:sz w:val="18"/>
                <w:szCs w:val="18"/>
                <w:color w:val="auto"/>
              </w:rPr>
            </w:pPr>
          </w:p>
        </w:tc>
        <w:tc>
          <w:tcPr>
            <w:tcW w:w="41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Nine Months Ended June 30, 2021</w:t>
            </w:r>
          </w:p>
        </w:tc>
        <w:tc>
          <w:tcPr>
            <w:tcW w:w="0" w:type="dxa"/>
            <w:vAlign w:val="bottom"/>
          </w:tcPr>
          <w:p>
            <w:pPr>
              <w:spacing w:after="0"/>
              <w:rPr>
                <w:sz w:val="1"/>
                <w:szCs w:val="1"/>
                <w:color w:val="auto"/>
              </w:rPr>
            </w:pPr>
          </w:p>
        </w:tc>
      </w:tr>
      <w:tr>
        <w:trPr>
          <w:trHeight w:val="158"/>
        </w:trPr>
        <w:tc>
          <w:tcPr>
            <w:tcW w:w="7040" w:type="dxa"/>
            <w:vAlign w:val="bottom"/>
          </w:tcPr>
          <w:p>
            <w:pPr>
              <w:spacing w:after="0"/>
              <w:rPr>
                <w:sz w:val="13"/>
                <w:szCs w:val="13"/>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U.S. Pawn</w:t>
            </w:r>
          </w:p>
        </w:tc>
        <w:tc>
          <w:tcPr>
            <w:tcW w:w="14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70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Pawn</w:t>
            </w: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040" w:type="dxa"/>
            <w:vAlign w:val="bottom"/>
          </w:tcPr>
          <w:p>
            <w:pPr>
              <w:spacing w:after="0"/>
              <w:rPr>
                <w:sz w:val="20"/>
                <w:szCs w:val="20"/>
                <w:color w:val="auto"/>
              </w:rPr>
            </w:pPr>
            <w:r>
              <w:rPr>
                <w:rFonts w:ascii="Arial" w:cs="Arial" w:eastAsia="Arial" w:hAnsi="Arial"/>
                <w:sz w:val="16"/>
                <w:szCs w:val="16"/>
                <w:color w:val="auto"/>
              </w:rPr>
              <w:t>As of September 30, 2020</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6"/>
        </w:trPr>
        <w:tc>
          <w:tcPr>
            <w:tcW w:w="7040" w:type="dxa"/>
            <w:vAlign w:val="bottom"/>
          </w:tcPr>
          <w:p>
            <w:pPr>
              <w:ind w:left="200"/>
              <w:spacing w:after="0"/>
              <w:rPr>
                <w:sz w:val="20"/>
                <w:szCs w:val="20"/>
                <w:color w:val="auto"/>
              </w:rPr>
            </w:pPr>
            <w:r>
              <w:rPr>
                <w:rFonts w:ascii="Arial" w:cs="Arial" w:eastAsia="Arial" w:hAnsi="Arial"/>
                <w:sz w:val="16"/>
                <w:szCs w:val="16"/>
                <w:color w:val="auto"/>
              </w:rPr>
              <w:t>New locations opened</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7040" w:type="dxa"/>
            <w:vAlign w:val="bottom"/>
          </w:tcPr>
          <w:p>
            <w:pPr>
              <w:ind w:left="200"/>
              <w:spacing w:after="0"/>
              <w:rPr>
                <w:sz w:val="20"/>
                <w:szCs w:val="20"/>
                <w:color w:val="auto"/>
              </w:rPr>
            </w:pPr>
            <w:r>
              <w:rPr>
                <w:rFonts w:ascii="Arial" w:cs="Arial" w:eastAsia="Arial" w:hAnsi="Arial"/>
                <w:sz w:val="16"/>
                <w:szCs w:val="16"/>
                <w:color w:val="auto"/>
              </w:rPr>
              <w:t>Locations acquired</w:t>
            </w:r>
          </w:p>
        </w:tc>
        <w:tc>
          <w:tcPr>
            <w:tcW w:w="13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6"/>
        </w:trPr>
        <w:tc>
          <w:tcPr>
            <w:tcW w:w="7040" w:type="dxa"/>
            <w:vAlign w:val="bottom"/>
          </w:tcPr>
          <w:p>
            <w:pPr>
              <w:ind w:left="200"/>
              <w:spacing w:after="0"/>
              <w:rPr>
                <w:sz w:val="20"/>
                <w:szCs w:val="20"/>
                <w:color w:val="auto"/>
              </w:rPr>
            </w:pPr>
            <w:r>
              <w:rPr>
                <w:rFonts w:ascii="Arial" w:cs="Arial" w:eastAsia="Arial" w:hAnsi="Arial"/>
                <w:sz w:val="16"/>
                <w:szCs w:val="16"/>
                <w:color w:val="auto"/>
              </w:rPr>
              <w:t>Locations sold, combined or closed</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As of June 30, 2021</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r>
        <w:trPr>
          <w:trHeight w:val="23"/>
        </w:trPr>
        <w:tc>
          <w:tcPr>
            <w:tcW w:w="70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Nine Months Ended June 30, 2020</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U.S. Pawn</w:t>
            </w:r>
          </w:p>
        </w:tc>
        <w:tc>
          <w:tcPr>
            <w:tcW w:w="142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8"/>
              </w:rPr>
              <w:t>Other</w:t>
            </w:r>
          </w:p>
        </w:tc>
        <w:tc>
          <w:tcPr>
            <w:tcW w:w="13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56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Pawn</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International</w:t>
            </w: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620" w:type="dxa"/>
            <w:vAlign w:val="bottom"/>
          </w:tcPr>
          <w:p>
            <w:pPr>
              <w:spacing w:after="0"/>
              <w:rPr>
                <w:sz w:val="20"/>
                <w:szCs w:val="20"/>
                <w:color w:val="auto"/>
              </w:rPr>
            </w:pPr>
            <w:r>
              <w:rPr>
                <w:rFonts w:ascii="Arial" w:cs="Arial" w:eastAsia="Arial" w:hAnsi="Arial"/>
                <w:sz w:val="16"/>
                <w:szCs w:val="16"/>
                <w:color w:val="auto"/>
              </w:rPr>
              <w:t>As of September 30, 2019</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Arial" w:cs="Arial" w:eastAsia="Arial" w:hAnsi="Arial"/>
                <w:sz w:val="16"/>
                <w:szCs w:val="16"/>
                <w:color w:val="auto"/>
              </w:rPr>
              <w:t>New locations opened</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Arial" w:cs="Arial" w:eastAsia="Arial" w:hAnsi="Arial"/>
                <w:sz w:val="16"/>
                <w:szCs w:val="16"/>
                <w:color w:val="auto"/>
              </w:rPr>
              <w:t>Locations sold, combined or closed</w:t>
            </w: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As of June 30, 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1,029</w:t>
            </w:r>
          </w:p>
        </w:tc>
        <w:tc>
          <w:tcPr>
            <w:tcW w:w="0" w:type="dxa"/>
            <w:vAlign w:val="bottom"/>
          </w:tcPr>
          <w:p>
            <w:pPr>
              <w:spacing w:after="0"/>
              <w:rPr>
                <w:sz w:val="1"/>
                <w:szCs w:val="1"/>
                <w:color w:val="auto"/>
              </w:rPr>
            </w:pPr>
          </w:p>
        </w:tc>
      </w:tr>
      <w:tr>
        <w:trPr>
          <w:trHeight w:val="24"/>
        </w:trPr>
        <w:tc>
          <w:tcPr>
            <w:tcW w:w="56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93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nine months ended June 30, 2021 and 2020 were as follows: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520" w:type="dxa"/>
            <w:vAlign w:val="bottom"/>
            <w:gridSpan w:val="3"/>
            <w:vMerge w:val="restart"/>
          </w:tcPr>
          <w:p>
            <w:pPr>
              <w:ind w:left="820"/>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230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4120" w:type="dxa"/>
            <w:vAlign w:val="bottom"/>
          </w:tcPr>
          <w:p>
            <w:pPr>
              <w:spacing w:after="0"/>
              <w:rPr>
                <w:sz w:val="18"/>
                <w:szCs w:val="18"/>
                <w:color w:val="auto"/>
              </w:rPr>
            </w:pPr>
          </w:p>
        </w:tc>
        <w:tc>
          <w:tcPr>
            <w:tcW w:w="152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gridSpan w:val="3"/>
          </w:tcPr>
          <w:p>
            <w:pPr>
              <w:jc w:val="center"/>
              <w:ind w:left="699"/>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2021</w:t>
            </w: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45"/>
        </w:trPr>
        <w:tc>
          <w:tcPr>
            <w:tcW w:w="4120" w:type="dxa"/>
            <w:vAlign w:val="bottom"/>
          </w:tcPr>
          <w:p>
            <w:pPr>
              <w:spacing w:after="0"/>
              <w:rPr>
                <w:sz w:val="20"/>
                <w:szCs w:val="20"/>
                <w:color w:val="auto"/>
              </w:rPr>
            </w:pPr>
            <w:r>
              <w:rPr>
                <w:rFonts w:ascii="Arial" w:cs="Arial" w:eastAsia="Arial" w:hAnsi="Arial"/>
                <w:sz w:val="16"/>
                <w:szCs w:val="16"/>
                <w:color w:val="auto"/>
              </w:rPr>
              <w:t>Mexican peso</w:t>
            </w:r>
          </w:p>
        </w:tc>
        <w:tc>
          <w:tcPr>
            <w:tcW w:w="110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1"/>
                <w:szCs w:val="21"/>
                <w:color w:val="auto"/>
              </w:rPr>
            </w:pP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20.0</w:t>
            </w:r>
          </w:p>
        </w:tc>
        <w:tc>
          <w:tcPr>
            <w:tcW w:w="78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Guatemalan quetzal</w:t>
            </w: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7.6</w:t>
            </w:r>
          </w:p>
        </w:tc>
        <w:tc>
          <w:tcPr>
            <w:tcW w:w="7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Honduran lempira</w:t>
            </w:r>
          </w:p>
        </w:tc>
        <w:tc>
          <w:tcPr>
            <w:tcW w:w="110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23.7</w:t>
            </w:r>
          </w:p>
        </w:tc>
        <w:tc>
          <w:tcPr>
            <w:tcW w:w="78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Peruvian sol</w:t>
            </w: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3.8</w:t>
            </w:r>
          </w:p>
        </w:tc>
        <w:tc>
          <w:tcPr>
            <w:tcW w:w="7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Our statement of operations constant currency results reflect the monthly exchange rate fluctuations and so are not directly calculable from the above rates. Constant currency results, where presented, also exclude the foreign currency gain or loss.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8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 Q3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2020 Q3</w:t>
            </w:r>
          </w:p>
        </w:tc>
      </w:tr>
      <w:tr>
        <w:trPr>
          <w:trHeight w:val="247"/>
        </w:trPr>
        <w:tc>
          <w:tcPr>
            <w:tcW w:w="8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3"/>
          </w:tcPr>
          <w:p>
            <w:pPr>
              <w:ind w:left="740"/>
              <w:spacing w:after="0"/>
              <w:rPr>
                <w:sz w:val="20"/>
                <w:szCs w:val="20"/>
                <w:color w:val="auto"/>
              </w:rPr>
            </w:pPr>
            <w:r>
              <w:rPr>
                <w:rFonts w:ascii="Arial" w:cs="Arial" w:eastAsia="Arial" w:hAnsi="Arial"/>
                <w:sz w:val="16"/>
                <w:szCs w:val="16"/>
                <w:i w:val="1"/>
                <w:iCs w:val="1"/>
                <w:color w:val="auto"/>
                <w:w w:val="98"/>
              </w:rPr>
              <w:t>(in millions)</w:t>
            </w:r>
          </w:p>
        </w:tc>
        <w:tc>
          <w:tcPr>
            <w:tcW w:w="980" w:type="dxa"/>
            <w:vAlign w:val="bottom"/>
          </w:tcPr>
          <w:p>
            <w:pPr>
              <w:spacing w:after="0"/>
              <w:rPr>
                <w:sz w:val="21"/>
                <w:szCs w:val="2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ind w:left="74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center"/>
              <w:ind w:left="519"/>
              <w:spacing w:after="0"/>
              <w:rPr>
                <w:sz w:val="20"/>
                <w:szCs w:val="20"/>
                <w:color w:val="auto"/>
              </w:rPr>
            </w:pPr>
            <w:r>
              <w:rPr>
                <w:rFonts w:ascii="Arial" w:cs="Arial" w:eastAsia="Arial" w:hAnsi="Arial"/>
                <w:sz w:val="16"/>
                <w:szCs w:val="16"/>
                <w:color w:val="auto"/>
              </w:rPr>
              <w:t>(5.5)</w:t>
            </w:r>
          </w:p>
        </w:tc>
      </w:tr>
      <w:tr>
        <w:trPr>
          <w:trHeight w:val="216"/>
        </w:trPr>
        <w:tc>
          <w:tcPr>
            <w:tcW w:w="844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center"/>
              <w:ind w:left="519"/>
              <w:spacing w:after="0"/>
              <w:rPr>
                <w:sz w:val="20"/>
                <w:szCs w:val="20"/>
                <w:color w:val="auto"/>
              </w:rPr>
            </w:pPr>
            <w:r>
              <w:rPr>
                <w:rFonts w:ascii="Arial" w:cs="Arial" w:eastAsia="Arial" w:hAnsi="Arial"/>
                <w:sz w:val="16"/>
                <w:szCs w:val="16"/>
                <w:color w:val="auto"/>
                <w:w w:val="98"/>
              </w:rPr>
              <w:t>5.4</w:t>
            </w:r>
          </w:p>
        </w:tc>
      </w:tr>
      <w:tr>
        <w:trPr>
          <w:trHeight w:val="216"/>
        </w:trPr>
        <w:tc>
          <w:tcPr>
            <w:tcW w:w="844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1100" w:type="dxa"/>
            <w:vAlign w:val="bottom"/>
          </w:tcPr>
          <w:p>
            <w:pPr>
              <w:ind w:left="74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center"/>
              <w:ind w:left="519"/>
              <w:spacing w:after="0"/>
              <w:rPr>
                <w:sz w:val="20"/>
                <w:szCs w:val="20"/>
                <w:color w:val="auto"/>
              </w:rPr>
            </w:pPr>
            <w:r>
              <w:rPr>
                <w:rFonts w:ascii="Arial" w:cs="Arial" w:eastAsia="Arial" w:hAnsi="Arial"/>
                <w:sz w:val="16"/>
                <w:szCs w:val="16"/>
                <w:color w:val="auto"/>
              </w:rPr>
              <w:t>(0.6)</w:t>
            </w:r>
          </w:p>
        </w:tc>
      </w:tr>
      <w:tr>
        <w:trPr>
          <w:trHeight w:val="216"/>
        </w:trPr>
        <w:tc>
          <w:tcPr>
            <w:tcW w:w="8440" w:type="dxa"/>
            <w:vAlign w:val="bottom"/>
          </w:tcPr>
          <w:p>
            <w:pPr>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center"/>
              <w:ind w:left="519"/>
              <w:spacing w:after="0"/>
              <w:rPr>
                <w:sz w:val="20"/>
                <w:szCs w:val="20"/>
                <w:color w:val="auto"/>
              </w:rPr>
            </w:pPr>
            <w:r>
              <w:rPr>
                <w:rFonts w:ascii="Arial" w:cs="Arial" w:eastAsia="Arial" w:hAnsi="Arial"/>
                <w:sz w:val="16"/>
                <w:szCs w:val="16"/>
                <w:color w:val="auto"/>
              </w:rPr>
              <w:t>(4.8)</w:t>
            </w:r>
          </w:p>
        </w:tc>
      </w:tr>
      <w:tr>
        <w:trPr>
          <w:trHeight w:val="219"/>
        </w:trPr>
        <w:tc>
          <w:tcPr>
            <w:tcW w:w="84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519"/>
              <w:spacing w:after="0"/>
              <w:rPr>
                <w:sz w:val="20"/>
                <w:szCs w:val="20"/>
                <w:color w:val="auto"/>
              </w:rPr>
            </w:pPr>
            <w:r>
              <w:rPr>
                <w:rFonts w:ascii="Arial" w:cs="Arial" w:eastAsia="Arial" w:hAnsi="Arial"/>
                <w:sz w:val="16"/>
                <w:szCs w:val="16"/>
                <w:color w:val="auto"/>
                <w:w w:val="98"/>
              </w:rPr>
              <w:t>7.7</w:t>
            </w:r>
          </w:p>
        </w:tc>
      </w:tr>
      <w:tr>
        <w:trPr>
          <w:trHeight w:val="207"/>
        </w:trPr>
        <w:tc>
          <w:tcPr>
            <w:tcW w:w="8440" w:type="dxa"/>
            <w:vAlign w:val="bottom"/>
          </w:tcPr>
          <w:p>
            <w:pPr>
              <w:ind w:left="200"/>
              <w:spacing w:after="0"/>
              <w:rPr>
                <w:sz w:val="20"/>
                <w:szCs w:val="20"/>
                <w:color w:val="auto"/>
              </w:rPr>
            </w:pPr>
            <w:r>
              <w:rPr>
                <w:rFonts w:ascii="Arial" w:cs="Arial" w:eastAsia="Arial" w:hAnsi="Arial"/>
                <w:sz w:val="16"/>
                <w:szCs w:val="16"/>
                <w:color w:val="auto"/>
              </w:rPr>
              <w:t>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center"/>
              <w:ind w:left="519"/>
              <w:spacing w:after="0"/>
              <w:rPr>
                <w:sz w:val="20"/>
                <w:szCs w:val="20"/>
                <w:color w:val="auto"/>
              </w:rPr>
            </w:pPr>
            <w:r>
              <w:rPr>
                <w:rFonts w:ascii="Arial" w:cs="Arial" w:eastAsia="Arial" w:hAnsi="Arial"/>
                <w:sz w:val="16"/>
                <w:szCs w:val="16"/>
                <w:color w:val="auto"/>
                <w:w w:val="98"/>
              </w:rPr>
              <w:t>2.2</w:t>
            </w:r>
          </w:p>
        </w:tc>
      </w:tr>
    </w:tbl>
    <w:p>
      <w:pPr>
        <w:sectPr>
          <w:pgSz w:w="11900" w:h="16838" w:orient="portrait"/>
          <w:cols w:equalWidth="0" w:num="1">
            <w:col w:w="11240"/>
          </w:cols>
          <w:pgMar w:left="320" w:top="1089"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Net</w:t>
            </w:r>
          </w:p>
        </w:tc>
        <w:tc>
          <w:tcPr>
            <w:tcW w:w="20" w:type="dxa"/>
            <w:vAlign w:val="bottom"/>
          </w:tcPr>
          <w:p>
            <w:pPr>
              <w:spacing w:after="0"/>
              <w:rPr>
                <w:sz w:val="16"/>
                <w:szCs w:val="16"/>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16"/>
                <w:szCs w:val="16"/>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Net Income</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60" w:type="dxa"/>
            <w:vAlign w:val="bottom"/>
          </w:tcPr>
          <w:p>
            <w:pPr>
              <w:spacing w:after="0"/>
              <w:rPr>
                <w:sz w:val="16"/>
                <w:szCs w:val="16"/>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Revenues</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80" w:type="dxa"/>
            <w:vAlign w:val="bottom"/>
          </w:tcPr>
          <w:p>
            <w:pPr>
              <w:spacing w:after="0"/>
              <w:rPr>
                <w:sz w:val="20"/>
                <w:szCs w:val="20"/>
                <w:color w:val="auto"/>
              </w:rPr>
            </w:pPr>
            <w:r>
              <w:rPr>
                <w:rFonts w:ascii="Arial" w:cs="Arial" w:eastAsia="Arial" w:hAnsi="Arial"/>
                <w:sz w:val="16"/>
                <w:szCs w:val="16"/>
                <w:color w:val="auto"/>
              </w:rPr>
              <w:t>2021</w:t>
            </w:r>
          </w:p>
        </w:tc>
        <w:tc>
          <w:tcPr>
            <w:tcW w:w="260" w:type="dxa"/>
            <w:vAlign w:val="bottom"/>
          </w:tcPr>
          <w:p>
            <w:pPr>
              <w:ind w:left="40"/>
              <w:spacing w:after="0"/>
              <w:rPr>
                <w:sz w:val="20"/>
                <w:szCs w:val="20"/>
                <w:color w:val="auto"/>
              </w:rPr>
            </w:pPr>
            <w:r>
              <w:rPr>
                <w:rFonts w:ascii="Arial" w:cs="Arial" w:eastAsia="Arial" w:hAnsi="Arial"/>
                <w:sz w:val="16"/>
                <w:szCs w:val="16"/>
                <w:color w:val="auto"/>
                <w:w w:val="93"/>
              </w:rPr>
              <w:t>Q3</w:t>
            </w:r>
          </w:p>
        </w:tc>
        <w:tc>
          <w:tcPr>
            <w:tcW w:w="2220" w:type="dxa"/>
            <w:vAlign w:val="bottom"/>
          </w:tcPr>
          <w:p>
            <w:pPr>
              <w:ind w:left="40"/>
              <w:spacing w:after="0"/>
              <w:rPr>
                <w:sz w:val="20"/>
                <w:szCs w:val="20"/>
                <w:color w:val="auto"/>
              </w:rPr>
            </w:pPr>
            <w:r>
              <w:rPr>
                <w:rFonts w:ascii="Arial" w:cs="Arial" w:eastAsia="Arial" w:hAnsi="Arial"/>
                <w:sz w:val="16"/>
                <w:szCs w:val="16"/>
                <w:color w:val="auto"/>
              </w:rPr>
              <w:t>Reported</w:t>
            </w:r>
          </w:p>
        </w:tc>
        <w:tc>
          <w:tcPr>
            <w:tcW w:w="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2"/>
                <w:szCs w:val="22"/>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2"/>
                <w:szCs w:val="22"/>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center"/>
              <w:ind w:left="391"/>
              <w:spacing w:after="0"/>
              <w:rPr>
                <w:sz w:val="20"/>
                <w:szCs w:val="20"/>
                <w:color w:val="auto"/>
              </w:rPr>
            </w:pPr>
            <w:r>
              <w:rPr>
                <w:rFonts w:ascii="Arial" w:cs="Arial" w:eastAsia="Arial" w:hAnsi="Arial"/>
                <w:sz w:val="18"/>
                <w:szCs w:val="18"/>
                <w:color w:val="auto"/>
                <w:w w:val="97"/>
              </w:rPr>
              <w:t>(2.6)</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324"/>
        </w:trPr>
        <w:tc>
          <w:tcPr>
            <w:tcW w:w="2860" w:type="dxa"/>
            <w:vAlign w:val="bottom"/>
            <w:gridSpan w:val="3"/>
          </w:tcPr>
          <w:p>
            <w:pPr>
              <w:spacing w:after="0"/>
              <w:rPr>
                <w:sz w:val="20"/>
                <w:szCs w:val="20"/>
                <w:color w:val="auto"/>
              </w:rPr>
            </w:pPr>
            <w:r>
              <w:rPr>
                <w:rFonts w:ascii="Arial" w:cs="Arial" w:eastAsia="Arial" w:hAnsi="Arial"/>
                <w:sz w:val="16"/>
                <w:szCs w:val="16"/>
                <w:color w:val="auto"/>
              </w:rPr>
              <w:t>Acquisition expenses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left="4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2860" w:type="dxa"/>
            <w:vAlign w:val="bottom"/>
            <w:gridSpan w:val="3"/>
          </w:tcPr>
          <w:p>
            <w:pPr>
              <w:spacing w:after="0"/>
              <w:rPr>
                <w:sz w:val="20"/>
                <w:szCs w:val="20"/>
                <w:color w:val="auto"/>
              </w:rPr>
            </w:pPr>
            <w:r>
              <w:rPr>
                <w:rFonts w:ascii="Arial" w:cs="Arial" w:eastAsia="Arial" w:hAnsi="Arial"/>
                <w:sz w:val="16"/>
                <w:szCs w:val="16"/>
                <w:color w:val="auto"/>
              </w:rPr>
              <w:t>Peru reserve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ind w:left="4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Arial" w:cs="Arial" w:eastAsia="Arial" w:hAnsi="Arial"/>
                <w:sz w:val="16"/>
                <w:szCs w:val="16"/>
                <w:color w:val="auto"/>
              </w:rPr>
              <w:t>Non cash net interest expense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ind w:left="4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gridSpan w:val="3"/>
          </w:tcPr>
          <w:p>
            <w:pPr>
              <w:spacing w:after="0"/>
              <w:rPr>
                <w:sz w:val="20"/>
                <w:szCs w:val="20"/>
                <w:color w:val="auto"/>
              </w:rPr>
            </w:pPr>
            <w:r>
              <w:rPr>
                <w:rFonts w:ascii="Arial" w:cs="Arial" w:eastAsia="Arial" w:hAnsi="Arial"/>
                <w:sz w:val="16"/>
                <w:szCs w:val="16"/>
                <w:color w:val="auto"/>
              </w:rPr>
              <w:t>Constant currency impact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center"/>
              <w:ind w:left="391"/>
              <w:spacing w:after="0"/>
              <w:rPr>
                <w:sz w:val="20"/>
                <w:szCs w:val="20"/>
                <w:color w:val="auto"/>
              </w:rPr>
            </w:pPr>
            <w:r>
              <w:rPr>
                <w:rFonts w:ascii="Arial" w:cs="Arial" w:eastAsia="Arial" w:hAnsi="Arial"/>
                <w:sz w:val="18"/>
                <w:szCs w:val="18"/>
                <w:color w:val="auto"/>
                <w:w w:val="97"/>
              </w:rPr>
              <w:t>(0.3)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20"/>
                <w:szCs w:val="20"/>
                <w:color w:val="auto"/>
              </w:rPr>
            </w:pPr>
            <w:r>
              <w:rPr>
                <w:rFonts w:ascii="Arial" w:cs="Arial" w:eastAsia="Arial" w:hAnsi="Arial"/>
                <w:sz w:val="16"/>
                <w:szCs w:val="16"/>
                <w:color w:val="auto"/>
              </w:rPr>
              <w:t>2021</w:t>
            </w:r>
          </w:p>
        </w:tc>
        <w:tc>
          <w:tcPr>
            <w:tcW w:w="260" w:type="dxa"/>
            <w:vAlign w:val="bottom"/>
          </w:tcPr>
          <w:p>
            <w:pPr>
              <w:ind w:left="40"/>
              <w:spacing w:after="0"/>
              <w:rPr>
                <w:sz w:val="20"/>
                <w:szCs w:val="20"/>
                <w:color w:val="auto"/>
              </w:rPr>
            </w:pPr>
            <w:r>
              <w:rPr>
                <w:rFonts w:ascii="Arial" w:cs="Arial" w:eastAsia="Arial" w:hAnsi="Arial"/>
                <w:sz w:val="16"/>
                <w:szCs w:val="16"/>
                <w:color w:val="auto"/>
                <w:w w:val="93"/>
              </w:rPr>
              <w:t>Q3</w:t>
            </w:r>
          </w:p>
        </w:tc>
        <w:tc>
          <w:tcPr>
            <w:tcW w:w="2220" w:type="dxa"/>
            <w:vAlign w:val="bottom"/>
          </w:tcPr>
          <w:p>
            <w:pPr>
              <w:ind w:left="40"/>
              <w:spacing w:after="0"/>
              <w:rPr>
                <w:sz w:val="20"/>
                <w:szCs w:val="20"/>
                <w:color w:val="auto"/>
              </w:rPr>
            </w:pPr>
            <w:r>
              <w:rPr>
                <w:rFonts w:ascii="Arial" w:cs="Arial" w:eastAsia="Arial" w:hAnsi="Arial"/>
                <w:sz w:val="16"/>
                <w:szCs w:val="16"/>
                <w:color w:val="auto"/>
              </w:rPr>
              <w:t>Adjusted</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center"/>
              <w:ind w:left="391"/>
              <w:spacing w:after="0"/>
              <w:rPr>
                <w:sz w:val="20"/>
                <w:szCs w:val="20"/>
                <w:color w:val="auto"/>
              </w:rPr>
            </w:pPr>
            <w:r>
              <w:rPr>
                <w:rFonts w:ascii="Arial" w:cs="Arial" w:eastAsia="Arial" w:hAnsi="Arial"/>
                <w:sz w:val="18"/>
                <w:szCs w:val="18"/>
                <w:color w:val="auto"/>
                <w:w w:val="97"/>
              </w:rPr>
              <w:t>(1.7)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Net</w:t>
            </w:r>
          </w:p>
        </w:tc>
        <w:tc>
          <w:tcPr>
            <w:tcW w:w="20" w:type="dxa"/>
            <w:vAlign w:val="bottom"/>
          </w:tcPr>
          <w:p>
            <w:pPr>
              <w:spacing w:after="0"/>
              <w:rPr>
                <w:sz w:val="24"/>
                <w:szCs w:val="2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9"/>
              </w:rPr>
              <w:t>(Loss) Income</w:t>
            </w:r>
          </w:p>
        </w:tc>
        <w:tc>
          <w:tcPr>
            <w:tcW w:w="120" w:type="dxa"/>
            <w:vAlign w:val="bottom"/>
          </w:tcPr>
          <w:p>
            <w:pPr>
              <w:spacing w:after="0"/>
              <w:rPr>
                <w:sz w:val="24"/>
                <w:szCs w:val="24"/>
                <w:color w:val="auto"/>
              </w:rPr>
            </w:pPr>
          </w:p>
        </w:tc>
        <w:tc>
          <w:tcPr>
            <w:tcW w:w="900" w:type="dxa"/>
            <w:vAlign w:val="bottom"/>
            <w:vMerge w:val="restart"/>
          </w:tcPr>
          <w:p>
            <w:pPr>
              <w:spacing w:after="0"/>
              <w:rPr>
                <w:sz w:val="20"/>
                <w:szCs w:val="20"/>
                <w:color w:val="auto"/>
              </w:rPr>
            </w:pPr>
            <w:r>
              <w:rPr>
                <w:rFonts w:ascii="Arial" w:cs="Arial" w:eastAsia="Arial" w:hAnsi="Arial"/>
                <w:sz w:val="16"/>
                <w:szCs w:val="16"/>
                <w:b w:val="1"/>
                <w:bCs w:val="1"/>
                <w:color w:val="auto"/>
              </w:rPr>
              <w:t>Tax Effect</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Net (Loss)</w:t>
            </w:r>
          </w:p>
        </w:tc>
        <w:tc>
          <w:tcPr>
            <w:tcW w:w="10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Revenues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rPr>
              <w:t>Revenues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rPr>
              <w:t>Before Tax</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99"/>
              </w:rPr>
              <w:t>Income</w:t>
            </w:r>
          </w:p>
        </w:tc>
        <w:tc>
          <w:tcPr>
            <w:tcW w:w="100" w:type="dxa"/>
            <w:vAlign w:val="bottom"/>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80" w:type="dxa"/>
            <w:vAlign w:val="bottom"/>
          </w:tcPr>
          <w:p>
            <w:pPr>
              <w:spacing w:after="0"/>
              <w:rPr>
                <w:sz w:val="20"/>
                <w:szCs w:val="20"/>
                <w:color w:val="auto"/>
              </w:rPr>
            </w:pPr>
            <w:r>
              <w:rPr>
                <w:rFonts w:ascii="Arial" w:cs="Arial" w:eastAsia="Arial" w:hAnsi="Arial"/>
                <w:sz w:val="16"/>
                <w:szCs w:val="16"/>
                <w:color w:val="auto"/>
              </w:rPr>
              <w:t>2020</w:t>
            </w:r>
          </w:p>
        </w:tc>
        <w:tc>
          <w:tcPr>
            <w:tcW w:w="260" w:type="dxa"/>
            <w:vAlign w:val="bottom"/>
          </w:tcPr>
          <w:p>
            <w:pPr>
              <w:ind w:left="40"/>
              <w:spacing w:after="0"/>
              <w:rPr>
                <w:sz w:val="20"/>
                <w:szCs w:val="20"/>
                <w:color w:val="auto"/>
              </w:rPr>
            </w:pPr>
            <w:r>
              <w:rPr>
                <w:rFonts w:ascii="Arial" w:cs="Arial" w:eastAsia="Arial" w:hAnsi="Arial"/>
                <w:sz w:val="16"/>
                <w:szCs w:val="16"/>
                <w:color w:val="auto"/>
                <w:w w:val="93"/>
              </w:rPr>
              <w:t>Q3</w:t>
            </w:r>
          </w:p>
        </w:tc>
        <w:tc>
          <w:tcPr>
            <w:tcW w:w="2220" w:type="dxa"/>
            <w:vAlign w:val="bottom"/>
          </w:tcPr>
          <w:p>
            <w:pPr>
              <w:ind w:left="40"/>
              <w:spacing w:after="0"/>
              <w:rPr>
                <w:sz w:val="20"/>
                <w:szCs w:val="20"/>
                <w:color w:val="auto"/>
              </w:rPr>
            </w:pPr>
            <w:r>
              <w:rPr>
                <w:rFonts w:ascii="Arial" w:cs="Arial" w:eastAsia="Arial" w:hAnsi="Arial"/>
                <w:sz w:val="16"/>
                <w:szCs w:val="16"/>
                <w:color w:val="auto"/>
              </w:rPr>
              <w:t>Reported</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210.2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center"/>
              <w:ind w:left="391"/>
              <w:spacing w:after="0"/>
              <w:rPr>
                <w:sz w:val="20"/>
                <w:szCs w:val="20"/>
                <w:color w:val="auto"/>
              </w:rPr>
            </w:pPr>
            <w:r>
              <w:rPr>
                <w:rFonts w:ascii="Arial" w:cs="Arial" w:eastAsia="Arial" w:hAnsi="Arial"/>
                <w:sz w:val="18"/>
                <w:szCs w:val="18"/>
                <w:color w:val="auto"/>
                <w:w w:val="97"/>
              </w:rPr>
              <w:t>(5.5)</w:t>
            </w:r>
          </w:p>
        </w:tc>
        <w:tc>
          <w:tcPr>
            <w:tcW w:w="100" w:type="dxa"/>
            <w:vAlign w:val="bottom"/>
          </w:tcPr>
          <w:p>
            <w:pPr>
              <w:spacing w:after="0"/>
              <w:rPr>
                <w:sz w:val="22"/>
                <w:szCs w:val="22"/>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2860" w:type="dxa"/>
            <w:vAlign w:val="bottom"/>
            <w:gridSpan w:val="3"/>
          </w:tcPr>
          <w:p>
            <w:pPr>
              <w:spacing w:after="0"/>
              <w:rPr>
                <w:sz w:val="20"/>
                <w:szCs w:val="20"/>
                <w:color w:val="auto"/>
              </w:rPr>
            </w:pPr>
            <w:r>
              <w:rPr>
                <w:rFonts w:ascii="Arial" w:cs="Arial" w:eastAsia="Arial" w:hAnsi="Arial"/>
                <w:sz w:val="16"/>
                <w:szCs w:val="16"/>
                <w:color w:val="auto"/>
              </w:rPr>
              <w:t>COVID-19 expenses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left="41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2860" w:type="dxa"/>
            <w:vAlign w:val="bottom"/>
            <w:gridSpan w:val="3"/>
          </w:tcPr>
          <w:p>
            <w:pPr>
              <w:spacing w:after="0"/>
              <w:rPr>
                <w:sz w:val="20"/>
                <w:szCs w:val="20"/>
                <w:color w:val="auto"/>
              </w:rPr>
            </w:pPr>
            <w:r>
              <w:rPr>
                <w:rFonts w:ascii="Arial" w:cs="Arial" w:eastAsia="Arial" w:hAnsi="Arial"/>
                <w:sz w:val="16"/>
                <w:szCs w:val="16"/>
                <w:color w:val="auto"/>
              </w:rPr>
              <w:t>Civil unrest - asset disposal</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center"/>
              <w:ind w:left="4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Arial" w:cs="Arial" w:eastAsia="Arial" w:hAnsi="Arial"/>
                <w:sz w:val="16"/>
                <w:szCs w:val="16"/>
                <w:color w:val="auto"/>
              </w:rPr>
              <w:t>Civil unrest - looting</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ind w:left="4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860" w:type="dxa"/>
            <w:vAlign w:val="bottom"/>
            <w:gridSpan w:val="3"/>
          </w:tcPr>
          <w:p>
            <w:pPr>
              <w:spacing w:after="0"/>
              <w:rPr>
                <w:sz w:val="20"/>
                <w:szCs w:val="20"/>
                <w:color w:val="auto"/>
              </w:rPr>
            </w:pPr>
            <w:r>
              <w:rPr>
                <w:rFonts w:ascii="Arial" w:cs="Arial" w:eastAsia="Arial" w:hAnsi="Arial"/>
                <w:sz w:val="16"/>
                <w:szCs w:val="16"/>
                <w:color w:val="auto"/>
              </w:rPr>
              <w:t>Currency exchange rate fluctuations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ind w:left="41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2860" w:type="dxa"/>
            <w:vAlign w:val="bottom"/>
            <w:gridSpan w:val="3"/>
          </w:tcPr>
          <w:p>
            <w:pPr>
              <w:spacing w:after="0"/>
              <w:rPr>
                <w:sz w:val="20"/>
                <w:szCs w:val="20"/>
                <w:color w:val="auto"/>
              </w:rPr>
            </w:pPr>
            <w:r>
              <w:rPr>
                <w:rFonts w:ascii="Arial" w:cs="Arial" w:eastAsia="Arial" w:hAnsi="Arial"/>
                <w:sz w:val="16"/>
                <w:szCs w:val="16"/>
                <w:color w:val="auto"/>
              </w:rPr>
              <w:t>Non cash interest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ind w:left="4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Arial" w:cs="Arial" w:eastAsia="Arial" w:hAnsi="Arial"/>
                <w:sz w:val="16"/>
                <w:szCs w:val="16"/>
                <w:color w:val="auto"/>
              </w:rPr>
              <w:t>Constant currency impact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center"/>
              <w:ind w:left="391"/>
              <w:spacing w:after="0"/>
              <w:rPr>
                <w:sz w:val="20"/>
                <w:szCs w:val="20"/>
                <w:color w:val="auto"/>
              </w:rPr>
            </w:pPr>
            <w:r>
              <w:rPr>
                <w:rFonts w:ascii="Arial" w:cs="Arial" w:eastAsia="Arial" w:hAnsi="Arial"/>
                <w:sz w:val="18"/>
                <w:szCs w:val="18"/>
                <w:color w:val="auto"/>
                <w:w w:val="97"/>
              </w:rPr>
              <w:t>(0.4)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94"/>
        </w:trPr>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20"/>
                <w:szCs w:val="20"/>
                <w:color w:val="auto"/>
              </w:rPr>
            </w:pPr>
            <w:r>
              <w:rPr>
                <w:rFonts w:ascii="Arial" w:cs="Arial" w:eastAsia="Arial" w:hAnsi="Arial"/>
                <w:sz w:val="16"/>
                <w:szCs w:val="16"/>
                <w:color w:val="auto"/>
              </w:rPr>
              <w:t>2020</w:t>
            </w:r>
          </w:p>
        </w:tc>
        <w:tc>
          <w:tcPr>
            <w:tcW w:w="260" w:type="dxa"/>
            <w:vAlign w:val="bottom"/>
          </w:tcPr>
          <w:p>
            <w:pPr>
              <w:ind w:left="40"/>
              <w:spacing w:after="0"/>
              <w:rPr>
                <w:sz w:val="20"/>
                <w:szCs w:val="20"/>
                <w:color w:val="auto"/>
              </w:rPr>
            </w:pPr>
            <w:r>
              <w:rPr>
                <w:rFonts w:ascii="Arial" w:cs="Arial" w:eastAsia="Arial" w:hAnsi="Arial"/>
                <w:sz w:val="16"/>
                <w:szCs w:val="16"/>
                <w:color w:val="auto"/>
                <w:w w:val="93"/>
              </w:rPr>
              <w:t>Q3</w:t>
            </w:r>
          </w:p>
        </w:tc>
        <w:tc>
          <w:tcPr>
            <w:tcW w:w="2220" w:type="dxa"/>
            <w:vAlign w:val="bottom"/>
          </w:tcPr>
          <w:p>
            <w:pPr>
              <w:ind w:left="40"/>
              <w:spacing w:after="0"/>
              <w:rPr>
                <w:sz w:val="20"/>
                <w:szCs w:val="20"/>
                <w:color w:val="auto"/>
              </w:rPr>
            </w:pPr>
            <w:r>
              <w:rPr>
                <w:rFonts w:ascii="Arial" w:cs="Arial" w:eastAsia="Arial" w:hAnsi="Arial"/>
                <w:sz w:val="16"/>
                <w:szCs w:val="16"/>
                <w:color w:val="auto"/>
              </w:rPr>
              <w:t>Adjusted</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center"/>
              <w:ind w:left="391"/>
              <w:spacing w:after="0"/>
              <w:rPr>
                <w:sz w:val="20"/>
                <w:szCs w:val="20"/>
                <w:color w:val="auto"/>
              </w:rPr>
            </w:pPr>
            <w:r>
              <w:rPr>
                <w:rFonts w:ascii="Arial" w:cs="Arial" w:eastAsia="Arial" w:hAnsi="Arial"/>
                <w:sz w:val="18"/>
                <w:szCs w:val="18"/>
                <w:color w:val="auto"/>
                <w:w w:val="97"/>
              </w:rPr>
              <w:t>(1.1)</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40" w:top="1049" w:right="5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40" w:type="dxa"/>
            <w:vAlign w:val="bottom"/>
            <w:vMerge w:val="restart"/>
          </w:tcPr>
          <w:p>
            <w:pPr>
              <w:spacing w:after="0"/>
              <w:rPr>
                <w:sz w:val="20"/>
                <w:szCs w:val="20"/>
                <w:color w:val="auto"/>
              </w:rPr>
            </w:pPr>
            <w:r>
              <w:rPr>
                <w:rFonts w:ascii="Arial" w:cs="Arial" w:eastAsia="Arial" w:hAnsi="Arial"/>
                <w:sz w:val="16"/>
                <w:szCs w:val="16"/>
                <w:b w:val="1"/>
                <w:bCs w:val="1"/>
                <w:color w:val="auto"/>
              </w:rPr>
              <w:t>2021 Q3:</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U.S. Dollar</w:t>
            </w: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15"/>
        </w:trPr>
        <w:tc>
          <w:tcPr>
            <w:tcW w:w="874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 YOY</w:t>
            </w:r>
          </w:p>
        </w:tc>
        <w:tc>
          <w:tcPr>
            <w:tcW w:w="0" w:type="dxa"/>
            <w:vAlign w:val="bottom"/>
          </w:tcPr>
          <w:p>
            <w:pPr>
              <w:spacing w:after="0"/>
              <w:rPr>
                <w:sz w:val="1"/>
                <w:szCs w:val="1"/>
                <w:color w:val="auto"/>
              </w:rPr>
            </w:pPr>
          </w:p>
        </w:tc>
      </w:tr>
      <w:tr>
        <w:trPr>
          <w:trHeight w:val="245"/>
        </w:trPr>
        <w:tc>
          <w:tcPr>
            <w:tcW w:w="8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i w:val="1"/>
                <w:iCs w:val="1"/>
                <w:color w:val="auto"/>
              </w:rPr>
              <w:t>(in millions)</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6"/>
                <w:szCs w:val="16"/>
                <w:color w:val="auto"/>
              </w:rPr>
              <w:t>Consolidated revenue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174.0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consolidated revenue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169.6</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0"/>
        </w:trPr>
        <w:tc>
          <w:tcPr>
            <w:tcW w:w="8740" w:type="dxa"/>
            <w:vAlign w:val="bottom"/>
          </w:tcPr>
          <w:p>
            <w:pPr>
              <w:spacing w:after="0"/>
              <w:rPr>
                <w:sz w:val="20"/>
                <w:szCs w:val="20"/>
                <w:color w:val="auto"/>
              </w:rPr>
            </w:pPr>
            <w:r>
              <w:rPr>
                <w:rFonts w:ascii="Arial" w:cs="Arial" w:eastAsia="Arial" w:hAnsi="Arial"/>
                <w:sz w:val="16"/>
                <w:szCs w:val="16"/>
                <w:color w:val="auto"/>
              </w:rPr>
              <w:t>Consolidated net revenue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108.0</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consolidated net revenue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105.5</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70"/>
        </w:trPr>
        <w:tc>
          <w:tcPr>
            <w:tcW w:w="8740" w:type="dxa"/>
            <w:vAlign w:val="bottom"/>
          </w:tcPr>
          <w:p>
            <w:pPr>
              <w:spacing w:after="0"/>
              <w:rPr>
                <w:sz w:val="20"/>
                <w:szCs w:val="20"/>
                <w:color w:val="auto"/>
              </w:rPr>
            </w:pPr>
            <w:r>
              <w:rPr>
                <w:rFonts w:ascii="Arial" w:cs="Arial" w:eastAsia="Arial" w:hAnsi="Arial"/>
                <w:sz w:val="16"/>
                <w:szCs w:val="16"/>
                <w:color w:val="auto"/>
              </w:rPr>
              <w:t>Consolidated net inventory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92.2</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consolidated net inventory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89.6</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10"/>
        </w:trPr>
        <w:tc>
          <w:tcPr>
            <w:tcW w:w="8740" w:type="dxa"/>
            <w:vAlign w:val="bottom"/>
          </w:tcPr>
          <w:p>
            <w:pPr>
              <w:spacing w:after="0"/>
              <w:rPr>
                <w:sz w:val="20"/>
                <w:szCs w:val="20"/>
                <w:color w:val="auto"/>
              </w:rPr>
            </w:pPr>
            <w:r>
              <w:rPr>
                <w:rFonts w:ascii="Arial" w:cs="Arial" w:eastAsia="Arial" w:hAnsi="Arial"/>
                <w:sz w:val="16"/>
                <w:szCs w:val="16"/>
                <w:color w:val="auto"/>
              </w:rPr>
              <w:t>Latin America Pawn net revenue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Latin America Pawn net revenue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70"/>
        </w:trPr>
        <w:tc>
          <w:tcPr>
            <w:tcW w:w="8740" w:type="dxa"/>
            <w:vAlign w:val="bottom"/>
          </w:tcPr>
          <w:p>
            <w:pPr>
              <w:spacing w:after="0"/>
              <w:rPr>
                <w:sz w:val="20"/>
                <w:szCs w:val="20"/>
                <w:color w:val="auto"/>
              </w:rPr>
            </w:pPr>
            <w:r>
              <w:rPr>
                <w:rFonts w:ascii="Arial" w:cs="Arial" w:eastAsia="Arial" w:hAnsi="Arial"/>
                <w:sz w:val="16"/>
                <w:szCs w:val="16"/>
                <w:color w:val="auto"/>
              </w:rPr>
              <w:t>Latin America Pawn PLO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Latin America Pawn PLO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70"/>
        </w:trPr>
        <w:tc>
          <w:tcPr>
            <w:tcW w:w="8740" w:type="dxa"/>
            <w:vAlign w:val="bottom"/>
          </w:tcPr>
          <w:p>
            <w:pPr>
              <w:spacing w:after="0"/>
              <w:rPr>
                <w:sz w:val="20"/>
                <w:szCs w:val="20"/>
                <w:color w:val="auto"/>
              </w:rPr>
            </w:pPr>
            <w:r>
              <w:rPr>
                <w:rFonts w:ascii="Arial" w:cs="Arial" w:eastAsia="Arial" w:hAnsi="Arial"/>
                <w:sz w:val="16"/>
                <w:szCs w:val="16"/>
                <w:color w:val="auto"/>
              </w:rPr>
              <w:t>Latin America Pawn PSC revenues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Latin America Pawn PSC revenues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70"/>
        </w:trPr>
        <w:tc>
          <w:tcPr>
            <w:tcW w:w="8740" w:type="dxa"/>
            <w:vAlign w:val="bottom"/>
          </w:tcPr>
          <w:p>
            <w:pPr>
              <w:spacing w:after="0"/>
              <w:rPr>
                <w:sz w:val="20"/>
                <w:szCs w:val="20"/>
                <w:color w:val="auto"/>
              </w:rPr>
            </w:pPr>
            <w:r>
              <w:rPr>
                <w:rFonts w:ascii="Arial" w:cs="Arial" w:eastAsia="Arial" w:hAnsi="Arial"/>
                <w:sz w:val="16"/>
                <w:szCs w:val="16"/>
                <w:color w:val="auto"/>
              </w:rPr>
              <w:t>Latin America Pawn 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Latin America Pawn 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70"/>
        </w:trPr>
        <w:tc>
          <w:tcPr>
            <w:tcW w:w="8740" w:type="dxa"/>
            <w:vAlign w:val="bottom"/>
          </w:tcPr>
          <w:p>
            <w:pPr>
              <w:spacing w:after="0"/>
              <w:rPr>
                <w:sz w:val="20"/>
                <w:szCs w:val="20"/>
                <w:color w:val="auto"/>
              </w:rPr>
            </w:pPr>
            <w:r>
              <w:rPr>
                <w:rFonts w:ascii="Arial" w:cs="Arial" w:eastAsia="Arial" w:hAnsi="Arial"/>
                <w:sz w:val="16"/>
                <w:szCs w:val="16"/>
                <w:color w:val="auto"/>
              </w:rPr>
              <w:t>Latin America Pawn segment profit before tax</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583 %</w:t>
            </w:r>
          </w:p>
        </w:tc>
        <w:tc>
          <w:tcPr>
            <w:tcW w:w="0" w:type="dxa"/>
            <w:vAlign w:val="bottom"/>
          </w:tcPr>
          <w:p>
            <w:pPr>
              <w:spacing w:after="0"/>
              <w:rPr>
                <w:sz w:val="1"/>
                <w:szCs w:val="1"/>
                <w:color w:val="auto"/>
              </w:rPr>
            </w:pPr>
          </w:p>
        </w:tc>
      </w:tr>
      <w:tr>
        <w:trPr>
          <w:trHeight w:val="219"/>
        </w:trPr>
        <w:tc>
          <w:tcPr>
            <w:tcW w:w="8740" w:type="dxa"/>
            <w:vAlign w:val="bottom"/>
          </w:tcPr>
          <w:p>
            <w:pPr>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740" w:type="dxa"/>
            <w:vAlign w:val="bottom"/>
          </w:tcPr>
          <w:p>
            <w:pPr>
              <w:ind w:left="200"/>
              <w:spacing w:after="0"/>
              <w:rPr>
                <w:sz w:val="20"/>
                <w:szCs w:val="20"/>
                <w:color w:val="auto"/>
              </w:rPr>
            </w:pPr>
            <w:r>
              <w:rPr>
                <w:rFonts w:ascii="Arial" w:cs="Arial" w:eastAsia="Arial" w:hAnsi="Arial"/>
                <w:sz w:val="16"/>
                <w:szCs w:val="16"/>
                <w:color w:val="auto"/>
              </w:rPr>
              <w:t>Constant currency Latin America Pawn segment profit before tax</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535 %</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2021-08-04T16:49:17Z</dcterms:created>
  <dcterms:modified xsi:type="dcterms:W3CDTF">2021-08-04T16:49:17Z</dcterms:modified>
</cp:coreProperties>
</file>