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780" w:right="1640" w:hanging="3745"/>
        <w:spacing w:after="0" w:line="416" w:lineRule="auto"/>
        <w:tabs>
          <w:tab w:leader="none" w:pos="625"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2017</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5300" w:type="dxa"/>
            <w:vAlign w:val="bottom"/>
          </w:tcPr>
          <w:p>
            <w:pPr>
              <w:ind w:left="294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108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45"/>
        </w:trPr>
        <w:tc>
          <w:tcPr>
            <w:tcW w:w="9140" w:type="dxa"/>
            <w:vAlign w:val="bottom"/>
            <w:gridSpan w:val="5"/>
          </w:tcPr>
          <w:p>
            <w:pPr>
              <w:jc w:val="center"/>
              <w:ind w:left="1252"/>
              <w:spacing w:after="0"/>
              <w:rPr>
                <w:sz w:val="20"/>
                <w:szCs w:val="20"/>
                <w:color w:val="auto"/>
              </w:rPr>
            </w:pPr>
            <w:r>
              <w:rPr>
                <w:rFonts w:ascii="Arial" w:cs="Arial" w:eastAsia="Arial" w:hAnsi="Arial"/>
                <w:sz w:val="18"/>
                <w:szCs w:val="18"/>
                <w:b w:val="1"/>
                <w:bCs w:val="1"/>
                <w:color w:val="auto"/>
                <w:w w:val="89"/>
              </w:rPr>
              <w:t>Commission File No. 0-19424</w:t>
            </w:r>
          </w:p>
        </w:tc>
      </w:tr>
      <w:tr>
        <w:trPr>
          <w:trHeight w:val="982"/>
        </w:trPr>
        <w:tc>
          <w:tcPr>
            <w:tcW w:w="6200" w:type="dxa"/>
            <w:vAlign w:val="bottom"/>
            <w:gridSpan w:val="2"/>
          </w:tcPr>
          <w:p>
            <w:pPr>
              <w:jc w:val="center"/>
              <w:ind w:left="4192"/>
              <w:spacing w:after="0"/>
              <w:rPr>
                <w:sz w:val="20"/>
                <w:szCs w:val="20"/>
                <w:color w:val="auto"/>
              </w:rPr>
            </w:pPr>
            <w:r>
              <w:rPr>
                <w:rFonts w:ascii="Arial" w:cs="Arial" w:eastAsia="Arial" w:hAnsi="Arial"/>
                <w:sz w:val="22"/>
                <w:szCs w:val="22"/>
                <w:b w:val="1"/>
                <w:bCs w:val="1"/>
                <w:color w:val="auto"/>
                <w:w w:val="97"/>
              </w:rPr>
              <w:t>EZCORP, INC.</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9140" w:type="dxa"/>
            <w:vAlign w:val="bottom"/>
            <w:gridSpan w:val="5"/>
          </w:tcPr>
          <w:p>
            <w:pPr>
              <w:jc w:val="center"/>
              <w:ind w:left="125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8"/>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548"/>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0" w:type="dxa"/>
            <w:vAlign w:val="bottom"/>
          </w:tcPr>
          <w:p>
            <w:pPr>
              <w:spacing w:after="0"/>
              <w:rPr>
                <w:sz w:val="18"/>
                <w:szCs w:val="18"/>
                <w:color w:val="auto"/>
              </w:rPr>
            </w:pPr>
          </w:p>
        </w:tc>
        <w:tc>
          <w:tcPr>
            <w:tcW w:w="2700" w:type="dxa"/>
            <w:vAlign w:val="bottom"/>
            <w:gridSpan w:val="2"/>
          </w:tcPr>
          <w:p>
            <w:pPr>
              <w:jc w:val="center"/>
              <w:ind w:left="528"/>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9"/>
              </w:rPr>
              <w:t>2500 Bee Cave Road, Bldg One, Suite 200, Rollingwood, Texas</w:t>
            </w:r>
          </w:p>
        </w:tc>
        <w:tc>
          <w:tcPr>
            <w:tcW w:w="294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78746</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(Address of principal executive offices)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jc w:val="center"/>
              <w:ind w:right="408"/>
              <w:spacing w:after="0"/>
              <w:rPr>
                <w:sz w:val="20"/>
                <w:szCs w:val="20"/>
                <w:color w:val="auto"/>
              </w:rPr>
            </w:pPr>
            <w:r>
              <w:rPr>
                <w:rFonts w:ascii="Arial" w:cs="Arial" w:eastAsia="Arial" w:hAnsi="Arial"/>
                <w:sz w:val="14"/>
                <w:szCs w:val="14"/>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-1543685</wp:posOffset>
            </wp:positionV>
            <wp:extent cx="200660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6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190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rPr>
                <w:sz w:val="20"/>
                <w:szCs w:val="20"/>
                <w:color w:val="auto"/>
              </w:rPr>
            </w:pPr>
            <w:r>
              <w:rPr>
                <w:rFonts w:ascii="Arial" w:cs="Arial" w:eastAsia="Arial" w:hAnsi="Arial"/>
                <w:sz w:val="16"/>
                <w:szCs w:val="16"/>
                <w:color w:val="auto"/>
              </w:rPr>
              <w:t>x</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60"/>
              <w:spacing w:after="0"/>
              <w:rPr>
                <w:sz w:val="20"/>
                <w:szCs w:val="20"/>
                <w:color w:val="auto"/>
              </w:rPr>
            </w:pPr>
            <w:r>
              <w:rPr>
                <w:rFonts w:ascii="Arial" w:cs="Arial" w:eastAsia="Arial" w:hAnsi="Arial"/>
                <w:sz w:val="16"/>
                <w:szCs w:val="16"/>
                <w:color w:val="auto"/>
              </w:rPr>
              <w:t>(Do not check if a smaller reporting company)</w:t>
            </w:r>
          </w:p>
        </w:tc>
        <w:tc>
          <w:tcPr>
            <w:tcW w:w="700" w:type="dxa"/>
            <w:vAlign w:val="bottom"/>
          </w:tcPr>
          <w:p>
            <w:pPr>
              <w:spacing w:after="0"/>
              <w:rPr>
                <w:sz w:val="23"/>
                <w:szCs w:val="23"/>
                <w:color w:val="auto"/>
              </w:rPr>
            </w:pP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4"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January 25, 2018, 51,494,246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8"/>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December 31, 2017 and 2016 (Unaudited) and September 30, 2017</w:t>
              </w:r>
            </w:hyperlink>
          </w:p>
        </w:tc>
        <w:tc>
          <w:tcPr>
            <w:tcW w:w="23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December 31, 2017 and 2016 (Unaudited)</w:t>
              </w:r>
            </w:hyperlink>
          </w:p>
        </w:tc>
        <w:tc>
          <w:tcPr>
            <w:tcW w:w="16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9"/>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 for the Three Months Ended December 31, 2017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Months Ended December 31, 2017 and 2016 (Unaudited)</w:t>
              </w:r>
            </w:hyperlink>
          </w:p>
        </w:tc>
        <w:tc>
          <w:tcPr>
            <w:tcW w:w="1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December 31, 2017 and 2016 (Unaudited)</w:t>
              </w:r>
            </w:hyperlink>
          </w:p>
        </w:tc>
        <w:tc>
          <w:tcPr>
            <w:tcW w:w="16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Condensed Consolidated Financial Statements (Unaudited)</w:t>
              </w:r>
            </w:hyperlink>
          </w:p>
        </w:tc>
        <w:tc>
          <w:tcPr>
            <w:tcW w:w="502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Arial" w:cs="Arial" w:eastAsia="Arial" w:hAnsi="Arial"/>
                <w:sz w:val="18"/>
                <w:szCs w:val="18"/>
                <w:i w:val="1"/>
                <w:iCs w:val="1"/>
                <w:color w:val="0000EE"/>
                <w:w w:val="91"/>
              </w:rPr>
            </w:pPr>
            <w:hyperlink w:anchor="page20">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i w:val="1"/>
                <w:iCs w:val="1"/>
                <w:color w:val="0000EE"/>
                <w:w w:val="90"/>
              </w:rPr>
            </w:pPr>
            <w:hyperlink w:anchor="page30">
              <w:r>
                <w:rPr>
                  <w:rFonts w:ascii="Arial" w:cs="Arial" w:eastAsia="Arial" w:hAnsi="Arial"/>
                  <w:sz w:val="18"/>
                  <w:szCs w:val="18"/>
                  <w:i w:val="1"/>
                  <w:iCs w:val="1"/>
                  <w:color w:val="0000EE"/>
                  <w:w w:val="90"/>
                </w:rPr>
                <w:t>Item 3.</w:t>
              </w:r>
            </w:hyperlink>
          </w:p>
        </w:tc>
        <w:tc>
          <w:tcPr>
            <w:tcW w:w="10320" w:type="dxa"/>
            <w:vAlign w:val="bottom"/>
            <w:gridSpan w:val="18"/>
          </w:tcPr>
          <w:p>
            <w:pPr>
              <w:ind w:left="40"/>
              <w:spacing w:after="0"/>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90"/>
              </w:rPr>
            </w:pPr>
            <w:hyperlink w:anchor="page30">
              <w:r>
                <w:rPr>
                  <w:rFonts w:ascii="Arial" w:cs="Arial" w:eastAsia="Arial" w:hAnsi="Arial"/>
                  <w:sz w:val="18"/>
                  <w:szCs w:val="18"/>
                  <w:i w:val="1"/>
                  <w:iCs w:val="1"/>
                  <w:color w:val="0000EE"/>
                  <w:w w:val="90"/>
                </w:rPr>
                <w:t>Item 4.</w:t>
              </w:r>
            </w:hyperlink>
          </w:p>
        </w:tc>
        <w:tc>
          <w:tcPr>
            <w:tcW w:w="1840" w:type="dxa"/>
            <w:vAlign w:val="bottom"/>
            <w:tcBorders>
              <w:top w:val="single" w:sz="8" w:color="0000EE"/>
              <w:bottom w:val="single" w:sz="8" w:color="0000EE"/>
            </w:tcBorders>
            <w:gridSpan w:val="7"/>
          </w:tcPr>
          <w:p>
            <w:pPr>
              <w:ind w:left="40"/>
              <w:spacing w:after="0"/>
              <w:rPr>
                <w:rFonts w:ascii="Arial" w:cs="Arial" w:eastAsia="Arial" w:hAnsi="Arial"/>
                <w:sz w:val="18"/>
                <w:szCs w:val="18"/>
                <w:i w:val="1"/>
                <w:iCs w:val="1"/>
                <w:color w:val="0000EE"/>
                <w:w w:val="89"/>
              </w:rPr>
            </w:pPr>
            <w:hyperlink w:anchor="page30">
              <w:r>
                <w:rPr>
                  <w:rFonts w:ascii="Arial" w:cs="Arial" w:eastAsia="Arial" w:hAnsi="Arial"/>
                  <w:sz w:val="18"/>
                  <w:szCs w:val="18"/>
                  <w:i w:val="1"/>
                  <w:iCs w:val="1"/>
                  <w:color w:val="0000EE"/>
                  <w:w w:val="89"/>
                </w:rPr>
                <w:t>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r>
      <w:tr>
        <w:trPr>
          <w:trHeight w:val="372"/>
        </w:trPr>
        <w:tc>
          <w:tcPr>
            <w:tcW w:w="40" w:type="dxa"/>
            <w:vAlign w:val="bottom"/>
          </w:tcPr>
          <w:p>
            <w:pPr>
              <w:spacing w:after="0"/>
              <w:rPr>
                <w:sz w:val="24"/>
                <w:szCs w:val="24"/>
                <w:color w:val="auto"/>
              </w:rPr>
            </w:pPr>
          </w:p>
        </w:tc>
        <w:tc>
          <w:tcPr>
            <w:tcW w:w="111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90"/>
              </w:rPr>
            </w:pPr>
            <w:hyperlink w:anchor="page31">
              <w:r>
                <w:rPr>
                  <w:rFonts w:ascii="Arial" w:cs="Arial" w:eastAsia="Arial" w:hAnsi="Arial"/>
                  <w:sz w:val="18"/>
                  <w:szCs w:val="18"/>
                  <w:i w:val="1"/>
                  <w:iCs w:val="1"/>
                  <w:color w:val="0000EE"/>
                  <w:w w:val="90"/>
                </w:rPr>
                <w:t>Item 1.</w:t>
              </w:r>
            </w:hyperlink>
          </w:p>
        </w:tc>
        <w:tc>
          <w:tcPr>
            <w:tcW w:w="1380" w:type="dxa"/>
            <w:vAlign w:val="bottom"/>
            <w:tcBorders>
              <w:top w:val="single" w:sz="8" w:color="0000EE"/>
              <w:bottom w:val="single" w:sz="8" w:color="0000EE"/>
            </w:tcBorders>
            <w:gridSpan w:val="5"/>
          </w:tcPr>
          <w:p>
            <w:pPr>
              <w:ind w:left="40"/>
              <w:spacing w:after="0"/>
              <w:rPr>
                <w:rFonts w:ascii="Arial" w:cs="Arial" w:eastAsia="Arial" w:hAnsi="Arial"/>
                <w:sz w:val="18"/>
                <w:szCs w:val="18"/>
                <w:i w:val="1"/>
                <w:iCs w:val="1"/>
                <w:color w:val="0000EE"/>
                <w:w w:val="88"/>
              </w:rPr>
            </w:pPr>
            <w:hyperlink w:anchor="page31">
              <w:r>
                <w:rPr>
                  <w:rFonts w:ascii="Arial" w:cs="Arial" w:eastAsia="Arial" w:hAnsi="Arial"/>
                  <w:sz w:val="18"/>
                  <w:szCs w:val="18"/>
                  <w:i w:val="1"/>
                  <w:iCs w:val="1"/>
                  <w:color w:val="0000EE"/>
                  <w:w w:val="88"/>
                </w:rPr>
                <w:t>Legal Proceedings</w:t>
              </w:r>
            </w:hyperlink>
          </w:p>
        </w:tc>
        <w:tc>
          <w:tcPr>
            <w:tcW w:w="500" w:type="dxa"/>
            <w:vAlign w:val="bottom"/>
            <w:tcBorders>
              <w:top w:val="single" w:sz="8" w:color="0000EE"/>
            </w:tcBorders>
            <w:gridSpan w:val="3"/>
          </w:tcPr>
          <w:p>
            <w:pPr>
              <w:spacing w:after="0"/>
              <w:rPr>
                <w:sz w:val="24"/>
                <w:szCs w:val="24"/>
                <w:color w:val="auto"/>
              </w:rPr>
            </w:pPr>
          </w:p>
        </w:tc>
        <w:tc>
          <w:tcPr>
            <w:tcW w:w="844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i w:val="1"/>
                <w:iCs w:val="1"/>
                <w:color w:val="0000EE"/>
                <w:w w:val="90"/>
              </w:rPr>
            </w:pPr>
            <w:hyperlink w:anchor="page31">
              <w:r>
                <w:rPr>
                  <w:rFonts w:ascii="Arial" w:cs="Arial" w:eastAsia="Arial" w:hAnsi="Arial"/>
                  <w:sz w:val="18"/>
                  <w:szCs w:val="18"/>
                  <w:i w:val="1"/>
                  <w:iCs w:val="1"/>
                  <w:color w:val="0000EE"/>
                  <w:w w:val="90"/>
                </w:rPr>
                <w:t>Item 1A. Risk Factors</w:t>
              </w:r>
            </w:hyperlink>
          </w:p>
        </w:tc>
        <w:tc>
          <w:tcPr>
            <w:tcW w:w="92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i w:val="1"/>
                <w:iCs w:val="1"/>
                <w:color w:val="0000EE"/>
                <w:w w:val="90"/>
              </w:rPr>
            </w:pPr>
            <w:hyperlink w:anchor="page32">
              <w:r>
                <w:rPr>
                  <w:rFonts w:ascii="Arial" w:cs="Arial" w:eastAsia="Arial" w:hAnsi="Arial"/>
                  <w:sz w:val="18"/>
                  <w:szCs w:val="18"/>
                  <w:i w:val="1"/>
                  <w:iCs w:val="1"/>
                  <w:color w:val="0000EE"/>
                  <w:w w:val="90"/>
                </w:rPr>
                <w:t>Item 6.</w:t>
              </w:r>
            </w:hyperlink>
          </w:p>
        </w:tc>
        <w:tc>
          <w:tcPr>
            <w:tcW w:w="10320" w:type="dxa"/>
            <w:vAlign w:val="bottom"/>
            <w:gridSpan w:val="18"/>
          </w:tcPr>
          <w:p>
            <w:pPr>
              <w:ind w:left="40"/>
              <w:spacing w:after="0"/>
              <w:rPr>
                <w:rFonts w:ascii="Arial" w:cs="Arial" w:eastAsia="Arial" w:hAnsi="Arial"/>
                <w:sz w:val="18"/>
                <w:szCs w:val="18"/>
                <w:i w:val="1"/>
                <w:iCs w:val="1"/>
                <w:color w:val="0000EE"/>
              </w:rPr>
            </w:pPr>
            <w:hyperlink w:anchor="page32">
              <w:r>
                <w:rPr>
                  <w:rFonts w:ascii="Arial" w:cs="Arial" w:eastAsia="Arial" w:hAnsi="Arial"/>
                  <w:sz w:val="18"/>
                  <w:szCs w:val="18"/>
                  <w:i w:val="1"/>
                  <w:i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1008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2017</w:t>
            </w:r>
          </w:p>
        </w:tc>
      </w:tr>
      <w:tr>
        <w:trPr>
          <w:trHeight w:val="384"/>
        </w:trPr>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ind w:left="76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113,584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63,707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164,393</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177,001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162,696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169,242</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34,054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30,967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31,548</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163,310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143,440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154,411</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36,682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36,180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32,598</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26,516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36,242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28,765</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551,147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473,232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580,957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45,605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39,875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43,319</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62,098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54,881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57,959</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288,773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253,585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254,760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43,974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31,708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32,420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Non-current notes receivable,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23,343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39,365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28,377</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16,856</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16,625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37,187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9,715</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1,042,562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964,500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1,024,363</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8"/>
        </w:trPr>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60,207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68,694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61,543</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Customer layaway deposits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10,686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11,032</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70,893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78,423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72,575</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Long-term debt, net</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294,761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278,936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284,807</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7,055</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374,499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365,618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364,437</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63"/>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8"/>
              </w:rPr>
              <w:t>51,494,246 as of December 31, 2017; 51,306,608 as of December 31, 2016; and 51,427,832 as of September 30, 2017</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514</w:t>
            </w:r>
          </w:p>
        </w:tc>
      </w:tr>
      <w:tr>
        <w:trPr>
          <w:trHeight w:val="157"/>
        </w:trPr>
        <w:tc>
          <w:tcPr>
            <w:tcW w:w="7780" w:type="dxa"/>
            <w:vAlign w:val="bottom"/>
          </w:tcPr>
          <w:p>
            <w:pPr>
              <w:ind w:left="500"/>
              <w:spacing w:after="0" w:line="157" w:lineRule="exact"/>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7780" w:type="dxa"/>
            <w:vAlign w:val="bottom"/>
          </w:tcPr>
          <w:p>
            <w:pPr>
              <w:ind w:left="500"/>
              <w:spacing w:after="0"/>
              <w:rPr>
                <w:sz w:val="20"/>
                <w:szCs w:val="20"/>
                <w:color w:val="auto"/>
              </w:rPr>
            </w:pPr>
            <w:r>
              <w:rPr>
                <w:rFonts w:ascii="Arial" w:cs="Arial" w:eastAsia="Arial" w:hAnsi="Arial"/>
                <w:sz w:val="14"/>
                <w:szCs w:val="14"/>
                <w:color w:val="auto"/>
              </w:rPr>
              <w:t>2,970,171</w:t>
            </w: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351,110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319,825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348,532</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364,414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326,973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351,666</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(44,902)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(47,577)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(38,367)</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671,167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599,764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662,375</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r>
      <w:tr>
        <w:trPr>
          <w:trHeight w:val="250"/>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668,063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598,882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659,926</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1,042,562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964,500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1,024,363</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379"/>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left="720"/>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4"/>
                <w:szCs w:val="24"/>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9"/>
              <w:spacing w:after="0"/>
              <w:rPr>
                <w:sz w:val="20"/>
                <w:szCs w:val="20"/>
                <w:color w:val="auto"/>
              </w:rPr>
            </w:pPr>
            <w:r>
              <w:rPr>
                <w:rFonts w:ascii="Arial" w:cs="Arial" w:eastAsia="Arial" w:hAnsi="Arial"/>
                <w:sz w:val="14"/>
                <w:szCs w:val="14"/>
                <w:i w:val="1"/>
                <w:iCs w:val="1"/>
                <w:color w:val="auto"/>
                <w:w w:val="92"/>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113,588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111,513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76,360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69,013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204,508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192,624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71,732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10,337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8,344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122,427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111,965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83,610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77,646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6,373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102,690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97,869</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19,737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5,565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19,792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13,048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12,355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8,266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12,133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12,748</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7,165</w:t>
            </w:r>
          </w:p>
        </w:tc>
      </w:tr>
      <w:tr>
        <w:trPr>
          <w:trHeight w:val="257"/>
        </w:trPr>
        <w:tc>
          <w:tcPr>
            <w:tcW w:w="8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r>
      <w:tr>
        <w:trPr>
          <w:trHeight w:val="270"/>
        </w:trPr>
        <w:tc>
          <w:tcPr>
            <w:tcW w:w="8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54,158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55,682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54,214</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379"/>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3"/>
          </w:tcPr>
          <w:p>
            <w:pPr>
              <w:jc w:val="center"/>
              <w:ind w:left="21"/>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12,133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Foreign currency translation loss, net of income tax expense for our investment in unconsolidated affiliate of $205 and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$444 for the three months ended December 31, 2017 and 2016, respectively</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(6,575)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(6,575)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(3,465)</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3,573</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EZCORP, Inc.</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6,213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3,677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9"/>
          </w:tcPr>
          <w:p>
            <w:pPr>
              <w:jc w:val="center"/>
              <w:ind w:right="4"/>
              <w:spacing w:after="0"/>
              <w:rPr>
                <w:sz w:val="20"/>
                <w:szCs w:val="20"/>
                <w:color w:val="auto"/>
              </w:rPr>
            </w:pPr>
            <w:r>
              <w:rPr>
                <w:rFonts w:ascii="Arial" w:cs="Arial" w:eastAsia="Arial" w:hAnsi="Arial"/>
                <w:sz w:val="14"/>
                <w:szCs w:val="14"/>
                <w:b w:val="1"/>
                <w:bCs w:val="1"/>
                <w:color w:val="auto"/>
                <w:w w:val="91"/>
              </w:rPr>
              <w:t>(Unaudited, except balances as of September 30, 2016)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2016</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54,099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318,723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319,808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594,205</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3860" w:type="dxa"/>
            <w:vAlign w:val="bottom"/>
          </w:tcPr>
          <w:p>
            <w:pPr>
              <w:ind w:left="280"/>
              <w:spacing w:after="0"/>
              <w:rPr>
                <w:sz w:val="20"/>
                <w:szCs w:val="20"/>
                <w:color w:val="auto"/>
              </w:rPr>
            </w:pPr>
            <w:r>
              <w:rPr>
                <w:rFonts w:ascii="Arial" w:cs="Arial" w:eastAsia="Arial" w:hAnsi="Arial"/>
                <w:sz w:val="16"/>
                <w:szCs w:val="16"/>
                <w:color w:val="auto"/>
                <w:w w:val="97"/>
              </w:rPr>
              <w:t>Taxes paid related to net share settlement of equity</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80"/>
              <w:spacing w:after="0"/>
              <w:rPr>
                <w:sz w:val="20"/>
                <w:szCs w:val="20"/>
                <w:color w:val="auto"/>
              </w:rPr>
            </w:pPr>
            <w:r>
              <w:rPr>
                <w:rFonts w:ascii="Arial" w:cs="Arial" w:eastAsia="Arial" w:hAnsi="Arial"/>
                <w:sz w:val="16"/>
                <w:szCs w:val="16"/>
                <w:color w:val="auto"/>
              </w:rPr>
              <w:t>awards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7,038</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December 31, 2016</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319,825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326,973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598,882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860" w:type="dxa"/>
            <w:vAlign w:val="bottom"/>
          </w:tcPr>
          <w:p>
            <w:pPr>
              <w:spacing w:after="0"/>
              <w:rPr>
                <w:sz w:val="23"/>
                <w:szCs w:val="23"/>
                <w:color w:val="auto"/>
              </w:rPr>
            </w:pPr>
          </w:p>
        </w:tc>
        <w:tc>
          <w:tcPr>
            <w:tcW w:w="19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9"/>
          </w:tcPr>
          <w:p>
            <w:pPr>
              <w:jc w:val="center"/>
              <w:ind w:right="4"/>
              <w:spacing w:after="0"/>
              <w:rPr>
                <w:sz w:val="20"/>
                <w:szCs w:val="20"/>
                <w:color w:val="auto"/>
              </w:rPr>
            </w:pPr>
            <w:r>
              <w:rPr>
                <w:rFonts w:ascii="Arial" w:cs="Arial" w:eastAsia="Arial" w:hAnsi="Arial"/>
                <w:sz w:val="14"/>
                <w:szCs w:val="14"/>
                <w:b w:val="1"/>
                <w:bCs w:val="1"/>
                <w:color w:val="auto"/>
                <w:w w:val="91"/>
              </w:rPr>
              <w:t>(Unaudited, except balances as of September 30, 2017)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2017</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348,532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351,666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659,926</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860" w:type="dxa"/>
            <w:vAlign w:val="bottom"/>
          </w:tcPr>
          <w:p>
            <w:pPr>
              <w:ind w:left="280"/>
              <w:spacing w:after="0"/>
              <w:rPr>
                <w:sz w:val="20"/>
                <w:szCs w:val="20"/>
                <w:color w:val="auto"/>
              </w:rPr>
            </w:pPr>
            <w:r>
              <w:rPr>
                <w:rFonts w:ascii="Arial" w:cs="Arial" w:eastAsia="Arial" w:hAnsi="Arial"/>
                <w:sz w:val="16"/>
                <w:szCs w:val="16"/>
                <w:color w:val="auto"/>
                <w:w w:val="97"/>
              </w:rPr>
              <w:t>Taxes paid related to net share settlement of equity</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80"/>
              <w:spacing w:after="0"/>
              <w:rPr>
                <w:sz w:val="20"/>
                <w:szCs w:val="20"/>
                <w:color w:val="auto"/>
              </w:rPr>
            </w:pPr>
            <w:r>
              <w:rPr>
                <w:rFonts w:ascii="Arial" w:cs="Arial" w:eastAsia="Arial" w:hAnsi="Arial"/>
                <w:sz w:val="16"/>
                <w:szCs w:val="16"/>
                <w:color w:val="auto"/>
              </w:rPr>
              <w:t>awards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12,748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12,133</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December 31, 2017</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364,414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668,063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379"/>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12,133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7,038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6,373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Other adjustments</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(3,856)</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(21,948)</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net of excess tax benefit from stock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5,004</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17,368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(5,290)</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(169,666)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(156,457)</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103,041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91,283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67,144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64,430</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7,831</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(66,712)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4,761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164,393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65,737</w:t>
            </w:r>
          </w:p>
        </w:tc>
      </w:tr>
      <w:tr>
        <w:trPr>
          <w:trHeight w:val="33"/>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113,584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63,707</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72,649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68,071</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reinvestment acquisition of additional ownership in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Deferred and contingent consideration</w:t>
            </w: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00"/>
          </w:cols>
          <w:pgMar w:left="240" w:top="121"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spacing w:after="0" w:line="13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accompanying financial statements should be read in conjunction with the consolidated financial statements and notes included in our Annual Report on Form 10-K for the year ended September 30, 2017. The balance sheet as of September 30, 2017 has been derived from the audited financial statements at that date but does not include all of the information and footnotes required by GAAP for complete financial statements.</w:t>
      </w:r>
    </w:p>
    <w:p>
      <w:pPr>
        <w:spacing w:after="0" w:line="1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business is subject to seasonal variations, and operating results for the three months ended December 31, 2017 and 2016 (the "current quarter" or "current three months" and "prior-year quarter," respectively) are not necessarily indicative of the results of operations for the full fiscal year.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significant accounting policies as described in our Annual Report on Form 10-K for the year ended September 30,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Prior Period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Certain reclassifications of prior period amounts have been made. These reclassifications were made to conform to the current period presentation.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22, 2017, the Tax Cuts and Jobs Act of 2017 (the "Act") was signed into law. Among other things, the Act reduces the U.S. federal corporate tax rate from 35% to 21%, requires companies to pay a one-time transition tax on earnings of certain foreign subsidiaries that were previously tax deferred and creates new taxes on certain foreign sourced earnings. The corporate tax rate reduction is effective as of January 1, 2018 and, accordingly, will reduce our current fiscal year federal statutory rate to a blended rate of 24.5%, and then to 21% beginning in fiscal 2019. As of December 31, 2017, we have not completed our accounting for the tax effects of enactment of the Act; however, as described below, we have made a reasonable estimate of the effects on our existing deferred tax balances and the one-time transition tax. We recognized a provisional amount of $2.8 million, as discussed below, for the revaluation of our deferred tax assets and liabilities upon enactment of the Act, which is included as a component of "Income tax expense" in our condensed consolidated statements of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Deferred tax assets and liabilities: We remeasured certain deferred tax assets and liabilities based on the rates at which they are expected to reverse in the future, which is generally either 24.5% or 21%, depending on whether they are expected to reverse in fiscal 2018 or in future fiscal years. We also recorded a valuation allowance against certain foreign tax credit carryforwards which management does not believe will be realized based on changes in the taxation of dividends of foreign subsidiaries in the Act. However, we are still analyzing certain aspects of the Act and refining our calculations, which could affect the measurement of these balances or give rise to new deferred tax amounts. The provisional amount recorded related to the remeasurement of our deferred tax balances was $2.8 million.</w:t>
      </w:r>
    </w:p>
    <w:p>
      <w:pPr>
        <w:spacing w:after="0" w:line="124" w:lineRule="exact"/>
        <w:rPr>
          <w:rFonts w:ascii="Arial" w:cs="Arial" w:eastAsia="Arial" w:hAnsi="Arial"/>
          <w:sz w:val="17"/>
          <w:szCs w:val="17"/>
          <w:color w:val="auto"/>
        </w:rPr>
      </w:pPr>
    </w:p>
    <w:p>
      <w:pPr>
        <w:ind w:left="660" w:right="4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Foreign tax effects: The one-time transition tax is based on our total post-1986 earnings and profits ("E&amp;P") for which we have previously deferred U.S. income taxes. We have estimated that we will not owe any transition tax as we have foreign tax credits sufficient to cover the tax that we estimate will be due on the deferred earnings of our foreign subsidiaries. We have not yet completed our calculation of the total post-1986 foreign E&amp;P for these foreign subsidiaries. Further, the transition tax is based in part on the amount of those earnings held in cash and other specified assets. This amount may change when we finalize the calculation of post-1986 foreign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and Significant Accounting Policies</w:t>
      </w:r>
    </w:p>
    <w:p>
      <w:pPr>
        <w:spacing w:after="0" w:line="239" w:lineRule="exact"/>
        <w:rPr>
          <w:sz w:val="20"/>
          <w:szCs w:val="20"/>
          <w:color w:val="auto"/>
        </w:rPr>
      </w:pPr>
    </w:p>
    <w:p>
      <w:pPr>
        <w:ind w:left="660" w:right="20" w:hanging="328"/>
        <w:spacing w:after="0" w:line="28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June 2016, the Financial Accounting Standards Board ("FASB") issued Accounting Standards Update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the ASU which is effective for our fiscal 2021.</w:t>
      </w:r>
    </w:p>
    <w:p>
      <w:pPr>
        <w:spacing w:after="0" w:line="180"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are evaluating upgrades to our third party software solution concurrently with our adoption. We will complete our implementation to allow for proper recognition, presentation and disclosure upon adoption of the ASU which is effective for our fiscal 2020.</w:t>
      </w:r>
    </w:p>
    <w:p>
      <w:pPr>
        <w:spacing w:after="0" w:line="112" w:lineRule="exact"/>
        <w:rPr>
          <w:rFonts w:ascii="Arial" w:cs="Arial" w:eastAsia="Arial" w:hAnsi="Arial"/>
          <w:sz w:val="16"/>
          <w:szCs w:val="16"/>
          <w:color w:val="auto"/>
        </w:rPr>
      </w:pPr>
    </w:p>
    <w:p>
      <w:pPr>
        <w:ind w:left="66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ASU 2014-09, and the subsequently issued ASUs modifying or clarifying ASU 2014-09,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We are evaluating the impact that will result from adopting ASU 2014-09 on our consolidated financial position, results of operations, cash flows and disclosure requirements. We currently anticipate adopting the ASU using the modified retrospective method. We do not believe the adoption will have an impact on our pawn service charges recognition as we do not believe such charges are within the scope of the ASU. Further, we have not identified any impacts to our financial statements that we believe will be material as a result of the adoption of the ASU for other revenue streams, although we continue to evaluate the impact of adoption. We believe we are following an appropriate timeline to allow for proper recognition, presentation and disclosure upon adoption of the ASU which is effective for our fiscal 2019.</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refer to Note 1, Summary of Significant Accounting Policies, of Notes to Consolidated Financial Statements included in "Part II, Item 8 — Financial Statements and Supplementary Data" of our Annual Report on Form 10-K for the year ended September 30, 2017 for discussion of our significant accounting policies and other accounting pronouncements issued but not yet adopted.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6, 2017, we completed the acquisition of 100% of the outstanding stock of Camira Administration Corp. and subsidiaries (“GPMX”), a business that owns and operates 112 stores located in Guatemala, El Salvador, Honduras and Peru. The GPMX acquisition significantly expands our store base into Latin American countries outside of Mexico and provides us with a platform for further growth in the region. Under the terms of the stock purchase agreement ("SPA"), we paid $53.4 million in cash upon closing and, subsequent to the closing, paid $6.7 million to satisfy the acquired company's indebtedness to members of the seller’s affiliated group. The SPA specified a further $2.25 million to be paid contingent upon performance of GPMX’s business during a period up to 24 months following the closing date, and the business achieved the specified performance goal during the first quarter of fiscal 2018. Consequently, we made a final payment of $1.6 million in January 2018 in satisfaction of the contingent purchase price obligation, after reduction for certain adjustments under the SPA, yielding a total purchase price of $61.7 million.</w:t>
      </w:r>
    </w:p>
    <w:p>
      <w:pPr>
        <w:spacing w:after="0" w:line="125"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On December 4, 2017, we acquired 21 pawn stores located in the Mexican state of Sinaloa and operating under the name "Bazareño," further expanding our geographic footprint within Mexico. The Bazareño stores make up the largest chain of pawn stores in Culiacan, the capital city of Sinaloa, giving EZCORP the number one position in that market with more than double the store count of the nearest competitor and an important strategic presence in the northwest region of Mexico. The majority of the purchase price was paid in cash, subject to finalization of deferred amounts.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the completion of the GPMX acquisition, we have combined the results of that business with the results of our Mexico pawn business, and that reporting segment is now referred to as "Latin America Pawn." See Note 9, Segment Information, below. The acquisitions described above were both attributable to our Latin America Pawn segment and have been aggregated below. The allocation of the consideration for the net acquired assets from these business combinations was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Earning assets</w:t>
            </w:r>
          </w:p>
        </w:tc>
        <w:tc>
          <w:tcPr>
            <w:tcW w:w="10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19,594</w:t>
            </w:r>
          </w:p>
        </w:tc>
      </w:tr>
      <w:tr>
        <w:trPr>
          <w:trHeight w:val="27"/>
        </w:trPr>
        <w:tc>
          <w:tcPr>
            <w:tcW w:w="8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intangible assets and other assets, net*</w:t>
            </w:r>
          </w:p>
        </w:tc>
        <w:tc>
          <w:tcPr>
            <w:tcW w:w="10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13,153</w:t>
            </w:r>
          </w:p>
        </w:tc>
      </w:tr>
      <w:tr>
        <w:trPr>
          <w:trHeight w:val="27"/>
        </w:trPr>
        <w:tc>
          <w:tcPr>
            <w:tcW w:w="8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Accounts payable, deferred taxes and other liabilities</w:t>
            </w:r>
          </w:p>
        </w:tc>
        <w:tc>
          <w:tcPr>
            <w:tcW w:w="10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(7,349)</w:t>
            </w:r>
          </w:p>
        </w:tc>
      </w:tr>
      <w:tr>
        <w:trPr>
          <w:trHeight w:val="27"/>
        </w:trPr>
        <w:tc>
          <w:tcPr>
            <w:tcW w:w="8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66,641</w:t>
            </w:r>
          </w:p>
        </w:tc>
      </w:tr>
      <w:tr>
        <w:trPr>
          <w:trHeight w:val="20"/>
        </w:trPr>
        <w:tc>
          <w:tcPr>
            <w:tcW w:w="8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Intangible assets consist primarily of $11.1 million in trade names acquired with indefinite useful lives.</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contributing to the recognition of goodwill, which is recorded in our Latin America Pawn segment, were based on several strategic and synergistic benefits we expect to realize from the acquisition, including expansion of our store base as well as the ability to further leverage our pawn expertise, investments in information technology and other back office and support functions of our existing Mexico pawn business. We expect none of the goodwill resulting from these business combinations will be deductible for tax purposes.</w:t>
      </w:r>
    </w:p>
    <w:p>
      <w:pPr>
        <w:spacing w:after="0" w:line="13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results of GPMX have been included in our condensed consolidated financial statements from October 7, 2017 through December 31, 2017, and the results of the Bazareño stores have been included in our condensed consolidated financial statements from December 5, 2017 through December 31, 2017, both in our Latin America Pawn segment. Pro forma results of operations have not been presented because it is impracticable to do so due to a variety of limitations, including a lack of readily available historical GAAP basis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incurred $0.4 million in acquisition-related costs during the current quarter, which were expensed as incurred and included under “Administrative” expense in our condensed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318"/>
        </w:trPr>
        <w:tc>
          <w:tcPr>
            <w:tcW w:w="8340" w:type="dxa"/>
            <w:vAlign w:val="bottom"/>
          </w:tcPr>
          <w:p>
            <w:pPr>
              <w:spacing w:after="0"/>
              <w:rPr>
                <w:sz w:val="24"/>
                <w:szCs w:val="24"/>
                <w:color w:val="auto"/>
              </w:rPr>
            </w:pPr>
          </w:p>
        </w:tc>
        <w:tc>
          <w:tcPr>
            <w:tcW w:w="3080" w:type="dxa"/>
            <w:vAlign w:val="bottom"/>
            <w:gridSpan w:val="5"/>
          </w:tcPr>
          <w:p>
            <w:pPr>
              <w:jc w:val="right"/>
              <w:ind w:right="251"/>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EZCORP (A)</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12,970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EZCORP (C)</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12,748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54,464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9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55,682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54,214</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EZCORP:</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per share (C / D)</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0.13</w:t>
            </w:r>
          </w:p>
        </w:tc>
      </w:tr>
      <w:tr>
        <w:trPr>
          <w:trHeight w:val="109"/>
        </w:trPr>
        <w:tc>
          <w:tcPr>
            <w:tcW w:w="8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EZCORP:</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per share (C / 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Potential common shares excluded from the calculation of diluted earnings per share above, exclusive of the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potential impact of the 2024 Convertible Notes: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 Convertible Notes Warrants***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9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15,129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16,605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the dilutive impact of share-based awards as well as the 2024 Convertible Notes, the terms and conditions of which are discussed in Note 6.</w:t>
      </w:r>
    </w:p>
    <w:p>
      <w:pPr>
        <w:spacing w:after="0" w:line="163" w:lineRule="exact"/>
        <w:rPr>
          <w:sz w:val="20"/>
          <w:szCs w:val="20"/>
          <w:color w:val="auto"/>
        </w:rPr>
      </w:pPr>
    </w:p>
    <w:p>
      <w:pPr>
        <w:ind w:left="340" w:right="1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6 for discussion of the terms and conditions of these potential common shares.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December 31, 2017, we owned 156,552,484 shares, or approximately 32%, of our unconsolidated affiliate Cash Converters International Limited ("Cash Converters International"). The following tables present summary financial information for Cash Converters International’s most recently reported results as of December 31, 2017 after translation to U.S. dollars: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155,749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173,830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150,843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141,028</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306,592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314,858</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83,275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48,698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51,873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200,507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179,710</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306,592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314,858</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1"/>
              </w:rPr>
              <w:t>Fiscal Year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318"/>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204,684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225,712</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130,943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146,286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profit (loss)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15,546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r>
      <w:tr>
        <w:trPr>
          <w:trHeight w:val="27"/>
        </w:trPr>
        <w:tc>
          <w:tcPr>
            <w:tcW w:w="8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current quarter, the fair value of our investment in Cash Converters International declined below its carrying value. We considered the guidance in FASB ASC 320-10-S99-1 in evaluating whether the impairment was other-than-temporary and whether to measure and recognize any other-than-temporary impairment. We noted the primary factors in determining that the decline in fair value was not other-than-temporary were the length of time and the extent to which the market value has been less than carrying value as well as our intent and ability to hold our investment in Cash Converters International for a period of time sufficient to allow for any anticipated recovery in market value. We do not believe the decline in fair value is other-than-temporary. We continue to monitor the fair value of our investment in Cash Converters International for other-than-temporary impairments in future reporting periods and may record an impairment charge should the fair value of our investment in Cash Converters International remain below its carrying value for an extended period of time. See Note 5 for the fair value and carrying value of our investment in Cash Converters International.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(liabilities) that were carried and measured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vMerge w:val="restart"/>
          </w:tcPr>
          <w:p>
            <w:pPr>
              <w:spacing w:after="0"/>
              <w:rPr>
                <w:sz w:val="14"/>
                <w:szCs w:val="14"/>
                <w:color w:val="auto"/>
              </w:rPr>
            </w:pPr>
          </w:p>
        </w:tc>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Accounts payable, accrued expenses and other</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and contingent consideration</w:t>
            </w: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measured the fair value of the 2019 Convertible Notes Hedges and the 2019 Cash Convertible Notes Embedded Derivative using the Black-Scholes-Merton model based on observable Level 1 and Level 2 inputs such as conversion price of underlying shares, current share price, implied volatility, risk free interest rate and other factors. The volatility input used as of December 31, 2017 was 36% based on observed market inputs. See Note 2 for discussion of the contingent consideration.</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7"/>
          </w:tcPr>
          <w:p>
            <w:pPr>
              <w:ind w:left="38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r>
      <w:tr>
        <w:trPr>
          <w:trHeight w:val="264"/>
        </w:trPr>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c>
          <w:tcPr>
            <w:tcW w:w="12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8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68,720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68,720</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22"/>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179,835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201,084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201,084</w:t>
            </w:r>
          </w:p>
        </w:tc>
        <w:tc>
          <w:tcPr>
            <w:tcW w:w="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99"/>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7"/>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4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center"/>
              <w:ind w:left="598"/>
              <w:spacing w:after="0"/>
              <w:rPr>
                <w:sz w:val="20"/>
                <w:szCs w:val="20"/>
                <w:color w:val="auto"/>
              </w:rPr>
            </w:pPr>
            <w:r>
              <w:rPr>
                <w:rFonts w:ascii="Arial" w:cs="Arial" w:eastAsia="Arial" w:hAnsi="Arial"/>
                <w:sz w:val="14"/>
                <w:szCs w:val="14"/>
                <w:b w:val="1"/>
                <w:bCs w:val="1"/>
                <w:color w:val="auto"/>
                <w:w w:val="93"/>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44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gridSpan w:val="2"/>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Level 1</w:t>
            </w:r>
          </w:p>
        </w:tc>
        <w:tc>
          <w:tcPr>
            <w:tcW w:w="12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4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75,545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76,012</w:t>
            </w:r>
          </w:p>
        </w:tc>
        <w:tc>
          <w:tcPr>
            <w:tcW w:w="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38,360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122"/>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200,728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221,950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221,950</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 Loan Facility</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48,408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49,160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49,160</w:t>
            </w:r>
          </w:p>
        </w:tc>
        <w:tc>
          <w:tcPr>
            <w:tcW w:w="60" w:type="dxa"/>
            <w:vAlign w:val="bottom"/>
          </w:tcPr>
          <w:p>
            <w:pPr>
              <w:spacing w:after="0"/>
              <w:rPr>
                <w:sz w:val="21"/>
                <w:szCs w:val="21"/>
                <w:color w:val="auto"/>
              </w:rPr>
            </w:pPr>
          </w:p>
        </w:tc>
      </w:tr>
      <w:tr>
        <w:trPr>
          <w:trHeight w:val="27"/>
        </w:trPr>
        <w:tc>
          <w:tcPr>
            <w:tcW w:w="4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4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60,975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74,262</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74,262</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122"/>
        </w:trPr>
        <w:tc>
          <w:tcPr>
            <w:tcW w:w="10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177,346</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193,811</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193,811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100,870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175,016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 short-term nature of cash and cash equivalents, pawn loans, pawn service charges receivable and current consumer loans, fees and interest receivable, we estimate that their carrying value approximates fair value. We consider our cash and cash equivalents to be measured using Level 1 inputs and our pawn loans, pawn service charges receivable and consumer loans, fees and interest receivable to be measured using Level 3 inputs. Significant increases or decreases in the underlying assumptions used to value pawn loans, pawn service charges receivable and consumer loans, fees and interest receivable could significantly increase or decrease these fair value estimates.</w:t>
      </w:r>
    </w:p>
    <w:p>
      <w:pPr>
        <w:spacing w:after="0" w:line="13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Subsequent to the sale of Prestaciones Finmart, S.A.P.I. de C.V., SOFOM, E.N.R. ("Grupo Finmart") to Alpha Holding, S.A. de C.V. (“AlphaCredit”) in September 2016, we determined that we retained a variable interest in Grupo Finmart including notes receivable. We determined that we are not the primary beneficiary of Grupo Finmart subsequent to its disposition as we lack a controlling financial interest in Grupo Finmart. We measured the fair value of the notes receivable as of December 31, 2017 under a discounted cash flow approach considering the estimated credit ratings for Grupo Finmart and AlphaCredit and as determined with external consultation, with discount rates ranging from 10% to 16%. Certain of the significant inputs used for the valuation were not observable in the market. Included in the fair value of the notes receivable is the estimated fair value of the deferred compensation fee negotiated in September 2017, of which the ultimate amount to be received is dependent upon the timing of payment of the notes receivable. Significant increases or decreases in the underlying assumptions used to value the notes receivable could significantly increase or decrease these fair value estimates.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measured the fair value of the 2019 Convertible Notes and the 2024 Convertible Notes using quoted price inputs from Bloomberg. Neither the 2019 Convertible Notes nor the 2014 Convertible Notes are actively traded, and thus the price inputs represent a Level 2 measurement. The quoted price inputs obtained from Bloomberg are highly variable from day to day, and thus the fair value estimates disclosed above could significantly increase or decrease.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long-term debt instruments outstanding as well as future principal payments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10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vMerge w:val="restart"/>
          </w:tcPr>
          <w:p>
            <w:pPr>
              <w:jc w:val="right"/>
              <w:ind w:right="65"/>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6"/>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84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Amount</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Costs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2.125% Cash</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Senior Notes Due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(15,165)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179,835</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230,000</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(29,272)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200,728</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195,000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(17,654)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177,346</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7"/>
              </w:rPr>
              <w:t>Cash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w w:val="94"/>
              </w:rPr>
              <w:t>Senior Notes Due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2019 Embedded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Derivative</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12,863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12,863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6"/>
                <w:szCs w:val="16"/>
                <w:color w:val="auto"/>
              </w:rPr>
              <w:t>29,800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29,800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jc w:val="right"/>
              <w:ind w:right="23"/>
              <w:spacing w:after="0"/>
              <w:rPr>
                <w:sz w:val="20"/>
                <w:szCs w:val="20"/>
                <w:color w:val="auto"/>
              </w:rPr>
            </w:pPr>
            <w:r>
              <w:rPr>
                <w:rFonts w:ascii="Arial" w:cs="Arial" w:eastAsia="Arial" w:hAnsi="Arial"/>
                <w:sz w:val="16"/>
                <w:szCs w:val="16"/>
                <w:color w:val="auto"/>
                <w:w w:val="89"/>
              </w:rPr>
              <w:t>6,591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2.875%</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Senior Notes Due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(41,687)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102,063</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(42,880)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100,870</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Term Loan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Facility</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48,408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351,613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(56,852)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294,761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309,800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(30,864)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278,936</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345,341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(60,534)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284,807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0"/>
          </w:tcPr>
          <w:p>
            <w:pPr>
              <w:jc w:val="center"/>
              <w:ind w:right="3"/>
              <w:spacing w:after="0"/>
              <w:rPr>
                <w:sz w:val="20"/>
                <w:szCs w:val="20"/>
                <w:color w:val="auto"/>
              </w:rPr>
            </w:pPr>
            <w:r>
              <w:rPr>
                <w:rFonts w:ascii="Arial" w:cs="Arial" w:eastAsia="Arial" w:hAnsi="Arial"/>
                <w:sz w:val="14"/>
                <w:szCs w:val="14"/>
                <w:b w:val="1"/>
                <w:bCs w:val="1"/>
                <w:color w:val="auto"/>
                <w:w w:val="92"/>
              </w:rPr>
              <w:t>Principal Payment Schedule</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Less Than 1 Year</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4"/>
          </w:tcPr>
          <w:p>
            <w:pPr>
              <w:jc w:val="center"/>
              <w:ind w:left="205"/>
              <w:spacing w:after="0"/>
              <w:rPr>
                <w:sz w:val="20"/>
                <w:szCs w:val="20"/>
                <w:color w:val="auto"/>
              </w:rPr>
            </w:pPr>
            <w:r>
              <w:rPr>
                <w:rFonts w:ascii="Arial" w:cs="Arial" w:eastAsia="Arial" w:hAnsi="Arial"/>
                <w:sz w:val="14"/>
                <w:szCs w:val="14"/>
                <w:b w:val="1"/>
                <w:bCs w:val="1"/>
                <w:color w:val="auto"/>
                <w:w w:val="91"/>
              </w:rPr>
              <w:t>1 - 3 Years</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3 - 5 Years</w:t>
            </w: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More Than 5 Years</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2"/>
              </w:rPr>
              <w:t>2.125% Cash Convertible Senior Notes Due 2019*</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9"/>
              </w:rPr>
              <w:t>195,000</w:t>
            </w:r>
          </w:p>
        </w:tc>
        <w:tc>
          <w:tcPr>
            <w:tcW w:w="48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gridSpan w:val="7"/>
          </w:tcPr>
          <w:p>
            <w:pPr>
              <w:ind w:left="40"/>
              <w:spacing w:after="0"/>
              <w:rPr>
                <w:sz w:val="20"/>
                <w:szCs w:val="20"/>
                <w:color w:val="auto"/>
              </w:rPr>
            </w:pPr>
            <w:r>
              <w:rPr>
                <w:rFonts w:ascii="Arial" w:cs="Arial" w:eastAsia="Arial" w:hAnsi="Arial"/>
                <w:sz w:val="18"/>
                <w:szCs w:val="18"/>
                <w:color w:val="auto"/>
                <w:w w:val="99"/>
              </w:rPr>
              <w:t>2.875% Convertible Senior Notes Due 2024*</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143,750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jc w:val="right"/>
              <w:ind w:right="37"/>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338,750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9"/>
              </w:rPr>
              <w:t>195,000</w:t>
            </w:r>
          </w:p>
        </w:tc>
        <w:tc>
          <w:tcPr>
            <w:tcW w:w="48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the potential impact of the embedded derivative.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their terms prior to such date.</w:t>
      </w:r>
    </w:p>
    <w:p>
      <w:pPr>
        <w:spacing w:after="0" w:line="10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2024 Convertible Notes are convertible into cash or shares of Class A Non-Voting Common Stock ("Class A Common Stock"), or any combination thereof, at our option subject to satisfaction of certain conditions and during the periods described in the 2017 Indenture, based on an initial conversion rate of 100 shares of Class A Common Stock per $1,000 principal amount of 2024 Convertible Notes (equivalent to an initial conversion price of $10.00 per share of our Class A Common Stock). We account for the Class A Common Stock issuable upon conversion under the treasury stock method. To the extent our average share price is over $10.00 per share for any fiscal quarter, we are required to recognize incremental dilution of our earnings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52525"/>
        </w:rPr>
        <w:t xml:space="preserve">In June 2014, we issued $200 million aggregate principal amount of 2.125% Cash Convertible Senior </w:t>
      </w:r>
      <w:r>
        <w:rPr>
          <w:rFonts w:ascii="Arial" w:cs="Arial" w:eastAsia="Arial" w:hAnsi="Arial"/>
          <w:sz w:val="17"/>
          <w:szCs w:val="17"/>
          <w:color w:val="000000"/>
        </w:rPr>
        <w:t>Notes Due 2019 (the "2019 Convertible Notes"), with</w:t>
      </w:r>
      <w:r>
        <w:rPr>
          <w:rFonts w:ascii="Arial" w:cs="Arial" w:eastAsia="Arial" w:hAnsi="Arial"/>
          <w:sz w:val="17"/>
          <w:szCs w:val="17"/>
          <w:color w:val="252525"/>
        </w:rPr>
        <w:t xml:space="preserve"> </w:t>
      </w:r>
      <w:r>
        <w:rPr>
          <w:rFonts w:ascii="Arial" w:cs="Arial" w:eastAsia="Arial" w:hAnsi="Arial"/>
          <w:sz w:val="17"/>
          <w:szCs w:val="17"/>
          <w:color w:val="000000"/>
        </w:rPr>
        <w:t xml:space="preserve">an additional $30 million principal amount of 2019 Convertible Notes issued in July 2014. </w:t>
      </w:r>
      <w:r>
        <w:rPr>
          <w:rFonts w:ascii="Arial" w:cs="Arial" w:eastAsia="Arial" w:hAnsi="Arial"/>
          <w:sz w:val="17"/>
          <w:szCs w:val="17"/>
          <w:color w:val="252525"/>
        </w:rPr>
        <w:t>In</w:t>
      </w:r>
      <w:r>
        <w:rPr>
          <w:rFonts w:ascii="Arial" w:cs="Arial" w:eastAsia="Arial" w:hAnsi="Arial"/>
          <w:sz w:val="17"/>
          <w:szCs w:val="17"/>
          <w:color w:val="000000"/>
        </w:rPr>
        <w:t xml:space="preserve"> July 2017, we used $34.4 million of net proceeds from the 2024 Convertible Notes offering to repurchase and retire $35.0 million aggregate principal amount of 2019 Convertible Notes. All of the 2019 Convertible Notes were issued </w:t>
      </w:r>
      <w:r>
        <w:rPr>
          <w:rFonts w:ascii="Arial" w:cs="Arial" w:eastAsia="Arial" w:hAnsi="Arial"/>
          <w:sz w:val="17"/>
          <w:szCs w:val="17"/>
          <w:color w:val="252525"/>
        </w:rPr>
        <w:t>pursuant to an indenture dated June 23, 2014 (the "2014 Indenture") by and between us and Wells Fargo Bank, National Association, as the</w:t>
      </w:r>
      <w:r>
        <w:rPr>
          <w:rFonts w:ascii="Arial" w:cs="Arial" w:eastAsia="Arial" w:hAnsi="Arial"/>
          <w:sz w:val="17"/>
          <w:szCs w:val="17"/>
          <w:color w:val="000000"/>
        </w:rPr>
        <w:t xml:space="preserve"> </w:t>
      </w:r>
      <w:r>
        <w:rPr>
          <w:rFonts w:ascii="Arial" w:cs="Arial" w:eastAsia="Arial" w:hAnsi="Arial"/>
          <w:sz w:val="17"/>
          <w:szCs w:val="17"/>
          <w:color w:val="252525"/>
        </w:rPr>
        <w:t xml:space="preserve">trustee. The 2019 Convertible Notes were issued in a private offering </w:t>
      </w:r>
      <w:r>
        <w:rPr>
          <w:rFonts w:ascii="Arial" w:cs="Arial" w:eastAsia="Arial" w:hAnsi="Arial"/>
          <w:sz w:val="17"/>
          <w:szCs w:val="17"/>
          <w:color w:val="000000"/>
        </w:rPr>
        <w:t>and resold under Rule 144A under the Securities Act of 1933.</w:t>
      </w:r>
      <w:r>
        <w:rPr>
          <w:rFonts w:ascii="Arial" w:cs="Arial" w:eastAsia="Arial" w:hAnsi="Arial"/>
          <w:sz w:val="17"/>
          <w:szCs w:val="17"/>
          <w:color w:val="252525"/>
        </w:rPr>
        <w:t xml:space="preserve"> The 2019 Convertible Notes pay interest semi-annually in arrears at a rate of 2.125% per annum on June 15 and</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52525"/>
        </w:rPr>
        <w:t>December 15 of each year and mature on June 15, 2019 (the "2019 Maturity Date")</w:t>
      </w:r>
      <w:r>
        <w:rPr>
          <w:rFonts w:ascii="Arial" w:cs="Arial" w:eastAsia="Arial" w:hAnsi="Arial"/>
          <w:sz w:val="18"/>
          <w:szCs w:val="18"/>
          <w:color w:val="000000"/>
        </w:rPr>
        <w:t>, unless converted, redeemed or repurchased in accordance with their</w:t>
      </w:r>
      <w:r>
        <w:rPr>
          <w:rFonts w:ascii="Arial" w:cs="Arial" w:eastAsia="Arial" w:hAnsi="Arial"/>
          <w:sz w:val="18"/>
          <w:szCs w:val="18"/>
          <w:color w:val="252525"/>
        </w:rPr>
        <w:t xml:space="preserve"> </w:t>
      </w:r>
      <w:r>
        <w:rPr>
          <w:rFonts w:ascii="Arial" w:cs="Arial" w:eastAsia="Arial" w:hAnsi="Arial"/>
          <w:sz w:val="18"/>
          <w:szCs w:val="18"/>
          <w:color w:val="000000"/>
        </w:rPr>
        <w:t>terms prior to such date</w:t>
      </w:r>
      <w:r>
        <w:rPr>
          <w:rFonts w:ascii="Arial" w:cs="Arial" w:eastAsia="Arial" w:hAnsi="Arial"/>
          <w:sz w:val="18"/>
          <w:szCs w:val="18"/>
          <w:color w:val="252525"/>
        </w:rPr>
        <w:t>.</w:t>
      </w:r>
    </w:p>
    <w:p>
      <w:pPr>
        <w:spacing w:after="0" w:line="11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2019 Convertible Notes are convertible into cash, subject to satisfaction of certain conditions and during the periods described in the 2014 Indenture, based on an initial conversion rate of 62.2471 shares of Class A Common Stock per $1,000 principal amount of 2019 Convertible Notes (equivalent to an initial conversion price of approximately $16.065 per share of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2019 Convertible Notes, we purchased cash-settled call options (the “2019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2019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12.1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2019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2019 Convertible Notes. </w:t>
      </w:r>
      <w:r>
        <w:rPr>
          <w:rFonts w:ascii="Arial" w:cs="Arial" w:eastAsia="Arial" w:hAnsi="Arial"/>
          <w:sz w:val="16"/>
          <w:szCs w:val="16"/>
          <w:color w:val="252525"/>
        </w:rPr>
        <w:t>If we exercise the 2019 Convertible Notes</w:t>
      </w:r>
      <w:r>
        <w:rPr>
          <w:rFonts w:ascii="Arial" w:cs="Arial" w:eastAsia="Arial" w:hAnsi="Arial"/>
          <w:sz w:val="16"/>
          <w:szCs w:val="16"/>
          <w:color w:val="auto"/>
        </w:rPr>
        <w:t xml:space="preserve"> Hedges</w:t>
      </w:r>
      <w:r>
        <w:rPr>
          <w:rFonts w:ascii="Arial" w:cs="Arial" w:eastAsia="Arial" w:hAnsi="Arial"/>
          <w:sz w:val="16"/>
          <w:szCs w:val="16"/>
          <w:color w:val="252525"/>
        </w:rPr>
        <w:t>, the aggregate amount of cash we will receive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Option Counterparties will cover the aggregate amount of cash that we would be required to pay to the holders of the converted 2019 Convertible Notes,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the principal amount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with the issuance of the 2019 Convertible Notes, we also sold net-share-settled warrants (the “2019 Convertible Notes Warrants”) in privately negotiated transactions with the Option Counterparties. The 2019 Convertible Notes Warrants allow for the purchase of up to approximately 12.1</w:t>
      </w:r>
    </w:p>
    <w:p>
      <w:pPr>
        <w:spacing w:after="0" w:line="273" w:lineRule="auto"/>
        <w:rPr>
          <w:sz w:val="20"/>
          <w:szCs w:val="20"/>
          <w:color w:val="auto"/>
        </w:rPr>
      </w:pPr>
      <w:r>
        <w:rPr>
          <w:rFonts w:ascii="Arial" w:cs="Arial" w:eastAsia="Arial" w:hAnsi="Arial"/>
          <w:sz w:val="17"/>
          <w:szCs w:val="17"/>
          <w:color w:val="auto"/>
        </w:rPr>
        <w:t>million shares of our Class A Common Stock at a strike price of $20.83 per share. We account for the Class A Common Stock issuable upon exercise under the treasury stock method. As a result of the 2019 Convertible Notes Warrants and related transactions, we are required to recognize incremental dilution of our earnings per share to the extent our average share price is over $20.83 for any fiscal quarter. The 2019 Convertible Notes Warrants expire on various dates from September 2019 through February 2020 and must be settled in net shares of our Class A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May 1, 2010 our Board of Directors approved the adoption of the EZCORP, Inc. 2010 Long-Term Incentive Plan (the “2010 Plan”). As of September 30, 2017, the 2010 Plan permitted grants of options, restricted stock awards and stock appreciation rights covering up to 3,985,649 shares of our Class A Common Stock. In December 2017, the Board of Directors and the voting stockholder approved the addition of 1,100,000 shares to the 2010 Plan.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2017, we granted 1,308,533 restricted stock unit awards to employees and 84,250 restricted stock awards to non-employee directors with a grant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fair value of primarily $9.75 per share. Our long-term incentive awards are generally granted based on our share price as of October 1 each year,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$9.50 for these fiscal 2018 awards. For the awards granted to employees, 190,725 vest on September 30, 2018 and 1,117,808 vest on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subject to the achievement of certain earnings before interest, taxes, depreciation and amortization ("EBITDA") performance targets.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we considered the achievement of these performance targets probable. The awards granted to non-employee directors vest on September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2018 and are subject only to service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December 31, 2017 because we do not believe at this time that any loss is probable or that the amount of any probable loss can be reasonably estimated. The following is a description of significant proceedings.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Common Stock, filed a derivative action in the Court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30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 On March 4, 2016, the plaintiff filed a Second Amended Derivative Complaint against Mr. Roberts, Mr. Cohen, Madison Park, MS Pawn Corporation and MS Pawn Limited Partnership with EZCORP, Inc., as nominal defendant.</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23, 2017, the parties agreed to a mediated settlement of all remaining claims and entered into a Memorandum of Understanding regarding that settlement. Under the terms of the proposed settlement, a settlement payment of $6.5 million, less attorney fees awarded to the plaintiff’s counsel and administrative costs of settlement, will be paid to the Company. Of such amount, $5.5 million will be funded by the Company’s insurance carriers and $1.0 million will be funded by Madison Park LLC. After the completion of confirmatory discovery, the parties prepared and agreed to a Stipulation and Agreement of Settlement, Compromise and Release and other settlement papers, which were filed with the Court on January 11, 2018. A settlement fairness hearing, at which the Court will consider the fairness and adequacy of the parties’ proposed settlement, has been scheduled for April 3, 2018. The proposed settlement will not be final until approved by the Court.</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Federal Securities Litigation (WDT) </w:t>
      </w:r>
      <w:r>
        <w:rPr>
          <w:rFonts w:ascii="Arial" w:cs="Arial" w:eastAsia="Arial" w:hAnsi="Arial"/>
          <w:sz w:val="16"/>
          <w:szCs w:val="16"/>
          <w:color w:val="auto"/>
        </w:rPr>
        <w:t>— On July 20, 2015, Wu Winfred Huang, a purported holder of Class A Common Stock, for himself and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similarly situated holders of Class A Common Stock, filed a lawsuit in the United States District Court for the Western District of Texas styled </w:t>
      </w:r>
      <w:r>
        <w:rPr>
          <w:rFonts w:ascii="Arial" w:cs="Arial" w:eastAsia="Arial" w:hAnsi="Arial"/>
          <w:sz w:val="16"/>
          <w:szCs w:val="16"/>
          <w:i w:val="1"/>
          <w:iCs w:val="1"/>
          <w:color w:val="auto"/>
        </w:rPr>
        <w:t>Huang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EZCORP, Inc., et al. </w:t>
      </w:r>
      <w:r>
        <w:rPr>
          <w:rFonts w:ascii="Arial" w:cs="Arial" w:eastAsia="Arial" w:hAnsi="Arial"/>
          <w:sz w:val="16"/>
          <w:szCs w:val="16"/>
          <w:color w:val="auto"/>
        </w:rPr>
        <w:t>(Case No. 1:15-cv-00608-SS). The complaint names as defendants EZCORP, Inc., Stuart I. Grimshaw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 xml:space="preserve">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7"/>
          <w:szCs w:val="17"/>
          <w:i w:val="1"/>
          <w:iCs w:val="1"/>
          <w:color w:val="auto"/>
        </w:rPr>
        <w:t>In re EZCORP, Inc. Securities Litigation</w:t>
      </w:r>
      <w:r>
        <w:rPr>
          <w:rFonts w:ascii="Arial" w:cs="Arial" w:eastAsia="Arial" w:hAnsi="Arial"/>
          <w:sz w:val="17"/>
          <w:szCs w:val="17"/>
          <w:color w:val="auto"/>
        </w:rPr>
        <w:t xml:space="preserve"> (Master File No. 1:15-cv-00608-SS), and appointed the two plaintiffs as co-lead plaintiffs, with their respective counsel appointed as co-lead counsel.</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 The case is now in the discovery stage. We cannot predict the outcome of the litigation, but we intend to defend vigorously against all allegations and claims.</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2"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Following the acquisition of GPMX during the first quarter of fiscal 2018 (see Note 2), we have retitled our Mexico Pawn segment to "Latin America Pawn" and have combined the results of GPMX with the results of our Mexico pawn business, as we expect the financial performance and economic characteristics of those businesses to be similar over the long-term. Segment information is prepared on the same basis that our chief operating decision maker reviews financial information for operational decision-making purposes. As a result, 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consolidated financial statements.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Latin</w:t>
            </w:r>
          </w:p>
        </w:tc>
        <w:tc>
          <w:tcPr>
            <w:tcW w:w="120" w:type="dxa"/>
            <w:vAlign w:val="bottom"/>
          </w:tcPr>
          <w:p>
            <w:pPr>
              <w:spacing w:after="0"/>
              <w:rPr>
                <w:sz w:val="13"/>
                <w:szCs w:val="13"/>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91,494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22,094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113,588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113,588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12,213</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76,360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76,360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159,798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42,606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204,508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204,508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71,167</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96,868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122,427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122,427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14,687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83,610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color w:val="auto"/>
                <w:shd w:val="clear" w:color="auto" w:fill="CCEEFF"/>
              </w:rPr>
              <w:t>(income)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97"/>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27,757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19,792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2"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94,861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111,513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111,513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61,045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69,013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164,802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192,624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192,624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71,732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97,004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111,965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67,350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77,646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77,646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9"/>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27,113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32,636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32,636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(19,588)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SUPPLEMENTAL CONSOLIDATED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318"/>
        </w:trPr>
        <w:tc>
          <w:tcPr>
            <w:tcW w:w="5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2720" w:type="dxa"/>
            <w:vAlign w:val="bottom"/>
            <w:tcBorders>
              <w:bottom w:val="single" w:sz="8" w:color="CCEEFF"/>
            </w:tcBorders>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2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27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30,967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31,548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2720" w:type="dxa"/>
            <w:vAlign w:val="bottom"/>
            <w:tcBorders>
              <w:bottom w:val="single" w:sz="8" w:color="CCEEFF"/>
            </w:tcBorders>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161,212</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2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27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163,310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143,440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154,411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2720" w:type="dxa"/>
            <w:vAlign w:val="bottom"/>
            <w:tcBorders>
              <w:bottom w:val="single" w:sz="8" w:color="CCEEFF"/>
            </w:tcBorders>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224,240</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(166,281)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7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62,098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54,881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57,959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2017, as supplemented by the information set forth in “Part I, Item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Quantitative and Qualitative Disclosures about Market Risk” and "Part II, Item 1 — Legal Proceedings" of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EZCORP is a Delaware corporation headquartered in Austin, Texas. We are a leading provider of pawn loans in the United States and Latin America.</w:t>
      </w:r>
    </w:p>
    <w:p>
      <w:pPr>
        <w:spacing w:after="0" w:line="1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remain focused on growing our balance of pawn loans outstanding (“PLO”) and generating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48985" cy="237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48985" cy="237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48985" cy="237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involve gold and jewelry, our results can be heavily influenced by the market price of gold.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plan to expand the number of locations we operate through opening new (“de novo”) locations and through acquisitions. We believe there are growth opportunities with de novo stores in Latin America and pawn store acquisitions in both Latin America and in the U.S. Our ability to add new stores is dependent on several variables, such as the availability of acceptable sites or acquisition candidates, the regulatory environment, local zoning ordinances, access to capital, availability of qualified personnel and projected financial results meeting our investment hurdles.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Historically, pawn service charges are highest in our fourth fiscal quarter (July through September) due to a higher average loan balance during the summer lending season. Loan balances are generally lower in our second fiscal quarter (January through March). Merchandise sales are highest in our first and second fiscal quarters (October through March) due to the holiday season, jewelry sales surrounding Valentine’s Day and the availability of tax refunds in the United States. As a net effect of these factors, our earnings generally are lowest during our third fiscal quarter (April through June).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December 31, 2017</w:t>
            </w: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Company-owned Stores</w:t>
            </w: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jc w:val="center"/>
              <w:ind w:right="2170"/>
              <w:spacing w:after="0"/>
              <w:rPr>
                <w:sz w:val="20"/>
                <w:szCs w:val="20"/>
                <w:color w:val="auto"/>
              </w:rPr>
            </w:pPr>
            <w:r>
              <w:rPr>
                <w:rFonts w:ascii="Arial" w:cs="Arial" w:eastAsia="Arial" w:hAnsi="Arial"/>
                <w:sz w:val="18"/>
                <w:szCs w:val="18"/>
                <w:color w:val="auto"/>
                <w:w w:val="89"/>
              </w:rPr>
              <w:t>As of September 30, 2017</w:t>
            </w:r>
          </w:p>
        </w:tc>
        <w:tc>
          <w:tcPr>
            <w:tcW w:w="28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513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246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jc w:val="center"/>
              <w:ind w:right="2190"/>
              <w:spacing w:after="0"/>
              <w:rPr>
                <w:sz w:val="20"/>
                <w:szCs w:val="20"/>
                <w:color w:val="auto"/>
              </w:rPr>
            </w:pPr>
            <w:r>
              <w:rPr>
                <w:rFonts w:ascii="Arial" w:cs="Arial" w:eastAsia="Arial" w:hAnsi="Arial"/>
                <w:sz w:val="18"/>
                <w:szCs w:val="18"/>
                <w:color w:val="auto"/>
                <w:w w:val="91"/>
              </w:rPr>
              <w:t>Locations acquired</w:t>
            </w:r>
          </w:p>
        </w:tc>
        <w:tc>
          <w:tcPr>
            <w:tcW w:w="1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133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20" w:type="dxa"/>
            <w:vAlign w:val="bottom"/>
          </w:tcPr>
          <w:p>
            <w:pPr>
              <w:jc w:val="center"/>
              <w:ind w:right="2210"/>
              <w:spacing w:after="0"/>
              <w:rPr>
                <w:sz w:val="20"/>
                <w:szCs w:val="20"/>
                <w:color w:val="auto"/>
              </w:rPr>
            </w:pPr>
            <w:r>
              <w:rPr>
                <w:rFonts w:ascii="Arial" w:cs="Arial" w:eastAsia="Arial" w:hAnsi="Arial"/>
                <w:sz w:val="18"/>
                <w:szCs w:val="18"/>
                <w:color w:val="auto"/>
                <w:w w:val="90"/>
              </w:rPr>
              <w:t>As of December 31, 2017</w:t>
            </w:r>
          </w:p>
        </w:tc>
        <w:tc>
          <w:tcPr>
            <w:tcW w:w="18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26"/>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left="86"/>
              <w:spacing w:after="0"/>
              <w:rPr>
                <w:sz w:val="20"/>
                <w:szCs w:val="20"/>
                <w:color w:val="auto"/>
              </w:rPr>
            </w:pPr>
            <w:r>
              <w:rPr>
                <w:rFonts w:ascii="Arial" w:cs="Arial" w:eastAsia="Arial" w:hAnsi="Arial"/>
                <w:sz w:val="14"/>
                <w:szCs w:val="14"/>
                <w:b w:val="1"/>
                <w:bCs w:val="1"/>
                <w:color w:val="auto"/>
                <w:w w:val="93"/>
              </w:rPr>
              <w:t>Three Months Ended December 31, 2016</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7"/>
          </w:tcPr>
          <w:p>
            <w:pPr>
              <w:jc w:val="center"/>
              <w:ind w:left="86"/>
              <w:spacing w:after="0"/>
              <w:rPr>
                <w:sz w:val="20"/>
                <w:szCs w:val="20"/>
                <w:color w:val="auto"/>
              </w:rPr>
            </w:pPr>
            <w:r>
              <w:rPr>
                <w:rFonts w:ascii="Arial" w:cs="Arial" w:eastAsia="Arial" w:hAnsi="Arial"/>
                <w:sz w:val="14"/>
                <w:szCs w:val="14"/>
                <w:b w:val="1"/>
                <w:bCs w:val="1"/>
                <w:color w:val="auto"/>
                <w:w w:val="91"/>
              </w:rPr>
              <w:t>Company-owned Stores</w:t>
            </w: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jc w:val="center"/>
              <w:ind w:right="2170"/>
              <w:spacing w:after="0"/>
              <w:rPr>
                <w:sz w:val="20"/>
                <w:szCs w:val="20"/>
                <w:color w:val="auto"/>
              </w:rPr>
            </w:pPr>
            <w:r>
              <w:rPr>
                <w:rFonts w:ascii="Arial" w:cs="Arial" w:eastAsia="Arial" w:hAnsi="Arial"/>
                <w:sz w:val="18"/>
                <w:szCs w:val="18"/>
                <w:color w:val="auto"/>
                <w:w w:val="89"/>
              </w:rPr>
              <w:t>As of September 30, 2016</w:t>
            </w:r>
          </w:p>
        </w:tc>
        <w:tc>
          <w:tcPr>
            <w:tcW w:w="28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239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jc w:val="center"/>
              <w:ind w:right="2210"/>
              <w:spacing w:after="0"/>
              <w:rPr>
                <w:sz w:val="20"/>
                <w:szCs w:val="20"/>
                <w:color w:val="auto"/>
              </w:rPr>
            </w:pPr>
            <w:r>
              <w:rPr>
                <w:rFonts w:ascii="Arial" w:cs="Arial" w:eastAsia="Arial" w:hAnsi="Arial"/>
                <w:sz w:val="18"/>
                <w:szCs w:val="18"/>
                <w:color w:val="auto"/>
                <w:w w:val="90"/>
              </w:rPr>
              <w:t>As of December 31, 2016</w:t>
            </w:r>
          </w:p>
        </w:tc>
        <w:tc>
          <w:tcPr>
            <w:tcW w:w="28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517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239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December 31, 2017 vs. Three Months Ended December 31, 2016</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385"/>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59,705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61,045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91,494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94,861</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35,406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34,613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8,845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500bps</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51</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45%</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96,868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97,004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324"/>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66,300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67,350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27,769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27,037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32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27,757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27,113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284,933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274,616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285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bl>
    <w:p>
      <w:pPr>
        <w:spacing w:after="0" w:line="170" w:lineRule="exact"/>
        <w:rPr>
          <w:sz w:val="20"/>
          <w:szCs w:val="20"/>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42" w:lineRule="exact"/>
        <w:rPr>
          <w:sz w:val="20"/>
          <w:szCs w:val="20"/>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Net revenue was flat, primarily due to the impacts of the hurricanes affecting the Texas Gulf Coast and Florida in the fourth quarter of fiscal 2017, as previously disclosed, offset by higher gross profit margins. The change in net revenue attributable to same stores and new stores added since the prior-year quarter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Pawn service charges decreased 2% primarily due to a 1% decrease in average ending monthly pawn loan balances outstanding during the current quarter. The lower average loan balance was primarily a result of the negative impacts from the hurricanes, partially offset by other continued positive operating trends.</w:t>
      </w:r>
    </w:p>
    <w:p>
      <w:pPr>
        <w:spacing w:after="0" w:line="12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Merchandise sales decreased 4% with gross margin on merchandise sales of 39%, a 300 basis point improvement over the prior year quarter. As a result, merchandise sales gross profit increased 2% to $35.4 million. The increase in merchandise sales gross profit is inclusive of the negative impacts from the hurricanes. We expect sales gross margin for the full fiscal year to be within our target range of 35-38%.</w:t>
      </w:r>
    </w:p>
    <w:p>
      <w:pPr>
        <w:spacing w:after="0" w:line="1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Jewelry scrapping sales gross profit remained relatively flat at 2% of current quarter net revenues, in-line with our strategy to sell rather than scrap merchandise, with a 500 basis point increase in gross margin to 20% due primarily to improvements in gold prices.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increased segment contribution 2% through focused expense management, including a 2% decrease in operations expenses across numerous operating items.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 certain other non-GAAP financial information on a constant currency basis ("constant currency"). We use constant currency results to evaluate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Latin America Pawn operations, which are denominated primarily in Mexican pesos and other Latin American currencies. As GPMX was not acquired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2018, such results included on a constant currency basis reflect the actual exchange rates in effect during the current quarter without adjustment.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that presentation of constant currency results is meaningful and useful in understanding the activities and business metrics of our Latin America Pawn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reflect an additional way of viewing aspects of our business that, when viewed with GAAP results, provide a more complete understanding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factors and trends affecting our business. We provide non-GAAP financial information for informational purposes and to enhance understanding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GAAP consolidated financial statements. We use this non-GAAP financial information to evaluate and compare operating results across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Readers should consider the information in addition to, but not instead of or superior to, our financial statements prepared in accordance with GAAP.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non-GAAP financial information may be determined or calculated differently by other companies, limiting the usefulness of those measures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comparative purposes.</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December 31, 2017 and 2016 was 19.7 to 1 and 20.7 to 1, respectively. The approximate average Mexican peso to U.S. dollar exchange rate for the three months ended December 31, 2017 and 2016 was 19.0 to 1 and 19.8 to 1, respectively.</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right"/>
              <w:ind w:right="672"/>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2017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2016 (GAAP)</w:t>
            </w: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2017 (Constant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Change (Constant</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Currency)</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right"/>
              <w:ind w:right="572"/>
              <w:spacing w:after="0"/>
              <w:rPr>
                <w:sz w:val="20"/>
                <w:szCs w:val="20"/>
                <w:color w:val="auto"/>
              </w:rPr>
            </w:pPr>
            <w:r>
              <w:rPr>
                <w:rFonts w:ascii="Arial" w:cs="Arial" w:eastAsia="Arial" w:hAnsi="Arial"/>
                <w:sz w:val="14"/>
                <w:szCs w:val="14"/>
                <w:i w:val="1"/>
                <w:iCs w:val="1"/>
                <w:color w:val="auto"/>
              </w:rPr>
              <w:t>(in USD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7,968</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16,208</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22,094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16,652</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21,210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5,168</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6,727</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953</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3,629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159</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187</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(1,200)bps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162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13,426</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23,284</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8,640</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14,232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631</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813</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4,155</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8,239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1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633%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4,215</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8,679</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55,352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31,496</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53,638</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w w:val="94"/>
              </w:rPr>
              <w:t>Average monthly ending pawn loan balance per store (c)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120" w:hanging="345"/>
        <w:spacing w:after="0" w:line="253"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three months ended December 31, 2017 constant currency balance excludes nominal net GAAP basis foreign currency transaction gains resulting from movement in exchange rates. The net foreign currency transaction losses for the three months ended December 31, 2016 were nominal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Our Latin America business continues to grow rapidly. In the current quarter, we acquired 112 pawn stores located in Guatemala, El Salvador, Honduras and Peru and 21 pawn stores located in Mexico, and we opened four de novo stores. We see opportunity for further expansion in Latin America through de novo openings and acquisitions, and plan to open eight additional stores in Latin America during the second quarter of fiscal 2018.</w:t>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revenue increased $10.6 million, or 79% (up $9.9 million, or 73%, on a constant currency basis). The increase in net revenue attributable to same stores and new stores added since the prior-year quarter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Pawn service charges increased 109% (103% on a constant currency basis) primarily due to the acquisition of stores discussed above and same store growth. The average ending monthly pawn loan balance outstanding during the current year increased 34% (30% on a constant currency basis), primarily due to the acquisition of stores discussed above in addition to foreign currency impacts.</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Merchandise sales increased 33% (27% on a constant currency basis), with gross margin on merchandise sales of 32%, 100 basis points above the prior-year quarter. As a result of the combination of these effects and foreign currency impacts, merchandise sales gross profit was up 36% to $7.0 million (30% to $6.7 million on a constant currency basis).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Jewelry scrapping sales increased 287% (281% on a constant currency basis) with a 1,200 basis point decline in margin, primarily due to the acquisition of stores discussed above.</w:t>
      </w:r>
    </w:p>
    <w:p>
      <w:pPr>
        <w:spacing w:after="0" w:line="11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leveraged a 79% increase in net revenue (73% on a constant currency basis) into a 105% increase in segment operating contribution (98% on a constant currency basis) due to focused expense management in addition to greater operational leverage from the acquisition of stores discussed above, resulting in only a 70% increase (65% increase on a constant currency basis) in operations expenses. After a $0.4 million improvement in other segment income, primarily interest income from our notes receivable, segment contribution increased 114% (106% on a constant currency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2,118</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1,535</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(1,478)</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contribution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(77)%</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8,200%</w:t>
            </w:r>
          </w:p>
        </w:tc>
        <w:tc>
          <w:tcPr>
            <w:tcW w:w="0" w:type="dxa"/>
            <w:vAlign w:val="bottom"/>
          </w:tcPr>
          <w:p>
            <w:pPr>
              <w:spacing w:after="0"/>
              <w:rPr>
                <w:sz w:val="1"/>
                <w:szCs w:val="1"/>
                <w:color w:val="auto"/>
              </w:rPr>
            </w:pPr>
          </w:p>
        </w:tc>
      </w:tr>
      <w:tr>
        <w:trPr>
          <w:trHeight w:val="257"/>
        </w:trPr>
        <w:tc>
          <w:tcPr>
            <w:tcW w:w="6980" w:type="dxa"/>
            <w:vAlign w:val="bottom"/>
          </w:tcPr>
          <w:p>
            <w:pPr>
              <w:ind w:left="500"/>
              <w:spacing w:after="0"/>
              <w:rPr>
                <w:sz w:val="20"/>
                <w:szCs w:val="20"/>
                <w:color w:val="auto"/>
              </w:rPr>
            </w:pPr>
            <w:r>
              <w:rPr>
                <w:rFonts w:ascii="Arial" w:cs="Arial" w:eastAsia="Arial" w:hAnsi="Arial"/>
                <w:sz w:val="18"/>
                <w:szCs w:val="18"/>
                <w:color w:val="auto"/>
              </w:rPr>
              <w:t>Segment contribution</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Segment contribution was $0.4 million, a decrease of 70% from the prior-year quarter, primarily due to a $0.7 million increase in operating expenses from further investment in the development of a digital IT platform that enables greater intimacy with our customers to drive future revenue enhancement.</w:t>
      </w:r>
    </w:p>
    <w:p>
      <w:pPr>
        <w:spacing w:after="0" w:line="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fair value of our investment in Cash Converters International was $2.8 million below its carrying value as of December 31, 2017. We have taken impairment charges on this investment in prior periods and continue to monitor the fair value of our investment for other-than-temporary impairments. We may record a further impairment charge should the fair value of our investment remain below its carrying value for an extended period of time, or if we no longer had the intent or ability to hold our investment for a period of time sufficient to allow for any anticipated recovery in market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8"/>
              </w:rPr>
              <w:t>Three Months Ended December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37,158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32,636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13,927</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3,075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5,846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5,563</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4,782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384%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12,748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7,165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Administrative expenses decreased $0.6 million, or 4%, in the current quarter including the impact of $0.4 million of current quarter acquisition-related expenses, as we continue to focus on controlling administrative expenditures.</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decreased $1.0 million, or 34%, primarily due to acceleration of depreciation in the prior-year quarter for certain assets resulting from a decrease in useful life estimates.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increased $0.3 million, or 5%, primarily due to an increase in long-term debt outstanding during the current quarter, offset by a decrease in the weighted interest rates accrued thereon.</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income increased $1.1 million, or 43%, as a result of our note receivable from the sale of Grupo Finmart which was restructured in September 2017, including ordinary accruals of interest in addition to accretion of associated deferred compensation amounts.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tax expense increased $2.7 million, or 56%, due primarily to the impacts of a $6.7 million, or 52%, increase in income from continuing operations before income taxes and the impact of certain discrete items discussed below.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3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December 22, 2017, the Tax Cuts and Jobs Act of 2017 (the "Act") was signed into law. Among other things, the Act reduces the U.S. federal corporate tax rate from 35% to 21%, requires companies to pay a one-time transition tax on earnings of certain foreign subsidiaries that were previously tax deferred and creates new taxes on certain foreign sourced earnings. The corporate tax rate reduction is effective as of January 1, 2018 and, accordingly, will reduce our current fiscal year federal statutory rate to a blended rate of 24.5%, and then to 21% beginning in fiscal 2019. As of December 31, 2017, we have not completed our accounting for the tax effects of enactment of the Act; however, as described below, we have made a reasonable estimate of the effects on our existing deferred tax balances and the one-time transition tax. We recognized a provisional amount of $2.8 million for the revaluation of our deferred tax assets and liabilities upon enactment of the Act, which is included as a component of "Income tax expense" in our condensed consolidated statements of operations. We anticipate recording another charge in the fiscal quarter ending September 30, 2018 as we have balances related to our short-term deferred tax assets and liabilities that are recorded at 24.5% but reverse at 21% in fiscal 2019. We have not yet completed our calculation of the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tal post-1986 foreign earnings and profit of our foreign subsidiaries as required under the Act, but preliminarily believe we have adequate foreign tax credit carryforwards to fully offset any transition tax on foreign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4,761</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(2,403)%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the Three Months Ended December 31, 2017 vs. Three Months Ended December 31, 2016</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increase in cash flows from operating activities year-over-year was due to a $15.6 million increase from changes in operating assets and liabilities and a $7.1 million increase in net income exclusive of non-cash items due to improved operational results and stores acquired in the current quarter. The increase from changes in operating assets and liabilities was primarily driven by $10.1 million in additional accrued incentive compensation paid out during the three months ended December 31, 2016 as compared to the three months ended December 31, 2017.</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cash flows from investing activities year-over-year was due to a $62.2 million in cash paid for acquisitions, a $5.6 million increase in additions to property and equipment, a $5.0 million decrease in principal collections on notes receivable and a $1.3 million net increase in proceeds related to loan activities (net loans repaid and recovery of pawn loan principal through sale of forfeited collateral).</w:t>
      </w:r>
    </w:p>
    <w:p>
      <w:pPr>
        <w:spacing w:after="0" w:line="12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net effect of these and other smaller items was a $50.8 million decrease in cash on hand during the three months ended December 31, 2017, resulting in a $113.6 million ending cash balance compared to $63.7 million as of December 31, 2016. Of the ending cash balance as of December 31, 2017, $11.9 million was not available to fund domestic operations as we intend to permanently reinvest those earnings in our foreign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anticipate that cash flow from operations and cash on hand will be adequate to fund our contractual obligations, planned de novo store growth, capital expenditures and working capital requirements during fiscal 2018. Our ability to repay our longer-term debt obligations (including the 2019 Convertible Notes and the 2024 Convertible Notes) may require us to refinance those obligations through the issuance of new debt securities, equity securities or through new credit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October 6, 2017, we completed the acquisition of 100% of the outstanding stock of Camira Administration Corp. and subsidiaries (“GPMX”), a business that owns and operates 112 stores located in Guatemala, El Salvador, Honduras and Peru. The GPMX acquisition significantly expands our store base into Latin American countries outside of Mexico and provides us with a platform for further growth in the region. Under the terms of the stock purchase agreement ("SPA"), we paid $53.4 million in cash upon closing and, subsequent to the closing, paid $6.7 million to satisfy indebtedness to members of the seller’s affiliated group. The SPA specified a further $2.25 million to be paid contingent upon performance of GPMX’s business during a period up to 24 months following the closing date, and the business achieved the specified performance goal during the first quarter of fiscal 2018. Consequently, we made a final payment of $1.6 million in January 2018 in satisfaction of the contingent purchase price obligation, after reduction for certain adjustments under the SPA, yielding a total purchase price of $61.7 million.</w:t>
      </w:r>
    </w:p>
    <w:p>
      <w:pPr>
        <w:spacing w:after="0" w:line="1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4, 2017, we acquired 21 pawn stores located in the Mexican state of Sinaloa and operating under the name "Bazareño," further expanding our geographic footprint within Mexico. The Bazareño stores make up the largest chain of pawn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stores in Culiacan, the capital city of Sinaloa, giving EZCORP the number one position in that market with more than double the store count of the nearest competitor and an important strategic presence in the northwest region of Mexico. The majority of the purchase price was paid in cash, subject to finalization of deferred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2.875% Convertible Senior Notes Due 2024 and 2.125% Cash Convertible Senior Notes Due 2019</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a description of the terms of the </w:t>
      </w:r>
      <w:r>
        <w:rPr>
          <w:rFonts w:ascii="Arial" w:cs="Arial" w:eastAsia="Arial" w:hAnsi="Arial"/>
          <w:sz w:val="18"/>
          <w:szCs w:val="18"/>
          <w:color w:val="252525"/>
        </w:rPr>
        <w:t>2.875% Convertible Senior Notes Due 2024 and 2.125% Cash Convertible Senior Notes Due 2019</w:t>
      </w:r>
      <w:r>
        <w:rPr>
          <w:rFonts w:ascii="Arial" w:cs="Arial" w:eastAsia="Arial" w:hAnsi="Arial"/>
          <w:sz w:val="18"/>
          <w:szCs w:val="18"/>
          <w:color w:val="auto"/>
        </w:rPr>
        <w:t>, see Note 6 of Notes to Interim Condensed Consolidated Financial Statements included in "Part I, Item 1 — Financial Statements" and Note 8 to Consolidated Financial Statements included in "Part II, Item 8 — Financial Statements and Supplementary Data" of our Annual Report on Form 10-K for the year ended September 30,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2017, we reported that we had $631.0 million in total contractual obligations as of September 30, 2017. There have been no material changes to this total obligation since September 30, 2017.</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2017, these collectively amounted to $21.4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2017, supplemented by those described in "Part II, Item 1A — Risk Factors" of this Quarterly 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2017. There have been no material changes to our exposure to market risks since September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2017. Based on that evaluation, our Chief Executive Officer and Chief Financial Officer concluded that our disclosure controls and procedures were effective as of December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2017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8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2017.</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5"/>
              </w:rPr>
              <w:t>Exhibit No.</w:t>
            </w:r>
          </w:p>
        </w:tc>
        <w:tc>
          <w:tcPr>
            <w:tcW w:w="1000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3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3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r>
      <w:tr>
        <w:trPr>
          <w:trHeight w:val="203"/>
        </w:trPr>
        <w:tc>
          <w:tcPr>
            <w:tcW w:w="840" w:type="dxa"/>
            <w:vAlign w:val="bottom"/>
            <w:gridSpan w:val="5"/>
            <w:shd w:val="clear" w:color="auto" w:fill="CCEEFF"/>
          </w:tcPr>
          <w:p>
            <w:pPr>
              <w:jc w:val="center"/>
              <w:ind w:left="332"/>
              <w:spacing w:after="0" w:line="202" w:lineRule="exact"/>
              <w:rPr>
                <w:rFonts w:ascii="Arial" w:cs="Arial" w:eastAsia="Arial" w:hAnsi="Arial"/>
                <w:sz w:val="18"/>
                <w:szCs w:val="18"/>
                <w:color w:val="0000FF"/>
                <w:w w:val="87"/>
              </w:rPr>
            </w:pPr>
            <w:hyperlink r:id="rId1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9"/>
            <w:shd w:val="clear" w:color="auto" w:fill="CCEEFF"/>
          </w:tcPr>
          <w:p>
            <w:pPr>
              <w:spacing w:after="0" w:line="202" w:lineRule="exact"/>
              <w:rPr>
                <w:rFonts w:ascii="Arial" w:cs="Arial" w:eastAsia="Arial" w:hAnsi="Arial"/>
                <w:sz w:val="18"/>
                <w:szCs w:val="18"/>
                <w:color w:val="0000FF"/>
                <w:w w:val="96"/>
              </w:rPr>
            </w:pPr>
            <w:hyperlink r:id="rId15">
              <w:r>
                <w:rPr>
                  <w:rFonts w:ascii="Arial" w:cs="Arial" w:eastAsia="Arial" w:hAnsi="Arial"/>
                  <w:sz w:val="18"/>
                  <w:szCs w:val="18"/>
                  <w:color w:val="0000FF"/>
                  <w:w w:val="96"/>
                </w:rPr>
                <w:t>Share Purchase Agreement, dated October 4, 2017, by and between EZCORP International Inc. and Black Icebreaker Corporation</w:t>
              </w:r>
            </w:hyperlink>
          </w:p>
        </w:tc>
      </w:tr>
      <w:tr>
        <w:trPr>
          <w:trHeight w:val="20"/>
        </w:trPr>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9"/>
            <w:shd w:val="clear" w:color="auto" w:fill="CCEEFF"/>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(incorporated by reference to Exhibit 2.1 to the Company’s Current Report on Form 8-K dated October 10, 2017, Commission File No. 0-</w:t>
              </w:r>
            </w:hyperlink>
          </w:p>
        </w:tc>
      </w:tr>
      <w:tr>
        <w:trPr>
          <w:trHeight w:val="20"/>
        </w:trPr>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880" w:type="dxa"/>
            <w:vAlign w:val="bottom"/>
            <w:gridSpan w:val="2"/>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19424)</w:t>
              </w:r>
            </w:hyperlink>
          </w:p>
        </w:tc>
        <w:tc>
          <w:tcPr>
            <w:tcW w:w="12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line="202" w:lineRule="exact"/>
              <w:rPr>
                <w:rFonts w:ascii="Arial" w:cs="Arial" w:eastAsia="Arial" w:hAnsi="Arial"/>
                <w:sz w:val="18"/>
                <w:szCs w:val="18"/>
                <w:color w:val="0000FF"/>
                <w:w w:val="93"/>
              </w:rPr>
            </w:pPr>
            <w:hyperlink w:anchor="page34">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w:t>
              </w:r>
            </w:hyperlink>
          </w:p>
        </w:tc>
        <w:tc>
          <w:tcPr>
            <w:tcW w:w="580" w:type="dxa"/>
            <w:vAlign w:val="bottom"/>
            <w:gridSpan w:val="3"/>
          </w:tcPr>
          <w:p>
            <w:pPr>
              <w:spacing w:after="0"/>
              <w:rPr>
                <w:sz w:val="17"/>
                <w:szCs w:val="17"/>
                <w:color w:val="auto"/>
              </w:rPr>
            </w:pPr>
          </w:p>
        </w:tc>
        <w:tc>
          <w:tcPr>
            <w:tcW w:w="9720" w:type="dxa"/>
            <w:vAlign w:val="bottom"/>
            <w:tcBorders>
              <w:bottom w:val="single" w:sz="8" w:color="0000FF"/>
            </w:tcBorders>
            <w:gridSpan w:val="7"/>
          </w:tcPr>
          <w:p>
            <w:pPr>
              <w:spacing w:after="0" w:line="202" w:lineRule="exact"/>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Stuart I. Grimshaw, Chief Executive Officer, pursuant to Rule 13a-14(a) under the Securities Exchange Act of 1934, as</w:t>
              </w:r>
            </w:hyperlink>
          </w:p>
        </w:tc>
        <w:tc>
          <w:tcPr>
            <w:tcW w:w="280" w:type="dxa"/>
            <w:vAlign w:val="bottom"/>
            <w:gridSpan w:val="2"/>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9"/>
          </w:tcPr>
          <w:p>
            <w:pPr>
              <w:spacing w:after="0" w:line="196" w:lineRule="exact"/>
              <w:rPr>
                <w:rFonts w:ascii="Arial" w:cs="Arial" w:eastAsia="Arial" w:hAnsi="Arial"/>
                <w:sz w:val="18"/>
                <w:szCs w:val="18"/>
                <w:color w:val="0000FF"/>
              </w:rPr>
            </w:pPr>
            <w:hyperlink w:anchor="page34">
              <w:r>
                <w:rPr>
                  <w:rFonts w:ascii="Arial" w:cs="Arial" w:eastAsia="Arial" w:hAnsi="Arial"/>
                  <w:sz w:val="18"/>
                  <w:szCs w:val="18"/>
                  <w:color w:val="0000FF"/>
                </w:rPr>
                <w:t>adopted pursuant to Section 302 of the Sarbanes-Oxley Act of 2002</w:t>
              </w:r>
            </w:hyperlink>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38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center"/>
              <w:spacing w:after="0" w:line="202" w:lineRule="exact"/>
              <w:rPr>
                <w:rFonts w:ascii="Arial" w:cs="Arial" w:eastAsia="Arial" w:hAnsi="Arial"/>
                <w:sz w:val="18"/>
                <w:szCs w:val="18"/>
                <w:color w:val="0000FF"/>
                <w:w w:val="93"/>
              </w:rPr>
            </w:pPr>
            <w:hyperlink w:anchor="page35">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hyperlink>
          </w:p>
        </w:tc>
        <w:tc>
          <w:tcPr>
            <w:tcW w:w="580" w:type="dxa"/>
            <w:vAlign w:val="bottom"/>
            <w:tcBorders>
              <w:right w:val="single" w:sz="8" w:color="CCEEFF"/>
            </w:tcBorders>
            <w:gridSpan w:val="3"/>
            <w:shd w:val="clear" w:color="auto" w:fill="CCEEFF"/>
          </w:tcPr>
          <w:p>
            <w:pPr>
              <w:spacing w:after="0"/>
              <w:rPr>
                <w:sz w:val="17"/>
                <w:szCs w:val="17"/>
                <w:color w:val="auto"/>
              </w:rPr>
            </w:pPr>
          </w:p>
        </w:tc>
        <w:tc>
          <w:tcPr>
            <w:tcW w:w="10000" w:type="dxa"/>
            <w:vAlign w:val="bottom"/>
            <w:gridSpan w:val="9"/>
            <w:shd w:val="clear" w:color="auto" w:fill="CCEEFF"/>
          </w:tcPr>
          <w:p>
            <w:pPr>
              <w:spacing w:after="0" w:line="202" w:lineRule="exact"/>
              <w:rPr>
                <w:rFonts w:ascii="Arial" w:cs="Arial" w:eastAsia="Arial" w:hAnsi="Arial"/>
                <w:sz w:val="18"/>
                <w:szCs w:val="18"/>
                <w:color w:val="0000FF"/>
                <w:w w:val="96"/>
              </w:rPr>
            </w:pPr>
            <w:hyperlink w:anchor="page35">
              <w:r>
                <w:rPr>
                  <w:rFonts w:ascii="Arial" w:cs="Arial" w:eastAsia="Arial" w:hAnsi="Arial"/>
                  <w:sz w:val="18"/>
                  <w:szCs w:val="18"/>
                  <w:color w:val="0000FF"/>
                  <w:w w:val="96"/>
                </w:rPr>
                <w:t>Certification of Daniel M. Chism, Chief Financial Officer, pursuant to Rule 13a-14(a) under the Securities Exchange Act of 1934, as</w:t>
              </w:r>
            </w:hyperlink>
          </w:p>
        </w:tc>
      </w:tr>
      <w:tr>
        <w:trPr>
          <w:trHeight w:val="244"/>
        </w:trPr>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8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adopted pursuant to Section 302 of the Sarbanes-Oxley Act of 2002</w:t>
              </w:r>
            </w:hyperlink>
          </w:p>
        </w:tc>
        <w:tc>
          <w:tcPr>
            <w:tcW w:w="466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500" w:type="dxa"/>
            <w:vAlign w:val="bottom"/>
            <w:tcBorders>
              <w:bottom w:val="single" w:sz="8" w:color="0000FF"/>
            </w:tcBorders>
            <w:gridSpan w:val="5"/>
          </w:tcPr>
          <w:p>
            <w:pPr>
              <w:jc w:val="center"/>
              <w:spacing w:after="0" w:line="202"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540" w:type="dxa"/>
            <w:vAlign w:val="bottom"/>
            <w:gridSpan w:val="2"/>
          </w:tcPr>
          <w:p>
            <w:pPr>
              <w:spacing w:after="0"/>
              <w:rPr>
                <w:sz w:val="17"/>
                <w:szCs w:val="17"/>
                <w:color w:val="auto"/>
              </w:rPr>
            </w:pPr>
          </w:p>
        </w:tc>
        <w:tc>
          <w:tcPr>
            <w:tcW w:w="9440" w:type="dxa"/>
            <w:vAlign w:val="bottom"/>
            <w:tcBorders>
              <w:bottom w:val="single" w:sz="8" w:color="0000FF"/>
            </w:tcBorders>
            <w:gridSpan w:val="5"/>
          </w:tcPr>
          <w:p>
            <w:pPr>
              <w:spacing w:after="0" w:line="202"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Certifications of Stuart I. Grimshaw, Chief Executive Officer, and Daniel M. Chism, Chief Financial Officer, pursuant to 18 U.S.C.</w:t>
              </w:r>
            </w:hyperlink>
          </w:p>
        </w:tc>
        <w:tc>
          <w:tcPr>
            <w:tcW w:w="560" w:type="dxa"/>
            <w:vAlign w:val="bottom"/>
            <w:gridSpan w:val="4"/>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9"/>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Section 1350, as adopted pursuant to Section 906 of the Sarbanes-Oxley Act of 2002</w:t>
              </w:r>
            </w:hyperlink>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3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3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420" w:type="dxa"/>
            <w:vAlign w:val="bottom"/>
            <w:tcBorders>
              <w:bottom w:val="single" w:sz="8" w:color="CCEEFF"/>
              <w:right w:val="single" w:sz="8" w:color="CCEEFF"/>
            </w:tcBorders>
            <w:gridSpan w:val="8"/>
            <w:shd w:val="clear" w:color="auto" w:fill="CCEEFF"/>
          </w:tcPr>
          <w:p>
            <w:pPr>
              <w:jc w:val="center"/>
              <w:ind w:right="160"/>
              <w:spacing w:after="0"/>
              <w:rPr>
                <w:sz w:val="20"/>
                <w:szCs w:val="20"/>
                <w:color w:val="auto"/>
              </w:rPr>
            </w:pPr>
            <w:r>
              <w:rPr>
                <w:rFonts w:ascii="Arial" w:cs="Arial" w:eastAsia="Arial" w:hAnsi="Arial"/>
                <w:sz w:val="18"/>
                <w:szCs w:val="18"/>
                <w:color w:val="auto"/>
                <w:w w:val="90"/>
              </w:rPr>
              <w:t>101.INS†††</w:t>
            </w:r>
          </w:p>
        </w:tc>
        <w:tc>
          <w:tcPr>
            <w:tcW w:w="10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420" w:type="dxa"/>
            <w:vAlign w:val="bottom"/>
            <w:gridSpan w:val="8"/>
          </w:tcPr>
          <w:p>
            <w:pPr>
              <w:jc w:val="center"/>
              <w:ind w:right="160"/>
              <w:spacing w:after="0"/>
              <w:rPr>
                <w:sz w:val="20"/>
                <w:szCs w:val="20"/>
                <w:color w:val="auto"/>
              </w:rPr>
            </w:pPr>
            <w:r>
              <w:rPr>
                <w:rFonts w:ascii="Arial" w:cs="Arial" w:eastAsia="Arial" w:hAnsi="Arial"/>
                <w:sz w:val="18"/>
                <w:szCs w:val="18"/>
                <w:color w:val="auto"/>
                <w:w w:val="91"/>
              </w:rPr>
              <w:t>101.SCH†††</w:t>
            </w: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420" w:type="dxa"/>
            <w:vAlign w:val="bottom"/>
            <w:tcBorders>
              <w:bottom w:val="single" w:sz="8" w:color="CCEEFF"/>
              <w:right w:val="single" w:sz="8" w:color="CCEEFF"/>
            </w:tcBorders>
            <w:gridSpan w:val="8"/>
            <w:shd w:val="clear" w:color="auto" w:fill="CCEEFF"/>
          </w:tcPr>
          <w:p>
            <w:pPr>
              <w:jc w:val="center"/>
              <w:ind w:right="160"/>
              <w:spacing w:after="0"/>
              <w:rPr>
                <w:sz w:val="20"/>
                <w:szCs w:val="20"/>
                <w:color w:val="auto"/>
              </w:rPr>
            </w:pPr>
            <w:r>
              <w:rPr>
                <w:rFonts w:ascii="Arial" w:cs="Arial" w:eastAsia="Arial" w:hAnsi="Arial"/>
                <w:sz w:val="18"/>
                <w:szCs w:val="18"/>
                <w:color w:val="auto"/>
                <w:w w:val="93"/>
              </w:rPr>
              <w:t>101.CAL†††</w:t>
            </w:r>
          </w:p>
        </w:tc>
        <w:tc>
          <w:tcPr>
            <w:tcW w:w="10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420" w:type="dxa"/>
            <w:vAlign w:val="bottom"/>
            <w:gridSpan w:val="8"/>
          </w:tcPr>
          <w:p>
            <w:pPr>
              <w:jc w:val="center"/>
              <w:ind w:right="160"/>
              <w:spacing w:after="0"/>
              <w:rPr>
                <w:sz w:val="20"/>
                <w:szCs w:val="20"/>
                <w:color w:val="auto"/>
              </w:rPr>
            </w:pPr>
            <w:r>
              <w:rPr>
                <w:rFonts w:ascii="Arial" w:cs="Arial" w:eastAsia="Arial" w:hAnsi="Arial"/>
                <w:sz w:val="18"/>
                <w:szCs w:val="18"/>
                <w:color w:val="auto"/>
                <w:w w:val="94"/>
              </w:rPr>
              <w:t>101.LAB†††</w:t>
            </w: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420" w:type="dxa"/>
            <w:vAlign w:val="bottom"/>
            <w:tcBorders>
              <w:bottom w:val="single" w:sz="8" w:color="CCEEFF"/>
              <w:right w:val="single" w:sz="8" w:color="CCEEFF"/>
            </w:tcBorders>
            <w:gridSpan w:val="8"/>
            <w:shd w:val="clear" w:color="auto" w:fill="CCEEFF"/>
          </w:tcPr>
          <w:p>
            <w:pPr>
              <w:jc w:val="center"/>
              <w:ind w:right="160"/>
              <w:spacing w:after="0"/>
              <w:rPr>
                <w:sz w:val="20"/>
                <w:szCs w:val="20"/>
                <w:color w:val="auto"/>
              </w:rPr>
            </w:pPr>
            <w:r>
              <w:rPr>
                <w:rFonts w:ascii="Arial" w:cs="Arial" w:eastAsia="Arial" w:hAnsi="Arial"/>
                <w:sz w:val="18"/>
                <w:szCs w:val="18"/>
                <w:color w:val="auto"/>
                <w:w w:val="92"/>
              </w:rPr>
              <w:t>101.DEF†††</w:t>
            </w:r>
          </w:p>
        </w:tc>
        <w:tc>
          <w:tcPr>
            <w:tcW w:w="10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420" w:type="dxa"/>
            <w:vAlign w:val="bottom"/>
            <w:gridSpan w:val="8"/>
          </w:tcPr>
          <w:p>
            <w:pPr>
              <w:jc w:val="center"/>
              <w:ind w:right="160"/>
              <w:spacing w:after="0"/>
              <w:rPr>
                <w:sz w:val="20"/>
                <w:szCs w:val="20"/>
                <w:color w:val="auto"/>
              </w:rPr>
            </w:pPr>
            <w:r>
              <w:rPr>
                <w:rFonts w:ascii="Arial" w:cs="Arial" w:eastAsia="Arial" w:hAnsi="Arial"/>
                <w:sz w:val="18"/>
                <w:szCs w:val="18"/>
                <w:color w:val="auto"/>
                <w:w w:val="88"/>
              </w:rPr>
              <w:t>101.PRE†††</w:t>
            </w: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160" w:hanging="465"/>
        <w:spacing w:after="0" w:line="293"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2017, December 31, 2016 and September 30, 2017; (ii) Condensed Consolidated Statements of Operations for the three months ended December 31, 2017 and December 31, 2016; (iii) Condensed Consolidated Statements of Comprehensive Income for the three months ended December 31, 2017 and December 31, 2016; (iv) Condensed Consolidated Statements of Stockholders' Equity for the three months ended December 31, 2017 and December 31, 2016; (v) Condensed Consolidated Statements of Cash Flows for the three months ended December 31, 2017 and December 31, 2016; and (vi) Notes to Interim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January 31, 2018</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January 31, 2018</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Daniel M. Chism,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17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January 31, 2018</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Daniel M. Chism</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Certifications of Stuart I. Grimshaw, Chief Executive Officer, and Daniel M. Chism,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December 31, 2017,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Date: January 31, 2018</w:t>
            </w:r>
          </w:p>
        </w:tc>
        <w:tc>
          <w:tcPr>
            <w:tcW w:w="3640" w:type="dxa"/>
            <w:vAlign w:val="bottom"/>
          </w:tcPr>
          <w:p>
            <w:pPr>
              <w:ind w:left="20"/>
              <w:spacing w:after="0"/>
              <w:rPr>
                <w:sz w:val="20"/>
                <w:szCs w:val="20"/>
                <w:color w:val="auto"/>
              </w:rPr>
            </w:pPr>
            <w:r>
              <w:rPr>
                <w:rFonts w:ascii="Arial" w:cs="Arial" w:eastAsia="Arial" w:hAnsi="Arial"/>
                <w:sz w:val="18"/>
                <w:szCs w:val="18"/>
                <w:color w:val="auto"/>
              </w:rPr>
              <w:t>/s/ Stuart I. Grimshaw</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750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7500" w:type="dxa"/>
            <w:vAlign w:val="bottom"/>
          </w:tcPr>
          <w:p>
            <w:pPr>
              <w:spacing w:after="0"/>
              <w:rPr>
                <w:sz w:val="20"/>
                <w:szCs w:val="20"/>
                <w:color w:val="auto"/>
              </w:rPr>
            </w:pPr>
            <w:r>
              <w:rPr>
                <w:rFonts w:ascii="Arial" w:cs="Arial" w:eastAsia="Arial" w:hAnsi="Arial"/>
                <w:sz w:val="18"/>
                <w:szCs w:val="18"/>
                <w:color w:val="auto"/>
              </w:rPr>
              <w:t>Date: January 31, 2018</w:t>
            </w:r>
          </w:p>
        </w:tc>
        <w:tc>
          <w:tcPr>
            <w:tcW w:w="3640" w:type="dxa"/>
            <w:vAlign w:val="bottom"/>
          </w:tcPr>
          <w:p>
            <w:pPr>
              <w:ind w:left="20"/>
              <w:spacing w:after="0"/>
              <w:rPr>
                <w:sz w:val="20"/>
                <w:szCs w:val="20"/>
                <w:color w:val="auto"/>
              </w:rPr>
            </w:pPr>
            <w:r>
              <w:rPr>
                <w:rFonts w:ascii="Arial" w:cs="Arial" w:eastAsia="Arial" w:hAnsi="Arial"/>
                <w:sz w:val="18"/>
                <w:szCs w:val="18"/>
                <w:color w:val="auto"/>
              </w:rPr>
              <w:t>/s/ Daniel M. Chism</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Daniel M. Chism</w:t>
            </w:r>
          </w:p>
        </w:tc>
      </w:tr>
      <w:tr>
        <w:trPr>
          <w:trHeight w:val="432"/>
        </w:trPr>
        <w:tc>
          <w:tcPr>
            <w:tcW w:w="750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emdash "/>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emdash "/>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www.sec.gov/Archives/edgar/data/876523/000087652317000099/a2018-q1guateprendaspa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2020-01-14T05:28:02Z</dcterms:created>
  <dcterms:modified xsi:type="dcterms:W3CDTF">2020-01-14T05:28:02Z</dcterms:modified>
</cp:coreProperties>
</file>