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3900" w:right="1640" w:hanging="3865"/>
        <w:spacing w:after="0" w:line="416" w:lineRule="auto"/>
        <w:tabs>
          <w:tab w:leader="none" w:pos="615"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5300" w:type="dxa"/>
            <w:vAlign w:val="bottom"/>
          </w:tcPr>
          <w:p>
            <w:pPr>
              <w:ind w:left="294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108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345"/>
        </w:trPr>
        <w:tc>
          <w:tcPr>
            <w:tcW w:w="9140" w:type="dxa"/>
            <w:vAlign w:val="bottom"/>
            <w:gridSpan w:val="5"/>
          </w:tcPr>
          <w:p>
            <w:pPr>
              <w:jc w:val="center"/>
              <w:ind w:left="1252"/>
              <w:spacing w:after="0"/>
              <w:rPr>
                <w:sz w:val="20"/>
                <w:szCs w:val="20"/>
                <w:color w:val="auto"/>
              </w:rPr>
            </w:pPr>
            <w:r>
              <w:rPr>
                <w:rFonts w:ascii="Arial" w:cs="Arial" w:eastAsia="Arial" w:hAnsi="Arial"/>
                <w:sz w:val="18"/>
                <w:szCs w:val="18"/>
                <w:b w:val="1"/>
                <w:bCs w:val="1"/>
                <w:color w:val="auto"/>
                <w:w w:val="89"/>
              </w:rPr>
              <w:t>Commission File No. 0-19424</w:t>
            </w:r>
          </w:p>
        </w:tc>
      </w:tr>
      <w:tr>
        <w:trPr>
          <w:trHeight w:val="982"/>
        </w:trPr>
        <w:tc>
          <w:tcPr>
            <w:tcW w:w="6200" w:type="dxa"/>
            <w:vAlign w:val="bottom"/>
            <w:gridSpan w:val="2"/>
          </w:tcPr>
          <w:p>
            <w:pPr>
              <w:jc w:val="center"/>
              <w:ind w:left="4192"/>
              <w:spacing w:after="0"/>
              <w:rPr>
                <w:sz w:val="20"/>
                <w:szCs w:val="20"/>
                <w:color w:val="auto"/>
              </w:rPr>
            </w:pPr>
            <w:r>
              <w:rPr>
                <w:rFonts w:ascii="Arial" w:cs="Arial" w:eastAsia="Arial" w:hAnsi="Arial"/>
                <w:sz w:val="22"/>
                <w:szCs w:val="22"/>
                <w:b w:val="1"/>
                <w:bCs w:val="1"/>
                <w:color w:val="auto"/>
                <w:w w:val="97"/>
              </w:rPr>
              <w:t>EZCORP, INC.</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4"/>
        </w:trPr>
        <w:tc>
          <w:tcPr>
            <w:tcW w:w="9140" w:type="dxa"/>
            <w:vAlign w:val="bottom"/>
            <w:gridSpan w:val="5"/>
          </w:tcPr>
          <w:p>
            <w:pPr>
              <w:jc w:val="center"/>
              <w:ind w:left="1252"/>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78"/>
        </w:trPr>
        <w:tc>
          <w:tcPr>
            <w:tcW w:w="62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gridSpan w:val="3"/>
          </w:tcPr>
          <w:p>
            <w:pPr>
              <w:jc w:val="right"/>
              <w:ind w:right="548"/>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6200" w:type="dxa"/>
            <w:vAlign w:val="bottom"/>
            <w:gridSpan w:val="2"/>
          </w:tcPr>
          <w:p>
            <w:pPr>
              <w:jc w:val="center"/>
              <w:ind w:right="144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0" w:type="dxa"/>
            <w:vAlign w:val="bottom"/>
          </w:tcPr>
          <w:p>
            <w:pPr>
              <w:spacing w:after="0"/>
              <w:rPr>
                <w:sz w:val="18"/>
                <w:szCs w:val="18"/>
                <w:color w:val="auto"/>
              </w:rPr>
            </w:pPr>
          </w:p>
        </w:tc>
        <w:tc>
          <w:tcPr>
            <w:tcW w:w="2700" w:type="dxa"/>
            <w:vAlign w:val="bottom"/>
            <w:gridSpan w:val="2"/>
          </w:tcPr>
          <w:p>
            <w:pPr>
              <w:jc w:val="center"/>
              <w:ind w:left="528"/>
              <w:spacing w:after="0"/>
              <w:rPr>
                <w:sz w:val="20"/>
                <w:szCs w:val="20"/>
                <w:color w:val="auto"/>
              </w:rPr>
            </w:pPr>
            <w:r>
              <w:rPr>
                <w:rFonts w:ascii="Arial" w:cs="Arial" w:eastAsia="Arial" w:hAnsi="Arial"/>
                <w:sz w:val="14"/>
                <w:szCs w:val="14"/>
                <w:color w:val="auto"/>
                <w:w w:val="97"/>
              </w:rPr>
              <w:t>(I.R.S. Employer Identification No.)</w:t>
            </w:r>
          </w:p>
        </w:tc>
      </w:tr>
      <w:tr>
        <w:trPr>
          <w:trHeight w:val="377"/>
        </w:trPr>
        <w:tc>
          <w:tcPr>
            <w:tcW w:w="62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89"/>
              </w:rPr>
              <w:t>2500 Bee Cave Road, Bldg One, Suite 200, Rollingwood, Texas</w:t>
            </w:r>
          </w:p>
        </w:tc>
        <w:tc>
          <w:tcPr>
            <w:tcW w:w="294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78746</w:t>
            </w:r>
          </w:p>
        </w:tc>
      </w:tr>
      <w:tr>
        <w:trPr>
          <w:trHeight w:val="218"/>
        </w:trPr>
        <w:tc>
          <w:tcPr>
            <w:tcW w:w="6200" w:type="dxa"/>
            <w:vAlign w:val="bottom"/>
            <w:gridSpan w:val="2"/>
          </w:tcPr>
          <w:p>
            <w:pPr>
              <w:jc w:val="center"/>
              <w:ind w:right="1440"/>
              <w:spacing w:after="0"/>
              <w:rPr>
                <w:sz w:val="20"/>
                <w:szCs w:val="20"/>
                <w:color w:val="auto"/>
              </w:rPr>
            </w:pPr>
            <w:r>
              <w:rPr>
                <w:rFonts w:ascii="Arial" w:cs="Arial" w:eastAsia="Arial" w:hAnsi="Arial"/>
                <w:sz w:val="14"/>
                <w:szCs w:val="14"/>
                <w:color w:val="auto"/>
                <w:w w:val="95"/>
              </w:rPr>
              <w:t>(Address of principal executive offices)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jc w:val="center"/>
              <w:ind w:right="408"/>
              <w:spacing w:after="0"/>
              <w:rPr>
                <w:sz w:val="20"/>
                <w:szCs w:val="20"/>
                <w:color w:val="auto"/>
              </w:rPr>
            </w:pPr>
            <w:r>
              <w:rPr>
                <w:rFonts w:ascii="Arial" w:cs="Arial" w:eastAsia="Arial" w:hAnsi="Arial"/>
                <w:sz w:val="14"/>
                <w:szCs w:val="14"/>
                <w:color w:val="auto"/>
                <w:w w:val="93"/>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-1543685</wp:posOffset>
            </wp:positionV>
            <wp:extent cx="2006600"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111760</wp:posOffset>
            </wp:positionV>
            <wp:extent cx="239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16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28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04" w:lineRule="exact"/>
        <w:rPr>
          <w:sz w:val="24"/>
          <w:szCs w:val="24"/>
          <w:color w:val="auto"/>
        </w:rPr>
      </w:pPr>
    </w:p>
    <w:tbl>
      <w:tblPr>
        <w:tblLayout w:type="fixed"/>
        <w:tblInd w:w="190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120" w:type="dxa"/>
            <w:vAlign w:val="bottom"/>
          </w:tcPr>
          <w:p>
            <w:pPr>
              <w:ind w:left="160"/>
              <w:spacing w:after="0"/>
              <w:rPr>
                <w:sz w:val="20"/>
                <w:szCs w:val="20"/>
                <w:color w:val="auto"/>
              </w:rPr>
            </w:pPr>
            <w:r>
              <w:rPr>
                <w:rFonts w:ascii="Arial" w:cs="Arial" w:eastAsia="Arial" w:hAnsi="Arial"/>
                <w:sz w:val="16"/>
                <w:szCs w:val="16"/>
                <w:color w:val="auto"/>
              </w:rPr>
              <w:t>Accelerated filer</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8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120" w:type="dxa"/>
            <w:vAlign w:val="bottom"/>
          </w:tcPr>
          <w:p>
            <w:pPr>
              <w:ind w:left="160"/>
              <w:spacing w:after="0"/>
              <w:rPr>
                <w:sz w:val="20"/>
                <w:szCs w:val="20"/>
                <w:color w:val="auto"/>
              </w:rPr>
            </w:pPr>
            <w:r>
              <w:rPr>
                <w:rFonts w:ascii="Arial" w:cs="Arial" w:eastAsia="Arial" w:hAnsi="Arial"/>
                <w:sz w:val="16"/>
                <w:szCs w:val="16"/>
                <w:color w:val="auto"/>
              </w:rPr>
              <w:t>Smaller reporting company</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120" w:type="dxa"/>
            <w:vAlign w:val="bottom"/>
          </w:tcPr>
          <w:p>
            <w:pPr>
              <w:ind w:left="160"/>
              <w:spacing w:after="0"/>
              <w:rPr>
                <w:sz w:val="20"/>
                <w:szCs w:val="20"/>
                <w:color w:val="auto"/>
              </w:rPr>
            </w:pPr>
            <w:r>
              <w:rPr>
                <w:rFonts w:ascii="Arial" w:cs="Arial" w:eastAsia="Arial" w:hAnsi="Arial"/>
                <w:sz w:val="16"/>
                <w:szCs w:val="16"/>
                <w:color w:val="auto"/>
              </w:rPr>
              <w:t>Emerging growth company</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right="1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APPLICABLE ONLY TO CORPORATE ISSUERS:</w:t>
      </w:r>
    </w:p>
    <w:p>
      <w:pPr>
        <w:spacing w:after="0" w:line="10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4" w:lineRule="exact"/>
        <w:rPr>
          <w:sz w:val="24"/>
          <w:szCs w:val="24"/>
          <w:color w:val="auto"/>
        </w:rPr>
      </w:pPr>
    </w:p>
    <w:p>
      <w:pPr>
        <w:ind w:right="40"/>
        <w:spacing w:after="0" w:line="273" w:lineRule="auto"/>
        <w:rPr>
          <w:sz w:val="20"/>
          <w:szCs w:val="20"/>
          <w:color w:val="auto"/>
        </w:rPr>
      </w:pPr>
      <w:r>
        <w:rPr>
          <w:rFonts w:ascii="Arial" w:cs="Arial" w:eastAsia="Arial" w:hAnsi="Arial"/>
          <w:sz w:val="14"/>
          <w:szCs w:val="14"/>
          <w:color w:val="auto"/>
        </w:rPr>
        <w:t>As of April 25, 2019, 52,475,070 shares of the registrant’s Class A Non-voting Common Stock ("Class A Common Stock"), par value $.01 per share, and 2,970,171 shares of the registrant’s Class B Voting Common Stock, par value $.01 per share, were outstanding.</w:t>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31"/>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6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w w:val="96"/>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60" w:type="dxa"/>
            <w:vAlign w:val="bottom"/>
            <w:gridSpan w:val="11"/>
          </w:tcPr>
          <w:p>
            <w:pPr>
              <w:jc w:val="center"/>
              <w:ind w:right="336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306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8120" w:type="dxa"/>
            <w:vAlign w:val="bottom"/>
            <w:gridSpan w:val="1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Item 1. Financial Statements</w:t>
              </w:r>
            </w:hyperlink>
          </w:p>
        </w:tc>
        <w:tc>
          <w:tcPr>
            <w:tcW w:w="8760" w:type="dxa"/>
            <w:vAlign w:val="bottom"/>
            <w:gridSpan w:val="2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2019 and 2018 and September 30, 2018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4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March 31, 2019 and 2018 (Unaudited)</w:t>
              </w:r>
            </w:hyperlink>
          </w:p>
        </w:tc>
        <w:tc>
          <w:tcPr>
            <w:tcW w:w="13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Six Months Ended March 31, 2019 and 2018</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w:t>
              </w:r>
            </w:hyperlink>
          </w:p>
        </w:tc>
        <w:tc>
          <w:tcPr>
            <w:tcW w:w="9640" w:type="dxa"/>
            <w:vAlign w:val="bottom"/>
            <w:gridSpan w:val="2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Stockholders’ Equity for the Three and Six Months Ended March 31, 2019 and 2018</w:t>
              </w:r>
            </w:hyperlink>
          </w:p>
        </w:tc>
        <w:tc>
          <w:tcPr>
            <w:tcW w:w="15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w:t>
              </w:r>
            </w:hyperlink>
          </w:p>
        </w:tc>
        <w:tc>
          <w:tcPr>
            <w:tcW w:w="9640" w:type="dxa"/>
            <w:vAlign w:val="bottom"/>
            <w:gridSpan w:val="2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March 31, 2019 and 2018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Notes to Interim Condensed Consolidated Financial Statements (Unaudited)</w:t>
              </w:r>
            </w:hyperlink>
          </w:p>
        </w:tc>
        <w:tc>
          <w:tcPr>
            <w:tcW w:w="2940" w:type="dxa"/>
            <w:vAlign w:val="bottom"/>
            <w:tcBorders>
              <w:top w:val="single" w:sz="8" w:color="0000EE"/>
            </w:tcBorders>
            <w:gridSpan w:val="4"/>
          </w:tcPr>
          <w:p>
            <w:pPr>
              <w:spacing w:after="0"/>
              <w:rPr>
                <w:sz w:val="24"/>
                <w:szCs w:val="24"/>
                <w:color w:val="auto"/>
              </w:rPr>
            </w:pPr>
          </w:p>
        </w:tc>
        <w:tc>
          <w:tcPr>
            <w:tcW w:w="20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Note 1: Organization and Summary of Significant Accounting Policies</w:t>
              </w:r>
            </w:hyperlink>
          </w:p>
        </w:tc>
        <w:tc>
          <w:tcPr>
            <w:tcW w:w="498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Note 2: Acquisitions</w:t>
              </w:r>
            </w:hyperlink>
          </w:p>
        </w:tc>
        <w:tc>
          <w:tcPr>
            <w:tcW w:w="8580" w:type="dxa"/>
            <w:vAlign w:val="bottom"/>
            <w:gridSpan w:val="1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2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 3: Earnings Per Share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Note 4: Strategic Investments</w:t>
              </w:r>
            </w:hyperlink>
          </w:p>
        </w:tc>
        <w:tc>
          <w:tcPr>
            <w:tcW w:w="794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2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Note 5: Fair Value Measurements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Note 6: Debt</w:t>
              </w:r>
            </w:hyperlink>
          </w:p>
        </w:tc>
        <w:tc>
          <w:tcPr>
            <w:tcW w:w="1480" w:type="dxa"/>
            <w:vAlign w:val="bottom"/>
            <w:tcBorders>
              <w:top w:val="single" w:sz="8" w:color="0000EE"/>
            </w:tcBorders>
            <w:gridSpan w:val="11"/>
          </w:tcPr>
          <w:p>
            <w:pPr>
              <w:spacing w:after="0"/>
              <w:rPr>
                <w:sz w:val="24"/>
                <w:szCs w:val="24"/>
                <w:color w:val="auto"/>
              </w:rPr>
            </w:pPr>
          </w:p>
        </w:tc>
        <w:tc>
          <w:tcPr>
            <w:tcW w:w="766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Note 7: Stock Compensation</w:t>
              </w:r>
            </w:hyperlink>
          </w:p>
        </w:tc>
        <w:tc>
          <w:tcPr>
            <w:tcW w:w="800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Note 8: Contingencies</w:t>
              </w:r>
            </w:hyperlink>
          </w:p>
        </w:tc>
        <w:tc>
          <w:tcPr>
            <w:tcW w:w="8460" w:type="dxa"/>
            <w:vAlign w:val="bottom"/>
            <w:gridSpan w:val="1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Note 9: Segment Information</w:t>
              </w:r>
            </w:hyperlink>
          </w:p>
        </w:tc>
        <w:tc>
          <w:tcPr>
            <w:tcW w:w="796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Note 10: Supplemental Consolidated Financial Information and Other</w:t>
              </w:r>
            </w:hyperlink>
          </w:p>
        </w:tc>
        <w:tc>
          <w:tcPr>
            <w:tcW w:w="504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23"/>
          </w:tcPr>
          <w:p>
            <w:pPr>
              <w:spacing w:after="0"/>
              <w:rPr>
                <w:rFonts w:ascii="Arial" w:cs="Arial" w:eastAsia="Arial" w:hAnsi="Arial"/>
                <w:sz w:val="18"/>
                <w:szCs w:val="18"/>
                <w:i w:val="1"/>
                <w:iCs w:val="1"/>
                <w:color w:val="0000EE"/>
                <w:w w:val="91"/>
              </w:rPr>
            </w:pPr>
            <w:hyperlink w:anchor="page27">
              <w:r>
                <w:rPr>
                  <w:rFonts w:ascii="Arial" w:cs="Arial" w:eastAsia="Arial" w:hAnsi="Arial"/>
                  <w:sz w:val="18"/>
                  <w:szCs w:val="18"/>
                  <w:i w:val="1"/>
                  <w:iCs w:val="1"/>
                  <w:color w:val="0000EE"/>
                  <w:w w:val="91"/>
                </w:rPr>
                <w:t>Item 2. Management’s Discussion and Analysis of Financial Condition and Results of Operations</w:t>
              </w:r>
            </w:hyperlink>
          </w:p>
        </w:tc>
        <w:tc>
          <w:tcPr>
            <w:tcW w:w="382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9"/>
          </w:tcPr>
          <w:p>
            <w:pPr>
              <w:spacing w:after="0"/>
              <w:rPr>
                <w:rFonts w:ascii="Arial" w:cs="Arial" w:eastAsia="Arial" w:hAnsi="Arial"/>
                <w:sz w:val="18"/>
                <w:szCs w:val="18"/>
                <w:i w:val="1"/>
                <w:iCs w:val="1"/>
                <w:color w:val="0000EE"/>
              </w:rPr>
            </w:pPr>
            <w:hyperlink w:anchor="page45">
              <w:r>
                <w:rPr>
                  <w:rFonts w:ascii="Arial" w:cs="Arial" w:eastAsia="Arial" w:hAnsi="Arial"/>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1"/>
          </w:tcPr>
          <w:p>
            <w:pPr>
              <w:spacing w:after="0"/>
              <w:rPr>
                <w:rFonts w:ascii="Arial" w:cs="Arial" w:eastAsia="Arial" w:hAnsi="Arial"/>
                <w:sz w:val="18"/>
                <w:szCs w:val="18"/>
                <w:i w:val="1"/>
                <w:iCs w:val="1"/>
                <w:color w:val="0000EE"/>
                <w:w w:val="90"/>
              </w:rPr>
            </w:pPr>
            <w:hyperlink w:anchor="page45">
              <w:r>
                <w:rPr>
                  <w:rFonts w:ascii="Arial" w:cs="Arial" w:eastAsia="Arial" w:hAnsi="Arial"/>
                  <w:sz w:val="18"/>
                  <w:szCs w:val="18"/>
                  <w:i w:val="1"/>
                  <w:iCs w:val="1"/>
                  <w:color w:val="0000EE"/>
                  <w:w w:val="90"/>
                </w:rPr>
                <w:t>Item 4. Controls and Procedures</w:t>
              </w:r>
            </w:hyperlink>
          </w:p>
        </w:tc>
        <w:tc>
          <w:tcPr>
            <w:tcW w:w="2520" w:type="dxa"/>
            <w:vAlign w:val="bottom"/>
            <w:tcBorders>
              <w:top w:val="single" w:sz="8" w:color="0000EE"/>
            </w:tcBorders>
            <w:gridSpan w:val="8"/>
          </w:tcPr>
          <w:p>
            <w:pPr>
              <w:spacing w:after="0"/>
              <w:rPr>
                <w:sz w:val="24"/>
                <w:szCs w:val="24"/>
                <w:color w:val="auto"/>
              </w:rPr>
            </w:pPr>
          </w:p>
        </w:tc>
        <w:tc>
          <w:tcPr>
            <w:tcW w:w="5960" w:type="dxa"/>
            <w:vAlign w:val="bottom"/>
            <w:gridSpan w:val="10"/>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372"/>
        </w:trPr>
        <w:tc>
          <w:tcPr>
            <w:tcW w:w="40" w:type="dxa"/>
            <w:vAlign w:val="bottom"/>
          </w:tcPr>
          <w:p>
            <w:pPr>
              <w:spacing w:after="0"/>
              <w:rPr>
                <w:sz w:val="24"/>
                <w:szCs w:val="24"/>
                <w:color w:val="auto"/>
              </w:rPr>
            </w:pPr>
          </w:p>
        </w:tc>
        <w:tc>
          <w:tcPr>
            <w:tcW w:w="11180" w:type="dxa"/>
            <w:vAlign w:val="bottom"/>
            <w:gridSpan w:val="3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8"/>
          </w:tcPr>
          <w:p>
            <w:pPr>
              <w:spacing w:after="0"/>
              <w:rPr>
                <w:rFonts w:ascii="Arial" w:cs="Arial" w:eastAsia="Arial" w:hAnsi="Arial"/>
                <w:sz w:val="18"/>
                <w:szCs w:val="18"/>
                <w:i w:val="1"/>
                <w:iCs w:val="1"/>
                <w:color w:val="0000EE"/>
                <w:w w:val="89"/>
              </w:rPr>
            </w:pPr>
            <w:hyperlink w:anchor="page46">
              <w:r>
                <w:rPr>
                  <w:rFonts w:ascii="Arial" w:cs="Arial" w:eastAsia="Arial" w:hAnsi="Arial"/>
                  <w:sz w:val="18"/>
                  <w:szCs w:val="18"/>
                  <w:i w:val="1"/>
                  <w:iCs w:val="1"/>
                  <w:color w:val="0000EE"/>
                  <w:w w:val="89"/>
                </w:rPr>
                <w:t>Item 1. Legal Proceedings</w:t>
              </w:r>
            </w:hyperlink>
          </w:p>
        </w:tc>
        <w:tc>
          <w:tcPr>
            <w:tcW w:w="500" w:type="dxa"/>
            <w:vAlign w:val="bottom"/>
            <w:tcBorders>
              <w:top w:val="single" w:sz="8" w:color="0000EE"/>
            </w:tcBorders>
            <w:gridSpan w:val="5"/>
          </w:tcPr>
          <w:p>
            <w:pPr>
              <w:spacing w:after="0"/>
              <w:rPr>
                <w:sz w:val="24"/>
                <w:szCs w:val="24"/>
                <w:color w:val="auto"/>
              </w:rPr>
            </w:pPr>
          </w:p>
        </w:tc>
        <w:tc>
          <w:tcPr>
            <w:tcW w:w="8440" w:type="dxa"/>
            <w:vAlign w:val="bottom"/>
            <w:gridSpan w:val="1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i w:val="1"/>
                <w:iCs w:val="1"/>
                <w:color w:val="0000EE"/>
                <w:w w:val="90"/>
              </w:rPr>
            </w:pPr>
            <w:hyperlink w:anchor="page47">
              <w:r>
                <w:rPr>
                  <w:rFonts w:ascii="Arial" w:cs="Arial" w:eastAsia="Arial" w:hAnsi="Arial"/>
                  <w:sz w:val="18"/>
                  <w:szCs w:val="18"/>
                  <w:i w:val="1"/>
                  <w:iCs w:val="1"/>
                  <w:color w:val="0000EE"/>
                  <w:w w:val="90"/>
                </w:rPr>
                <w:t>Item 1A. Risk Factors</w:t>
              </w:r>
            </w:hyperlink>
          </w:p>
        </w:tc>
        <w:tc>
          <w:tcPr>
            <w:tcW w:w="9260" w:type="dxa"/>
            <w:vAlign w:val="bottom"/>
            <w:gridSpan w:val="2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9"/>
          </w:tcPr>
          <w:p>
            <w:pPr>
              <w:spacing w:after="0"/>
              <w:rPr>
                <w:rFonts w:ascii="Arial" w:cs="Arial" w:eastAsia="Arial" w:hAnsi="Arial"/>
                <w:sz w:val="18"/>
                <w:szCs w:val="18"/>
                <w:i w:val="1"/>
                <w:iCs w:val="1"/>
                <w:color w:val="0000EE"/>
              </w:rPr>
            </w:pPr>
            <w:hyperlink w:anchor="page47">
              <w:r>
                <w:rPr>
                  <w:rFonts w:ascii="Arial" w:cs="Arial" w:eastAsia="Arial" w:hAnsi="Arial"/>
                  <w:sz w:val="18"/>
                  <w:szCs w:val="18"/>
                  <w:i w:val="1"/>
                  <w:iCs w:val="1"/>
                  <w:color w:val="0000EE"/>
                </w:rPr>
                <w:t>Item 6. 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45</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700" w:type="dxa"/>
            <w:vAlign w:val="bottom"/>
            <w:gridSpan w:val="2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SIGNATURES</w:t>
              </w:r>
            </w:hyperlink>
          </w:p>
        </w:tc>
        <w:tc>
          <w:tcPr>
            <w:tcW w:w="10080" w:type="dxa"/>
            <w:vAlign w:val="bottom"/>
            <w:gridSpan w:val="2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46</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3"/>
                <w:szCs w:val="13"/>
                <w:color w:val="auto"/>
              </w:rPr>
            </w:pPr>
          </w:p>
        </w:tc>
        <w:tc>
          <w:tcPr>
            <w:tcW w:w="100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September 30,</w:t>
            </w:r>
          </w:p>
        </w:tc>
      </w:tr>
      <w:tr>
        <w:trPr>
          <w:trHeight w:val="174"/>
        </w:trPr>
        <w:tc>
          <w:tcPr>
            <w:tcW w:w="7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2018</w:t>
            </w:r>
          </w:p>
        </w:tc>
      </w:tr>
      <w:tr>
        <w:trPr>
          <w:trHeight w:val="384"/>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347,786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159,216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285,311</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Pawn loans</w:t>
            </w: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173,138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159,410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198,463</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27,097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24,130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30,959</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Inventory, net</w:t>
            </w: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173,348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158,642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166,997</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Notes receivable, net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23,450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38,091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34,199</w:t>
            </w: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32,984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29,533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33,456</w:t>
            </w: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777,803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569,022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749,385</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Investment in unconsolidated affiliates</w:t>
            </w: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29,387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46,509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49,500</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67,518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64,833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73,649</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296,881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290,884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299,248</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58,503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45,728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54,923</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Notes receivable, net</w:t>
            </w: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8,509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18,660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3,226</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7,986</w:t>
            </w: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4,395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19,773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3,863</w:t>
            </w: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1,253,115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1,070,496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1,241,780</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8"/>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and equity:</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maturities of long-term debt, net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192,901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103,287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190,181</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58,696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60,538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57,958</w:t>
            </w: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Customer layaway deposits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13,564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12,225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11,824</w:t>
            </w:r>
          </w:p>
        </w:tc>
      </w:tr>
      <w:tr>
        <w:trPr>
          <w:trHeight w:val="250"/>
        </w:trPr>
        <w:tc>
          <w:tcPr>
            <w:tcW w:w="778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265,161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176,050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259,963</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net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232,733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198,338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226,702</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Deferred tax liability, net</w:t>
            </w: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9,012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2,525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8,817</w:t>
            </w:r>
          </w:p>
        </w:tc>
      </w:tr>
      <w:tr>
        <w:trPr>
          <w:trHeight w:val="27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6,450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9,359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6,890</w:t>
            </w:r>
          </w:p>
        </w:tc>
      </w:tr>
      <w:tr>
        <w:trPr>
          <w:trHeight w:val="250"/>
        </w:trPr>
        <w:tc>
          <w:tcPr>
            <w:tcW w:w="7780" w:type="dxa"/>
            <w:vAlign w:val="bottom"/>
          </w:tcPr>
          <w:p>
            <w:pPr>
              <w:ind w:left="720"/>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513,356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386,272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502,372</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Commitments and contingencies (Note 8)</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63"/>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9"/>
              </w:rPr>
              <w:t>Class A Non-voting Common Stock, par value $.01 per share; shares authorized: 100 million; issued and outstanding:</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4"/>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52,475,070 as of March 31, 2019; 51,494,246 as of March 31, 2018; and 51,614,746 as of September 30, 2018</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516</w:t>
            </w:r>
          </w:p>
        </w:tc>
      </w:tr>
      <w:tr>
        <w:trPr>
          <w:trHeight w:val="157"/>
        </w:trPr>
        <w:tc>
          <w:tcPr>
            <w:tcW w:w="7780" w:type="dxa"/>
            <w:vAlign w:val="bottom"/>
          </w:tcPr>
          <w:p>
            <w:pPr>
              <w:ind w:left="500"/>
              <w:spacing w:after="0" w:line="157" w:lineRule="exact"/>
              <w:rPr>
                <w:sz w:val="20"/>
                <w:szCs w:val="20"/>
                <w:color w:val="auto"/>
              </w:rPr>
            </w:pPr>
            <w:r>
              <w:rPr>
                <w:rFonts w:ascii="Arial" w:cs="Arial" w:eastAsia="Arial" w:hAnsi="Arial"/>
                <w:sz w:val="14"/>
                <w:szCs w:val="14"/>
                <w:color w:val="auto"/>
                <w:w w:val="95"/>
              </w:rPr>
              <w:t>Class B Voting Common Stock, convertible, par value $.01 per share; shares authorized: 3 million; issued and outstanding:</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7780" w:type="dxa"/>
            <w:vAlign w:val="bottom"/>
          </w:tcPr>
          <w:p>
            <w:pPr>
              <w:ind w:left="500"/>
              <w:spacing w:after="0"/>
              <w:rPr>
                <w:sz w:val="20"/>
                <w:szCs w:val="20"/>
                <w:color w:val="auto"/>
              </w:rPr>
            </w:pPr>
            <w:r>
              <w:rPr>
                <w:rFonts w:ascii="Arial" w:cs="Arial" w:eastAsia="Arial" w:hAnsi="Arial"/>
                <w:sz w:val="14"/>
                <w:szCs w:val="14"/>
                <w:color w:val="auto"/>
              </w:rPr>
              <w:t>2,970,171</w:t>
            </w:r>
          </w:p>
        </w:tc>
        <w:tc>
          <w:tcPr>
            <w:tcW w:w="180" w:type="dxa"/>
            <w:vAlign w:val="bottom"/>
          </w:tcPr>
          <w:p>
            <w:pPr>
              <w:spacing w:after="0"/>
              <w:rPr>
                <w:sz w:val="16"/>
                <w:szCs w:val="16"/>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402,505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353,698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397,927</w:t>
            </w: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386,650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373,560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386,622</w:t>
            </w: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(49,950)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(40,247)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(42,356)</w:t>
            </w:r>
          </w:p>
        </w:tc>
      </w:tr>
      <w:tr>
        <w:trPr>
          <w:trHeight w:val="250"/>
        </w:trPr>
        <w:tc>
          <w:tcPr>
            <w:tcW w:w="7780" w:type="dxa"/>
            <w:vAlign w:val="bottom"/>
          </w:tcPr>
          <w:p>
            <w:pPr>
              <w:ind w:left="720"/>
              <w:spacing w:after="0"/>
              <w:rPr>
                <w:sz w:val="20"/>
                <w:szCs w:val="20"/>
                <w:color w:val="auto"/>
              </w:rPr>
            </w:pPr>
            <w:r>
              <w:rPr>
                <w:rFonts w:ascii="Arial" w:cs="Arial" w:eastAsia="Arial" w:hAnsi="Arial"/>
                <w:sz w:val="14"/>
                <w:szCs w:val="14"/>
                <w:color w:val="auto"/>
              </w:rPr>
              <w:t>EZCORP, Inc. stockholders’ equity</w:t>
            </w:r>
          </w:p>
        </w:tc>
        <w:tc>
          <w:tcPr>
            <w:tcW w:w="18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739,759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687,556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742,739</w:t>
            </w: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Noncontrolling interest</w:t>
            </w: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(3,331)</w:t>
            </w:r>
          </w:p>
        </w:tc>
      </w:tr>
      <w:tr>
        <w:trPr>
          <w:trHeight w:val="250"/>
        </w:trPr>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equity</w:t>
            </w: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739,759</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684,224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739,408</w:t>
            </w: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1,253,115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1,070,496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1,241,780</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24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w w:val="96"/>
              </w:rPr>
              <w:t>Six Months Ended March 31,</w:t>
            </w:r>
          </w:p>
        </w:tc>
      </w:tr>
      <w:tr>
        <w:trPr>
          <w:trHeight w:val="264"/>
        </w:trPr>
        <w:tc>
          <w:tcPr>
            <w:tcW w:w="60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379"/>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10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121,260</w:t>
            </w:r>
          </w:p>
        </w:tc>
        <w:tc>
          <w:tcPr>
            <w:tcW w:w="12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114,945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242,284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228,533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23,738</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81,799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74,031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165,318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150,053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4,244</w:t>
            </w: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214,730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202,398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430,425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406,568</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77,800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154,912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143,387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8,833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9,574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16,883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19,911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924</w:t>
            </w: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127,690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120,257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257,739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242,346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88,243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82,180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177,029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165,826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26,420</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6,451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13,860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12,174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loss on sale or disposal of assets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110,919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102,072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226,250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204,559</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37,787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5,829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17,380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11,676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Equity in net (income) loss of unconsolidated affiliates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(2,326)</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of investment in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expense (income)</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5,019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37,161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2,360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13,208</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net of tax</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23,953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23,231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(989)</w:t>
            </w:r>
          </w:p>
        </w:tc>
      </w:tr>
      <w:tr>
        <w:trPr>
          <w:trHeight w:val="33"/>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EZCORP,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24,220</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55,445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54,464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55,236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54,447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55,463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57,624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55,247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56,642</w:t>
            </w:r>
          </w:p>
        </w:tc>
      </w:tr>
      <w:tr>
        <w:trPr>
          <w:trHeight w:val="33"/>
        </w:trPr>
        <w:tc>
          <w:tcPr>
            <w:tcW w:w="6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260" w:type="dxa"/>
            <w:vAlign w:val="bottom"/>
            <w:gridSpan w:val="6"/>
          </w:tcPr>
          <w:p>
            <w:pPr>
              <w:ind w:left="60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21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9"/>
              </w:rPr>
              <w:t>Six Months Ended March 31,</w:t>
            </w:r>
          </w:p>
        </w:tc>
      </w:tr>
      <w:tr>
        <w:trPr>
          <w:trHeight w:val="264"/>
        </w:trPr>
        <w:tc>
          <w:tcPr>
            <w:tcW w:w="58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r>
      <w:tr>
        <w:trPr>
          <w:trHeight w:val="379"/>
        </w:trPr>
        <w:tc>
          <w:tcPr>
            <w:tcW w:w="5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9"/>
        </w:trPr>
        <w:tc>
          <w:tcPr>
            <w:tcW w:w="5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center"/>
              <w:ind w:left="322"/>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11,207</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23,231</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Other comprehensive (loss) gain:</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58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Foreign currency translation (loss) gain, net of income tax (benefit) expense for our</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03"/>
        </w:trPr>
        <w:tc>
          <w:tcPr>
            <w:tcW w:w="58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investment in unconsolidated affiliate of ($602) and ($515) for the three and six</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58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months ended March 31, 2019 respectively, and $6 and $182 for the three and six</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9"/>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months ended March 31, 2018, respectively.</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(1,211)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5,945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17,152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(8,796)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22,702</w:t>
            </w:r>
          </w:p>
        </w:tc>
      </w:tr>
      <w:tr>
        <w:trPr>
          <w:trHeight w:val="33"/>
        </w:trPr>
        <w:tc>
          <w:tcPr>
            <w:tcW w:w="5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w:t>
            </w:r>
          </w:p>
        </w:tc>
      </w:tr>
      <w:tr>
        <w:trPr>
          <w:trHeight w:val="244"/>
        </w:trPr>
        <w:tc>
          <w:tcPr>
            <w:tcW w:w="5820" w:type="dxa"/>
            <w:vAlign w:val="bottom"/>
          </w:tcPr>
          <w:p>
            <w:pPr>
              <w:ind w:left="40"/>
              <w:spacing w:after="0"/>
              <w:rPr>
                <w:sz w:val="20"/>
                <w:szCs w:val="20"/>
                <w:color w:val="auto"/>
              </w:rPr>
            </w:pPr>
            <w:r>
              <w:rPr>
                <w:rFonts w:ascii="Arial" w:cs="Arial" w:eastAsia="Arial" w:hAnsi="Arial"/>
                <w:sz w:val="16"/>
                <w:szCs w:val="16"/>
                <w:color w:val="auto"/>
              </w:rPr>
              <w:t>Comprehensive income (loss) attributable to EZCORP, Inc.</w:t>
            </w:r>
          </w:p>
        </w:tc>
        <w:tc>
          <w:tcPr>
            <w:tcW w:w="94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2,183</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17,380</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23,585</w:t>
            </w:r>
          </w:p>
        </w:tc>
      </w:tr>
      <w:tr>
        <w:trPr>
          <w:trHeight w:val="20"/>
        </w:trPr>
        <w:tc>
          <w:tcPr>
            <w:tcW w:w="5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92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tcPr>
          <w:p>
            <w:pPr>
              <w:spacing w:after="0"/>
              <w:rPr>
                <w:sz w:val="13"/>
                <w:szCs w:val="13"/>
                <w:color w:val="auto"/>
              </w:rPr>
            </w:pPr>
          </w:p>
        </w:tc>
        <w:tc>
          <w:tcPr>
            <w:tcW w:w="19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0"/>
                <w:szCs w:val="10"/>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0"/>
              </w:rPr>
              <w:t>(Loss) Income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9"/>
          </w:tcPr>
          <w:p>
            <w:pPr>
              <w:jc w:val="center"/>
              <w:ind w:right="3"/>
              <w:spacing w:after="0"/>
              <w:rPr>
                <w:sz w:val="20"/>
                <w:szCs w:val="20"/>
                <w:color w:val="auto"/>
              </w:rPr>
            </w:pPr>
            <w:r>
              <w:rPr>
                <w:rFonts w:ascii="Arial" w:cs="Arial" w:eastAsia="Arial" w:hAnsi="Arial"/>
                <w:sz w:val="14"/>
                <w:szCs w:val="14"/>
                <w:b w:val="1"/>
                <w:bCs w:val="1"/>
                <w:color w:val="auto"/>
                <w:w w:val="90"/>
              </w:rPr>
              <w:t>(Unaudited, except balances as of September 30, 2017)</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920"/>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September 30, 2017</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54,398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348,532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347,885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656,355</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3740" w:type="dxa"/>
            <w:vAlign w:val="bottom"/>
          </w:tcPr>
          <w:p>
            <w:pPr>
              <w:ind w:left="280"/>
              <w:spacing w:after="0"/>
              <w:rPr>
                <w:sz w:val="20"/>
                <w:szCs w:val="20"/>
                <w:color w:val="auto"/>
              </w:rPr>
            </w:pPr>
            <w:r>
              <w:rPr>
                <w:rFonts w:ascii="Arial" w:cs="Arial" w:eastAsia="Arial" w:hAnsi="Arial"/>
                <w:sz w:val="16"/>
                <w:szCs w:val="16"/>
                <w:color w:val="auto"/>
                <w:w w:val="94"/>
              </w:rPr>
              <w:t>Taxes paid related to net share settlement of equity</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40" w:type="dxa"/>
            <w:vAlign w:val="bottom"/>
          </w:tcPr>
          <w:p>
            <w:pPr>
              <w:ind w:left="280"/>
              <w:spacing w:after="0"/>
              <w:rPr>
                <w:sz w:val="20"/>
                <w:szCs w:val="20"/>
                <w:color w:val="auto"/>
              </w:rPr>
            </w:pPr>
            <w:r>
              <w:rPr>
                <w:rFonts w:ascii="Arial" w:cs="Arial" w:eastAsia="Arial" w:hAnsi="Arial"/>
                <w:sz w:val="16"/>
                <w:szCs w:val="16"/>
                <w:color w:val="auto"/>
              </w:rPr>
              <w:t>awards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loss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(6,474)</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12,639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12,024</w:t>
            </w:r>
          </w:p>
        </w:tc>
        <w:tc>
          <w:tcPr>
            <w:tcW w:w="0" w:type="dxa"/>
            <w:vAlign w:val="bottom"/>
          </w:tcPr>
          <w:p>
            <w:pPr>
              <w:spacing w:after="0"/>
              <w:rPr>
                <w:sz w:val="1"/>
                <w:szCs w:val="1"/>
                <w:color w:val="auto"/>
              </w:rPr>
            </w:pPr>
          </w:p>
        </w:tc>
      </w:tr>
      <w:tr>
        <w:trPr>
          <w:trHeight w:val="33"/>
        </w:trPr>
        <w:tc>
          <w:tcPr>
            <w:tcW w:w="3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December 31, 2017</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351,110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360,524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664,484</w:t>
            </w:r>
          </w:p>
        </w:tc>
        <w:tc>
          <w:tcPr>
            <w:tcW w:w="0" w:type="dxa"/>
            <w:vAlign w:val="bottom"/>
          </w:tcPr>
          <w:p>
            <w:pPr>
              <w:spacing w:after="0"/>
              <w:rPr>
                <w:sz w:val="1"/>
                <w:szCs w:val="1"/>
                <w:color w:val="auto"/>
              </w:rPr>
            </w:pPr>
          </w:p>
        </w:tc>
      </w:tr>
      <w:tr>
        <w:trPr>
          <w:trHeight w:val="217"/>
        </w:trPr>
        <w:tc>
          <w:tcPr>
            <w:tcW w:w="374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2,588</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Reclassification of stranded tax effects resulting</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from the Tax Cuts and Jobs Act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Foreign currency translation gain</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5,799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5,945</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11,207</w:t>
            </w:r>
          </w:p>
        </w:tc>
        <w:tc>
          <w:tcPr>
            <w:tcW w:w="0" w:type="dxa"/>
            <w:vAlign w:val="bottom"/>
          </w:tcPr>
          <w:p>
            <w:pPr>
              <w:spacing w:after="0"/>
              <w:rPr>
                <w:sz w:val="1"/>
                <w:szCs w:val="1"/>
                <w:color w:val="auto"/>
              </w:rPr>
            </w:pPr>
          </w:p>
        </w:tc>
      </w:tr>
      <w:tr>
        <w:trPr>
          <w:trHeight w:val="244"/>
        </w:trPr>
        <w:tc>
          <w:tcPr>
            <w:tcW w:w="3740" w:type="dxa"/>
            <w:vAlign w:val="bottom"/>
          </w:tcPr>
          <w:p>
            <w:pPr>
              <w:ind w:left="40"/>
              <w:spacing w:after="0"/>
              <w:rPr>
                <w:sz w:val="20"/>
                <w:szCs w:val="20"/>
                <w:color w:val="auto"/>
              </w:rPr>
            </w:pPr>
            <w:r>
              <w:rPr>
                <w:rFonts w:ascii="Arial" w:cs="Arial" w:eastAsia="Arial" w:hAnsi="Arial"/>
                <w:sz w:val="16"/>
                <w:szCs w:val="16"/>
                <w:color w:val="auto"/>
              </w:rPr>
              <w:t>Balances as of March 31, 2018</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54,464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353,698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373,560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(40,247)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(3,332)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684,224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7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102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2020" w:type="dxa"/>
            <w:vAlign w:val="bottom"/>
            <w:gridSpan w:val="5"/>
          </w:tcPr>
          <w:p>
            <w:pPr>
              <w:ind w:left="5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4"/>
                <w:szCs w:val="4"/>
                <w:color w:val="auto"/>
              </w:rPr>
            </w:pPr>
          </w:p>
        </w:tc>
        <w:tc>
          <w:tcPr>
            <w:tcW w:w="1200" w:type="dxa"/>
            <w:vAlign w:val="bottom"/>
            <w:gridSpan w:val="2"/>
            <w:vMerge w:val="restart"/>
          </w:tcPr>
          <w:p>
            <w:pPr>
              <w:jc w:val="center"/>
              <w:ind w:right="360"/>
              <w:spacing w:after="0" w:line="13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9"/>
          </w:tcPr>
          <w:p>
            <w:pPr>
              <w:jc w:val="center"/>
              <w:ind w:right="1"/>
              <w:spacing w:after="0"/>
              <w:rPr>
                <w:sz w:val="20"/>
                <w:szCs w:val="20"/>
                <w:color w:val="auto"/>
              </w:rPr>
            </w:pPr>
            <w:r>
              <w:rPr>
                <w:rFonts w:ascii="Arial" w:cs="Arial" w:eastAsia="Arial" w:hAnsi="Arial"/>
                <w:sz w:val="14"/>
                <w:szCs w:val="14"/>
                <w:b w:val="1"/>
                <w:bCs w:val="1"/>
                <w:color w:val="auto"/>
                <w:w w:val="90"/>
              </w:rPr>
              <w:t>(Unaudited, except balances as of September 30, 2018)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left="201"/>
              <w:spacing w:after="0"/>
              <w:rPr>
                <w:sz w:val="20"/>
                <w:szCs w:val="20"/>
                <w:color w:val="auto"/>
              </w:rPr>
            </w:pPr>
            <w:r>
              <w:rPr>
                <w:rFonts w:ascii="Arial" w:cs="Arial" w:eastAsia="Arial" w:hAnsi="Arial"/>
                <w:sz w:val="14"/>
                <w:szCs w:val="14"/>
                <w:i w:val="1"/>
                <w:iCs w:val="1"/>
                <w:color w:val="auto"/>
                <w:w w:val="94"/>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Balances as of September 30, 2018</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54,585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397,927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386,622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739,408</w:t>
            </w:r>
          </w:p>
        </w:tc>
        <w:tc>
          <w:tcPr>
            <w:tcW w:w="0" w:type="dxa"/>
            <w:vAlign w:val="bottom"/>
          </w:tcPr>
          <w:p>
            <w:pPr>
              <w:spacing w:after="0"/>
              <w:rPr>
                <w:sz w:val="1"/>
                <w:szCs w:val="1"/>
                <w:color w:val="auto"/>
              </w:rPr>
            </w:pPr>
          </w:p>
        </w:tc>
      </w:tr>
      <w:tr>
        <w:trPr>
          <w:trHeight w:val="237"/>
        </w:trPr>
        <w:tc>
          <w:tcPr>
            <w:tcW w:w="3740" w:type="dxa"/>
            <w:vAlign w:val="bottom"/>
            <w:gridSpan w:val="2"/>
          </w:tcPr>
          <w:p>
            <w:pPr>
              <w:ind w:left="280"/>
              <w:spacing w:after="0"/>
              <w:rPr>
                <w:sz w:val="20"/>
                <w:szCs w:val="20"/>
                <w:color w:val="auto"/>
              </w:rPr>
            </w:pPr>
            <w:r>
              <w:rPr>
                <w:rFonts w:ascii="Arial" w:cs="Arial" w:eastAsia="Arial" w:hAnsi="Arial"/>
                <w:sz w:val="16"/>
                <w:szCs w:val="16"/>
                <w:color w:val="auto"/>
              </w:rPr>
              <w:t>Stock compensation</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0"/>
        </w:trPr>
        <w:tc>
          <w:tcPr>
            <w:tcW w:w="3740" w:type="dxa"/>
            <w:vAlign w:val="bottom"/>
            <w:gridSpan w:val="2"/>
          </w:tcPr>
          <w:p>
            <w:pPr>
              <w:ind w:left="280"/>
              <w:spacing w:after="0"/>
              <w:rPr>
                <w:sz w:val="20"/>
                <w:szCs w:val="20"/>
                <w:color w:val="auto"/>
              </w:rPr>
            </w:pPr>
            <w:r>
              <w:rPr>
                <w:rFonts w:ascii="Arial" w:cs="Arial" w:eastAsia="Arial" w:hAnsi="Arial"/>
                <w:sz w:val="16"/>
                <w:szCs w:val="16"/>
                <w:color w:val="auto"/>
                <w:w w:val="94"/>
              </w:rPr>
              <w:t>Taxes paid related to net share settlement of equity</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40" w:type="dxa"/>
            <w:vAlign w:val="bottom"/>
            <w:gridSpan w:val="2"/>
          </w:tcPr>
          <w:p>
            <w:pPr>
              <w:ind w:left="280"/>
              <w:spacing w:after="0"/>
              <w:rPr>
                <w:sz w:val="20"/>
                <w:szCs w:val="20"/>
                <w:color w:val="auto"/>
              </w:rPr>
            </w:pPr>
            <w:r>
              <w:rPr>
                <w:rFonts w:ascii="Arial" w:cs="Arial" w:eastAsia="Arial" w:hAnsi="Arial"/>
                <w:sz w:val="16"/>
                <w:szCs w:val="16"/>
                <w:color w:val="auto"/>
              </w:rPr>
              <w:t>awards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Transfer of subsidiary shares to noncontrolling</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gridSpan w:val="2"/>
          </w:tcPr>
          <w:p>
            <w:pPr>
              <w:ind w:left="280"/>
              <w:spacing w:after="0"/>
              <w:rPr>
                <w:sz w:val="20"/>
                <w:szCs w:val="20"/>
                <w:color w:val="auto"/>
              </w:rPr>
            </w:pPr>
            <w:r>
              <w:rPr>
                <w:rFonts w:ascii="Arial" w:cs="Arial" w:eastAsia="Arial" w:hAnsi="Arial"/>
                <w:sz w:val="16"/>
                <w:szCs w:val="16"/>
                <w:color w:val="auto"/>
              </w:rPr>
              <w:t>Foreign currency translation loss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(6,383)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217"/>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Balances as of December 31, 2018</w:t>
            </w: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55,445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400,081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383,256</w:t>
            </w:r>
          </w:p>
        </w:tc>
        <w:tc>
          <w:tcPr>
            <w:tcW w:w="100" w:type="dxa"/>
            <w:vAlign w:val="bottom"/>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(48,739)</w:t>
            </w:r>
          </w:p>
        </w:tc>
        <w:tc>
          <w:tcPr>
            <w:tcW w:w="10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(7,003)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728,149</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Stock compensation</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237"/>
        </w:trPr>
        <w:tc>
          <w:tcPr>
            <w:tcW w:w="3740" w:type="dxa"/>
            <w:vAlign w:val="bottom"/>
            <w:gridSpan w:val="2"/>
          </w:tcPr>
          <w:p>
            <w:pPr>
              <w:ind w:left="280"/>
              <w:spacing w:after="0"/>
              <w:rPr>
                <w:sz w:val="20"/>
                <w:szCs w:val="20"/>
                <w:color w:val="auto"/>
              </w:rPr>
            </w:pPr>
            <w:r>
              <w:rPr>
                <w:rFonts w:ascii="Arial" w:cs="Arial" w:eastAsia="Arial" w:hAnsi="Arial"/>
                <w:sz w:val="16"/>
                <w:szCs w:val="16"/>
                <w:color w:val="auto"/>
              </w:rPr>
              <w:t>Deconsolidation of subsidiary</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7,756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7,756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Foreign currency translation loss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37"/>
        </w:trPr>
        <w:tc>
          <w:tcPr>
            <w:tcW w:w="3740" w:type="dxa"/>
            <w:vAlign w:val="bottom"/>
            <w:gridSpan w:val="2"/>
          </w:tcPr>
          <w:p>
            <w:pPr>
              <w:ind w:left="280"/>
              <w:spacing w:after="0"/>
              <w:rPr>
                <w:sz w:val="20"/>
                <w:szCs w:val="20"/>
                <w:color w:val="auto"/>
              </w:rPr>
            </w:pPr>
            <w:r>
              <w:rPr>
                <w:rFonts w:ascii="Arial" w:cs="Arial" w:eastAsia="Arial" w:hAnsi="Arial"/>
                <w:sz w:val="16"/>
                <w:szCs w:val="16"/>
                <w:color w:val="auto"/>
              </w:rPr>
              <w:t>Net income (loss)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3,394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2,641</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March 31, 2019</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55,445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402,505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386,650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739,759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right="239"/>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379"/>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4"/>
                <w:szCs w:val="24"/>
                <w:color w:val="auto"/>
              </w:rPr>
            </w:pPr>
          </w:p>
        </w:tc>
      </w:tr>
      <w:tr>
        <w:trPr>
          <w:trHeight w:val="209"/>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3"/>
          </w:tcPr>
          <w:p>
            <w:pPr>
              <w:jc w:val="center"/>
              <w:ind w:left="580"/>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8"/>
                <w:szCs w:val="18"/>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23,231</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(loss) income to net 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13,860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12,174</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7,439</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(2,492)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(5,032)</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2,801</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Impairment of investment in unconsolidated affiliate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19,725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1,081</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Reserve on jewelry scrap receivable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3,646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5,534</w:t>
            </w:r>
          </w:p>
        </w:tc>
      </w:tr>
      <w:tr>
        <w:trPr>
          <w:trHeight w:val="237"/>
        </w:trPr>
        <w:tc>
          <w:tcPr>
            <w:tcW w:w="8320" w:type="dxa"/>
            <w:vAlign w:val="bottom"/>
          </w:tcPr>
          <w:p>
            <w:pPr>
              <w:ind w:left="720"/>
              <w:spacing w:after="0"/>
              <w:rPr>
                <w:sz w:val="20"/>
                <w:szCs w:val="20"/>
                <w:color w:val="auto"/>
              </w:rPr>
            </w:pPr>
            <w:r>
              <w:rPr>
                <w:rFonts w:ascii="Arial" w:cs="Arial" w:eastAsia="Arial" w:hAnsi="Arial"/>
                <w:sz w:val="16"/>
                <w:szCs w:val="16"/>
                <w:color w:val="auto"/>
              </w:rPr>
              <w:t>Loss (income) from investment in unconsolidated affiliates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(2,326)</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3,797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4,644</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w:t>
            </w: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(3,590)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(2,982)</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(5,357)</w:t>
            </w: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1,128</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 net of excess tax benefit from stock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3,937</w:t>
            </w:r>
          </w:p>
        </w:tc>
      </w:tr>
      <w:tr>
        <w:trPr>
          <w:trHeight w:val="217"/>
        </w:trPr>
        <w:tc>
          <w:tcPr>
            <w:tcW w:w="8320" w:type="dxa"/>
            <w:vAlign w:val="bottom"/>
          </w:tcPr>
          <w:p>
            <w:pPr>
              <w:ind w:left="8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50,623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45,644</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Loans made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(353,537)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(330,732)</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repaid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225,695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220,267</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142,656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134,870</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(19,251)</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(63,780)</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collections on notes receivable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14,591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9,152</w:t>
            </w:r>
          </w:p>
        </w:tc>
      </w:tr>
      <w:tr>
        <w:trPr>
          <w:trHeight w:val="217"/>
        </w:trPr>
        <w:tc>
          <w:tcPr>
            <w:tcW w:w="8320" w:type="dxa"/>
            <w:vAlign w:val="bottom"/>
          </w:tcPr>
          <w:p>
            <w:pPr>
              <w:ind w:left="82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14,915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(49,474)</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(3,288)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borrowings, net of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Payments on borrowings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33"/>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62,208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(4,379)</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285,578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163,868</w:t>
            </w:r>
          </w:p>
        </w:tc>
      </w:tr>
      <w:tr>
        <w:trPr>
          <w:trHeight w:val="33"/>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347,786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159,489</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09"/>
        </w:trPr>
        <w:tc>
          <w:tcPr>
            <w:tcW w:w="8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151,211</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134,952</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00"/>
          </w:cols>
          <w:pgMar w:left="240" w:top="121" w:right="25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1" w:right="25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When used in this report, the terms “we,” “us,” “our,” “EZCORP” and the “Company” mean EZCORP, Inc. and its consolidated subsidiaries, collectively.</w:t>
      </w:r>
    </w:p>
    <w:p>
      <w:pPr>
        <w:spacing w:after="0" w:line="1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are a leading provider of pawn loans in the United States and Latin America.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accounting principles generally accepted in the United States (“GAAP”)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which are of a normal, recurring nature. All intercompany accounts and transactions have been eliminated in consolidation.</w:t>
      </w:r>
    </w:p>
    <w:p>
      <w:pPr>
        <w:spacing w:after="0" w:line="134" w:lineRule="exact"/>
        <w:rPr>
          <w:sz w:val="20"/>
          <w:szCs w:val="20"/>
          <w:color w:val="auto"/>
        </w:rPr>
      </w:pPr>
    </w:p>
    <w:p>
      <w:pPr>
        <w:ind w:right="100"/>
        <w:spacing w:after="0" w:line="312" w:lineRule="auto"/>
        <w:rPr>
          <w:rFonts w:ascii="Arial" w:cs="Arial" w:eastAsia="Arial" w:hAnsi="Arial"/>
          <w:sz w:val="16"/>
          <w:szCs w:val="16"/>
          <w:color w:val="0000EE"/>
        </w:rPr>
      </w:pPr>
      <w:hyperlink r:id="rId12">
        <w:r>
          <w:rPr>
            <w:rFonts w:ascii="Arial" w:cs="Arial" w:eastAsia="Arial" w:hAnsi="Arial"/>
            <w:sz w:val="16"/>
            <w:szCs w:val="16"/>
            <w:color w:val="auto"/>
          </w:rPr>
          <w:t xml:space="preserve">The accompanying financial statements should be read in conjunction with the consolidated financial statements and notes included in our </w:t>
        </w:r>
        <w:r>
          <w:rPr>
            <w:rFonts w:ascii="Arial" w:cs="Arial" w:eastAsia="Arial" w:hAnsi="Arial"/>
            <w:sz w:val="16"/>
            <w:szCs w:val="16"/>
            <w:u w:val="single" w:color="auto"/>
            <w:color w:val="0000EE"/>
          </w:rPr>
          <w:t>Annual Report on</w:t>
        </w:r>
      </w:hyperlink>
      <w:r>
        <w:rPr>
          <w:rFonts w:ascii="Arial" w:cs="Arial" w:eastAsia="Arial" w:hAnsi="Arial"/>
          <w:sz w:val="16"/>
          <w:szCs w:val="16"/>
          <w:color w:val="auto"/>
        </w:rPr>
        <w:t xml:space="preserve"> </w:t>
      </w:r>
      <w:hyperlink r:id="rId12">
        <w:r>
          <w:rPr>
            <w:rFonts w:ascii="Arial" w:cs="Arial" w:eastAsia="Arial" w:hAnsi="Arial"/>
            <w:sz w:val="16"/>
            <w:szCs w:val="16"/>
            <w:u w:val="single" w:color="auto"/>
            <w:color w:val="0000EE"/>
          </w:rPr>
          <w:t>Form 10-K for the year ended September 30, 2018</w:t>
        </w:r>
        <w:r>
          <w:rPr>
            <w:rFonts w:ascii="Arial" w:cs="Arial" w:eastAsia="Arial" w:hAnsi="Arial"/>
            <w:sz w:val="16"/>
            <w:szCs w:val="16"/>
            <w:color w:val="0000EE"/>
          </w:rPr>
          <w:t xml:space="preserve"> </w:t>
        </w:r>
        <w:r>
          <w:rPr>
            <w:rFonts w:ascii="Arial" w:cs="Arial" w:eastAsia="Arial" w:hAnsi="Arial"/>
            <w:sz w:val="16"/>
            <w:szCs w:val="16"/>
            <w:color w:val="000000"/>
          </w:rPr>
          <w:t>and as corrected below. The balance sheet as of September 30, 2018 has been derived from the audited</w:t>
        </w:r>
      </w:hyperlink>
      <w:r>
        <w:rPr>
          <w:rFonts w:ascii="Arial" w:cs="Arial" w:eastAsia="Arial" w:hAnsi="Arial"/>
          <w:sz w:val="16"/>
          <w:szCs w:val="16"/>
          <w:color w:val="0000EE"/>
        </w:rPr>
        <w:t xml:space="preserve"> </w:t>
      </w:r>
      <w:r>
        <w:rPr>
          <w:rFonts w:ascii="Arial" w:cs="Arial" w:eastAsia="Arial" w:hAnsi="Arial"/>
          <w:sz w:val="16"/>
          <w:szCs w:val="16"/>
          <w:color w:val="000000"/>
        </w:rPr>
        <w:t>financial statements at that date but does not include all of the information and footnotes required by GAAP for complete financial statements.</w:t>
      </w:r>
    </w:p>
    <w:p>
      <w:pPr>
        <w:spacing w:after="0" w:line="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business is subject to seasonal variations, and operating results for the three and six months ended March 31, 2019 and 2018 (the "current quarter" and "current six-months" and "prior-year quarter" and "prior-year six-months," respectively) are not necessarily indicative of the results of operations for the full fiscal year.</w:t>
      </w:r>
    </w:p>
    <w:p>
      <w:pPr>
        <w:spacing w:after="0" w:line="127" w:lineRule="exact"/>
        <w:rPr>
          <w:sz w:val="20"/>
          <w:szCs w:val="20"/>
          <w:color w:val="auto"/>
        </w:rPr>
      </w:pPr>
    </w:p>
    <w:p>
      <w:pPr>
        <w:ind w:right="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in significant accounting policies as described in our </w:t>
      </w:r>
      <w:hyperlink r:id="rId12">
        <w:r>
          <w:rPr>
            <w:rFonts w:ascii="Arial" w:cs="Arial" w:eastAsia="Arial" w:hAnsi="Arial"/>
            <w:sz w:val="18"/>
            <w:szCs w:val="18"/>
            <w:u w:val="single" w:color="auto"/>
            <w:color w:val="0000EE"/>
          </w:rPr>
          <w:t>Annual Report on Form 10-K for the year ended September 30, 2018</w:t>
        </w:r>
      </w:hyperlink>
      <w:r>
        <w:rPr>
          <w:rFonts w:ascii="Arial" w:cs="Arial" w:eastAsia="Arial" w:hAnsi="Arial"/>
          <w:sz w:val="18"/>
          <w:szCs w:val="18"/>
          <w:color w:val="auto"/>
        </w:rPr>
        <w:t>, other than those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inventories,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Corrections to Prior Period Financial Statements</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current quarter, we identified errors in our previously reported financial statements during the ordinary course of account reviews and subsequent investigation of related accounts. None of the identified errors was material to any previously reported period. These have now been corrected in all periods presented. The errors relate primarily to the overstatement of historical balances of pawn service charges receivable resulting from errors in the configuration of information technology reports. These errors resulted in an overstatement of October 1, 2017 beginning retained earnings of $3.8 million. The impact of these corrections on the condensed consolidated financial statements is as follows (in thousands except per share amounts):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2018</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41"/>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Corrections</w:t>
            </w:r>
          </w:p>
        </w:tc>
        <w:tc>
          <w:tcPr>
            <w:tcW w:w="120" w:type="dxa"/>
            <w:vAlign w:val="bottom"/>
          </w:tcPr>
          <w:p>
            <w:pPr>
              <w:spacing w:after="0"/>
              <w:rPr>
                <w:sz w:val="13"/>
                <w:szCs w:val="13"/>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159,912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159,216</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Pawn service charges receivable, net</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30,493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24,130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29,533</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289,438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290,884</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15,087</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Accounts payable, accrued expenses and other current liabilities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60,689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60,538</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377,682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373,560</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(40,463)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(40,247)</w:t>
            </w:r>
          </w:p>
        </w:tc>
        <w:tc>
          <w:tcPr>
            <w:tcW w:w="0" w:type="dxa"/>
            <w:vAlign w:val="bottom"/>
          </w:tcPr>
          <w:p>
            <w:pPr>
              <w:spacing w:after="0"/>
              <w:rPr>
                <w:sz w:val="1"/>
                <w:szCs w:val="1"/>
                <w:color w:val="auto"/>
              </w:rPr>
            </w:pPr>
          </w:p>
        </w:tc>
      </w:tr>
      <w:tr>
        <w:trPr>
          <w:trHeight w:val="432"/>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41"/>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Corrections</w:t>
            </w:r>
          </w:p>
        </w:tc>
        <w:tc>
          <w:tcPr>
            <w:tcW w:w="120" w:type="dxa"/>
            <w:vAlign w:val="bottom"/>
          </w:tcPr>
          <w:p>
            <w:pPr>
              <w:spacing w:after="0"/>
              <w:rPr>
                <w:sz w:val="13"/>
                <w:szCs w:val="13"/>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286,015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285,311</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Pawn service charges receivable, net</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38,318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30,959</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33,456</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297,448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299,248</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7,986</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Accounts payable, accrued expenses and other current liabilities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57,800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57,958</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392,180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386,622</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(42,616)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(42,356)</w:t>
            </w:r>
          </w:p>
        </w:tc>
        <w:tc>
          <w:tcPr>
            <w:tcW w:w="0" w:type="dxa"/>
            <w:vAlign w:val="bottom"/>
          </w:tcPr>
          <w:p>
            <w:pPr>
              <w:spacing w:after="0"/>
              <w:rPr>
                <w:sz w:val="1"/>
                <w:szCs w:val="1"/>
                <w:color w:val="auto"/>
              </w:rPr>
            </w:pPr>
          </w:p>
        </w:tc>
      </w:tr>
      <w:tr>
        <w:trPr>
          <w:trHeight w:val="411"/>
        </w:trPr>
        <w:tc>
          <w:tcPr>
            <w:tcW w:w="7740" w:type="dxa"/>
            <w:vAlign w:val="bottom"/>
          </w:tcPr>
          <w:p>
            <w:pPr>
              <w:spacing w:after="0"/>
              <w:rPr>
                <w:sz w:val="20"/>
                <w:szCs w:val="20"/>
                <w:color w:val="auto"/>
              </w:rPr>
            </w:pPr>
            <w:r>
              <w:rPr>
                <w:rFonts w:ascii="Arial" w:cs="Arial" w:eastAsia="Arial" w:hAnsi="Arial"/>
                <w:sz w:val="18"/>
                <w:szCs w:val="18"/>
                <w:i w:val="1"/>
                <w:iCs w:val="1"/>
                <w:color w:val="auto"/>
              </w:rPr>
              <w:t>Condensed Consolidated Statements of Operations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5"/>
              </w:rPr>
              <w:t>Three Months Ended March 31, 2018</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41"/>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Corrections</w:t>
            </w:r>
          </w:p>
        </w:tc>
        <w:tc>
          <w:tcPr>
            <w:tcW w:w="120" w:type="dxa"/>
            <w:vAlign w:val="bottom"/>
          </w:tcPr>
          <w:p>
            <w:pPr>
              <w:spacing w:after="0"/>
              <w:rPr>
                <w:sz w:val="13"/>
                <w:szCs w:val="13"/>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Pawn service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74,367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74,031</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Operations expense</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82,160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82,180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17,504</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5,921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5,797</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11,707</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0.23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33"/>
        </w:trPr>
        <w:tc>
          <w:tcPr>
            <w:tcW w:w="7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1"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77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4"/>
              </w:rPr>
              <w:t>Six Months Ended March 31, 2018</w:t>
            </w: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Corrections</w:t>
            </w:r>
          </w:p>
        </w:tc>
        <w:tc>
          <w:tcPr>
            <w:tcW w:w="120" w:type="dxa"/>
            <w:vAlign w:val="bottom"/>
          </w:tcPr>
          <w:p>
            <w:pPr>
              <w:spacing w:after="0"/>
              <w:rPr>
                <w:sz w:val="13"/>
                <w:szCs w:val="13"/>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Pawn service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150,727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150,053</w:t>
            </w:r>
          </w:p>
        </w:tc>
        <w:tc>
          <w:tcPr>
            <w:tcW w:w="0" w:type="dxa"/>
            <w:vAlign w:val="bottom"/>
          </w:tcPr>
          <w:p>
            <w:pPr>
              <w:spacing w:after="0"/>
              <w:rPr>
                <w:sz w:val="1"/>
                <w:szCs w:val="1"/>
                <w:color w:val="auto"/>
              </w:rPr>
            </w:pPr>
          </w:p>
        </w:tc>
      </w:tr>
      <w:tr>
        <w:trPr>
          <w:trHeight w:val="237"/>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Operations expense</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165,770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165,826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26,420</w:t>
            </w:r>
          </w:p>
        </w:tc>
        <w:tc>
          <w:tcPr>
            <w:tcW w:w="0" w:type="dxa"/>
            <w:vAlign w:val="bottom"/>
          </w:tcPr>
          <w:p>
            <w:pPr>
              <w:spacing w:after="0"/>
              <w:rPr>
                <w:sz w:val="1"/>
                <w:szCs w:val="1"/>
                <w:color w:val="auto"/>
              </w:rPr>
            </w:pPr>
          </w:p>
        </w:tc>
      </w:tr>
      <w:tr>
        <w:trPr>
          <w:trHeight w:val="237"/>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37,652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37,161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13,208</w:t>
            </w:r>
          </w:p>
        </w:tc>
        <w:tc>
          <w:tcPr>
            <w:tcW w:w="0" w:type="dxa"/>
            <w:vAlign w:val="bottom"/>
          </w:tcPr>
          <w:p>
            <w:pPr>
              <w:spacing w:after="0"/>
              <w:rPr>
                <w:sz w:val="1"/>
                <w:szCs w:val="1"/>
                <w:color w:val="auto"/>
              </w:rPr>
            </w:pPr>
          </w:p>
        </w:tc>
      </w:tr>
      <w:tr>
        <w:trPr>
          <w:trHeight w:val="237"/>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24,294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23,953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37"/>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411"/>
        </w:trPr>
        <w:tc>
          <w:tcPr>
            <w:tcW w:w="7740" w:type="dxa"/>
            <w:vAlign w:val="bottom"/>
            <w:gridSpan w:val="2"/>
          </w:tcPr>
          <w:p>
            <w:pPr>
              <w:spacing w:after="0"/>
              <w:rPr>
                <w:sz w:val="20"/>
                <w:szCs w:val="20"/>
                <w:color w:val="auto"/>
              </w:rPr>
            </w:pPr>
            <w:r>
              <w:rPr>
                <w:rFonts w:ascii="Arial" w:cs="Arial" w:eastAsia="Arial" w:hAnsi="Arial"/>
                <w:sz w:val="18"/>
                <w:szCs w:val="18"/>
                <w:i w:val="1"/>
                <w:iCs w:val="1"/>
                <w:color w:val="auto"/>
              </w:rPr>
              <w:t>Condensed Consolidated Statements of Cash Flows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4"/>
              </w:rPr>
              <w:t>Six Months Ended March 31, 2018</w:t>
            </w: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Corrections</w:t>
            </w:r>
          </w:p>
        </w:tc>
        <w:tc>
          <w:tcPr>
            <w:tcW w:w="120" w:type="dxa"/>
            <w:vAlign w:val="bottom"/>
          </w:tcPr>
          <w:p>
            <w:pPr>
              <w:spacing w:after="0"/>
              <w:rPr>
                <w:sz w:val="13"/>
                <w:szCs w:val="13"/>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23,231</w:t>
            </w:r>
          </w:p>
        </w:tc>
        <w:tc>
          <w:tcPr>
            <w:tcW w:w="0" w:type="dxa"/>
            <w:vAlign w:val="bottom"/>
          </w:tcPr>
          <w:p>
            <w:pPr>
              <w:spacing w:after="0"/>
              <w:rPr>
                <w:sz w:val="1"/>
                <w:szCs w:val="1"/>
                <w:color w:val="auto"/>
              </w:rPr>
            </w:pPr>
          </w:p>
        </w:tc>
      </w:tr>
      <w:tr>
        <w:trPr>
          <w:trHeight w:val="237"/>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Service charges and fees receivable</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3,964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4,644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Accounts payable, accrued expenses and 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(5,357)</w:t>
            </w:r>
          </w:p>
        </w:tc>
        <w:tc>
          <w:tcPr>
            <w:tcW w:w="0" w:type="dxa"/>
            <w:vAlign w:val="bottom"/>
          </w:tcPr>
          <w:p>
            <w:pPr>
              <w:spacing w:after="0"/>
              <w:rPr>
                <w:sz w:val="1"/>
                <w:szCs w:val="1"/>
                <w:color w:val="auto"/>
              </w:rPr>
            </w:pPr>
          </w:p>
        </w:tc>
      </w:tr>
      <w:tr>
        <w:trPr>
          <w:trHeight w:val="237"/>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Income taxes, net of excess tax benefit from stock compensation</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4,085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3,937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45,804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45,644</w:t>
            </w:r>
          </w:p>
        </w:tc>
        <w:tc>
          <w:tcPr>
            <w:tcW w:w="0" w:type="dxa"/>
            <w:vAlign w:val="bottom"/>
          </w:tcPr>
          <w:p>
            <w:pPr>
              <w:spacing w:after="0"/>
              <w:rPr>
                <w:sz w:val="1"/>
                <w:szCs w:val="1"/>
                <w:color w:val="auto"/>
              </w:rPr>
            </w:pPr>
          </w:p>
        </w:tc>
      </w:tr>
      <w:tr>
        <w:trPr>
          <w:trHeight w:val="237"/>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1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previously reported amount includes the impact of adoption of accounting policies described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171" w:lineRule="exact"/>
        <w:rPr>
          <w:sz w:val="20"/>
          <w:szCs w:val="20"/>
          <w:color w:val="auto"/>
        </w:rPr>
      </w:pPr>
    </w:p>
    <w:p>
      <w:pPr>
        <w:ind w:left="660" w:right="4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2018, the Financial Accounting Standards Board ("FASB") issued Accounting Standards Update ("ASU") 2018-15, Intangibles — Goodwill and Other — 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Accounting Standards Codification ("ASC") 350-40 to determine which implementation costs to defer and recognize as an asset. This ASU generally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Our hosting arrangements that are service contracts include various third-party software applications. We adopted this ASU during the first quarter of our fiscal 2019 on a prospective basis for all service contracts entered into after adoption, with no material impact upon adoption.</w:t>
      </w:r>
    </w:p>
    <w:p>
      <w:pPr>
        <w:spacing w:after="0" w:line="143"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November 2016, the FASB issued ASU 2016-18 Statement of Cash Flows (Topic 230): Restricted Cash. This ASU requires the inclusion of restricted cash with cash and cash equivalents when reconciling the beginning-of-period and end-of-period total amounts shown on the statement of cash flows. We adopted this ASU during the first quarter of our fiscal 2019 with no impact on our financial position or results of operations. However, we have recast our statements of cash flows on a retrospective basis to include restricted cash when reconciling the beginning-of-period and end-of-period total amounts.</w:t>
      </w:r>
    </w:p>
    <w:p>
      <w:pPr>
        <w:spacing w:after="0" w:line="134"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2016, the FASB issued ASU 2016-15 Statement of Cash Flows (Topic 230): Classification of Certain Cash Receipts and Cash Payments. This ASU provides guidance on eight specific cash flow issues. We adopted this ASU during the first quarter of our fiscal 2019 on a prospective basis with no impact on our financial position, results of operations or cash flows.</w:t>
      </w:r>
    </w:p>
    <w:p>
      <w:pPr>
        <w:spacing w:after="0" w:line="127"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May 2016, the FASB issued ASU 2016-01, Financial Instruments (Subtopic 825-10). The amendments in this ASU make targeted improvements to GAAP primarily as it pertains to equity investments (not including equity method of accounting), fair value disclosures, balance sheet presentation, and other items pertaining to financial instruments. We adopted this ASU during the first quarter of our fiscal 2019 on a prospective basis, as applicable, with no impact on our financial position, results of operations or cash flows upon adoption.</w:t>
      </w:r>
    </w:p>
    <w:p>
      <w:pPr>
        <w:spacing w:after="0" w:line="117"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2014, the FASB issued ASU 2014-09, Revenue from Contracts with Customers (Topic 606). In August 2015, the FASB issued ASU 2015-14, Revenue from Contracts with Customers (Topic 606) to defer the effective date to</w:t>
      </w:r>
    </w:p>
    <w:p>
      <w:pPr>
        <w:sectPr>
          <w:pgSz w:w="11900" w:h="16838" w:orient="portrait"/>
          <w:cols w:equalWidth="0" w:num="1">
            <w:col w:w="11360"/>
          </w:cols>
          <w:pgMar w:left="240" w:top="114" w:right="299" w:bottom="144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40" w:top="114" w:right="29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right="20"/>
        <w:spacing w:after="0" w:line="320" w:lineRule="auto"/>
        <w:rPr>
          <w:sz w:val="20"/>
          <w:szCs w:val="20"/>
          <w:color w:val="auto"/>
        </w:rPr>
      </w:pPr>
      <w:r>
        <w:rPr>
          <w:rFonts w:ascii="Arial" w:cs="Arial" w:eastAsia="Arial" w:hAnsi="Arial"/>
          <w:sz w:val="17"/>
          <w:szCs w:val="17"/>
          <w:color w:val="auto"/>
        </w:rPr>
        <w:t>December 15, 2017 for annual reporting periods beginning after that date, with early adoption permitted, but not before the original effective date of December 15, 2016. The core principle of this ASU, and the subsequently issued ASUs modifying or clarifying this ASU, is that an entity should recognize revenue to depict the transfer of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new standard allows for two methods of adoption: (a) full retrospective adoption, meaning the standard is applied to all periods presented, or (b) modified retrospective adoption, meaning the cumulative effect of applying the new standard is recognized as an adjustment to the opening retained earnings balance.</w:t>
      </w:r>
    </w:p>
    <w:p>
      <w:pPr>
        <w:spacing w:after="0" w:line="99"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We adopted this ASU and related guidance as of October 1, 2018 using the modified retrospective method. We evaluated the impact of ASC 606 on our consolidated financial position, results of operations, cash flows and disclosure requirements noting no material impact to our consolidated financial statements or disclosures. See Note 9 for disaggregated information about our sources of revenue. Additionally, we have concluded that ASC 606 does not impact our revenue recognition for pawn service charges or consumer loan fees as we believe neither of those revenue streams are within the scope of ASC 606.</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current revenue recognition policies.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Pawn Service Charges Revenue</w:t>
      </w:r>
    </w:p>
    <w:p>
      <w:pPr>
        <w:spacing w:after="0" w:line="171"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We record pawn service charges using the effective interest method over the life of the loan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If a pawn loan is not repaid, we value the forfeited collateral (inventory) at the lower of cost (pawn loan principal) or net realizable value of the item.</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Merchandise and Related Sales Revenue</w:t>
      </w:r>
    </w:p>
    <w:p>
      <w:pPr>
        <w:spacing w:after="0" w:line="171" w:lineRule="exact"/>
        <w:rPr>
          <w:sz w:val="20"/>
          <w:szCs w:val="20"/>
          <w:color w:val="auto"/>
        </w:rPr>
      </w:pPr>
    </w:p>
    <w:p>
      <w:pPr>
        <w:ind w:left="660" w:right="160"/>
        <w:spacing w:after="0" w:line="297" w:lineRule="auto"/>
        <w:rPr>
          <w:sz w:val="20"/>
          <w:szCs w:val="20"/>
          <w:color w:val="auto"/>
        </w:rPr>
      </w:pPr>
      <w:r>
        <w:rPr>
          <w:rFonts w:ascii="Arial" w:cs="Arial" w:eastAsia="Arial" w:hAnsi="Arial"/>
          <w:sz w:val="16"/>
          <w:szCs w:val="16"/>
          <w:color w:val="auto"/>
        </w:rPr>
        <w:t>This revenue stream involves the sale of merchandise to retail customers in our pawn stores. The performance obligation is the delivery of the merchandise to the customer. Revenue and the related cost of merchandise sold is recognized at the time of sale. Customers have a very limited period of time to return merchandise for a refund or exchange, and actual returns for refunds are insignificant. Sales tax collected on the sale of merchandise is excluded from the amount recognized as sales and instead recorded as a liability in “Accounts payable, accrued expenses and other current liabilities” in our condensed consolidated balance sheets until remitted to the appropriate governmental authorities.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Jewelry Scrapping Sales Revenue</w:t>
      </w:r>
    </w:p>
    <w:p>
      <w:pPr>
        <w:spacing w:after="0" w:line="171" w:lineRule="exact"/>
        <w:rPr>
          <w:sz w:val="20"/>
          <w:szCs w:val="20"/>
          <w:color w:val="auto"/>
        </w:rPr>
      </w:pPr>
    </w:p>
    <w:p>
      <w:pPr>
        <w:ind w:left="660" w:right="100"/>
        <w:spacing w:after="0" w:line="302" w:lineRule="auto"/>
        <w:rPr>
          <w:sz w:val="20"/>
          <w:szCs w:val="20"/>
          <w:color w:val="auto"/>
        </w:rPr>
      </w:pPr>
      <w:r>
        <w:rPr>
          <w:rFonts w:ascii="Arial" w:cs="Arial" w:eastAsia="Arial" w:hAnsi="Arial"/>
          <w:sz w:val="16"/>
          <w:szCs w:val="16"/>
          <w:color w:val="auto"/>
        </w:rPr>
        <w:t>This revenue stream involves the sales of scrap (precious metals and stones) to refiners. The performance obligation is the legal transfer of scrap to the refiner. Revenue, and the related cost of scrap sold, is recognized when scrap inventory is provided to the refiner, which is when the customer obtains control of the promised good. The receivables outstanding at the end of a given reporting period are not material. Payment of the receivable from the customer is generally received within a short period of time after the legal transfer of the scrap materials to the refiner.</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Layaway fees, product protection plan revenues, and jewelry VIP package revenues are not significant.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left="660" w:right="20" w:hanging="328"/>
        <w:spacing w:after="0" w:line="27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requires financial assets (or groups of financial assets) measured at amortized cost basis to be presented at the net amount expected to be collected, among other provisions. The provisions of this ASU are effective for fiscal years, and interim periods within those fiscal years, beginning after December 15, 2019. Early adoption is permitted for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periods in which the amendment is effective. We have not identified any impacts to our financial statements that we believe will</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2" w:right="27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right="260"/>
        <w:spacing w:after="0" w:line="395" w:lineRule="auto"/>
        <w:rPr>
          <w:sz w:val="20"/>
          <w:szCs w:val="20"/>
          <w:color w:val="auto"/>
        </w:rPr>
      </w:pPr>
      <w:r>
        <w:rPr>
          <w:rFonts w:ascii="Arial" w:cs="Arial" w:eastAsia="Arial" w:hAnsi="Arial"/>
          <w:sz w:val="16"/>
          <w:szCs w:val="16"/>
          <w:color w:val="auto"/>
        </w:rPr>
        <w:t>be material as a result of the adoption of the ASU, although we continue to evaluate the impact of adoption. We believe we are following an appropriate timeline to allow for proper recognition, presentation and disclosure upon adoption of this ASU which is effective for our fiscal 2021.</w:t>
      </w:r>
    </w:p>
    <w:p>
      <w:pPr>
        <w:spacing w:after="0" w:line="43" w:lineRule="exact"/>
        <w:rPr>
          <w:sz w:val="20"/>
          <w:szCs w:val="20"/>
          <w:color w:val="auto"/>
        </w:rPr>
      </w:pPr>
    </w:p>
    <w:p>
      <w:pPr>
        <w:ind w:left="660" w:right="2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beginning after December 15, 2018, and interim periods within those fiscal years. Early adoption is permitted based upon guidance issued within the ASU. We are in the process of evaluating the impact of adopting ASU 2016-02 on our consolidated financial position, results of operations and cash flows, and anticipate a material impact on our consolidated financial position. Additionally, we are evaluating the disclosure requirements under this ASU and are identifying and preparing to implement changes to our accounting policies, practices and controls to support adoption of the ASU and have completed upgrades to our third-party software solution to support adoption. We will complete our implementation to allow for proper recognition, presentation and disclosure upon adoption of the ASU which is effective for our fiscal 2020. We currently plan to adopt this ASU using the optional transition method provided under ASU 2018-11, Leases, (Topic 842): Targeted Improvement which was issued in July 2018, allowing for application of ASU 2016-02 at the adoption date.</w:t>
      </w:r>
    </w:p>
    <w:p>
      <w:pPr>
        <w:spacing w:after="0" w:line="124" w:lineRule="exact"/>
        <w:rPr>
          <w:sz w:val="20"/>
          <w:szCs w:val="20"/>
          <w:color w:val="auto"/>
        </w:rPr>
      </w:pPr>
    </w:p>
    <w:p>
      <w:pPr>
        <w:ind w:right="340"/>
        <w:spacing w:after="0" w:line="264" w:lineRule="auto"/>
        <w:rPr>
          <w:rFonts w:ascii="Arial" w:cs="Arial" w:eastAsia="Arial" w:hAnsi="Arial"/>
          <w:sz w:val="18"/>
          <w:szCs w:val="18"/>
          <w:color w:val="0000EE"/>
        </w:rPr>
      </w:pPr>
      <w:hyperlink r:id="rId13">
        <w:r>
          <w:rPr>
            <w:rFonts w:ascii="Arial" w:cs="Arial" w:eastAsia="Arial" w:hAnsi="Arial"/>
            <w:sz w:val="18"/>
            <w:szCs w:val="18"/>
            <w:color w:val="auto"/>
          </w:rPr>
          <w:t xml:space="preserve">Please refer to </w:t>
        </w:r>
        <w:r>
          <w:rPr>
            <w:rFonts w:ascii="Arial" w:cs="Arial" w:eastAsia="Arial" w:hAnsi="Arial"/>
            <w:sz w:val="18"/>
            <w:szCs w:val="18"/>
            <w:u w:val="single" w:color="auto"/>
            <w:color w:val="0000EE"/>
          </w:rPr>
          <w:t>Note 1 of Notes to Consolidated Financial Statements included in "Part II, Item 8 — Financial Statements and Supplementary Data" of our</w:t>
        </w:r>
      </w:hyperlink>
      <w:r>
        <w:rPr>
          <w:rFonts w:ascii="Arial" w:cs="Arial" w:eastAsia="Arial" w:hAnsi="Arial"/>
          <w:sz w:val="18"/>
          <w:szCs w:val="18"/>
          <w:color w:val="auto"/>
        </w:rPr>
        <w:t xml:space="preserve"> </w:t>
      </w:r>
      <w:hyperlink r:id="rId13">
        <w:r>
          <w:rPr>
            <w:rFonts w:ascii="Arial" w:cs="Arial" w:eastAsia="Arial" w:hAnsi="Arial"/>
            <w:sz w:val="18"/>
            <w:szCs w:val="18"/>
            <w:u w:val="single" w:color="auto"/>
            <w:color w:val="0000EE"/>
          </w:rPr>
          <w:t>Annual Report on Form 10-K for the year ended September 30, 2018</w:t>
        </w:r>
        <w:r>
          <w:rPr>
            <w:rFonts w:ascii="Arial" w:cs="Arial" w:eastAsia="Arial" w:hAnsi="Arial"/>
            <w:sz w:val="18"/>
            <w:szCs w:val="18"/>
            <w:color w:val="0000EE"/>
          </w:rPr>
          <w:t xml:space="preserve"> </w:t>
        </w:r>
        <w:r>
          <w:rPr>
            <w:rFonts w:ascii="Arial" w:cs="Arial" w:eastAsia="Arial" w:hAnsi="Arial"/>
            <w:sz w:val="18"/>
            <w:szCs w:val="18"/>
            <w:color w:val="000000"/>
          </w:rPr>
          <w:t>for discussion of our significant accounting policies and other accounting</w:t>
        </w:r>
      </w:hyperlink>
      <w:r>
        <w:rPr>
          <w:rFonts w:ascii="Arial" w:cs="Arial" w:eastAsia="Arial" w:hAnsi="Arial"/>
          <w:sz w:val="18"/>
          <w:szCs w:val="18"/>
          <w:color w:val="0000EE"/>
        </w:rPr>
        <w:t xml:space="preserve"> </w:t>
      </w:r>
      <w:r>
        <w:rPr>
          <w:rFonts w:ascii="Arial" w:cs="Arial" w:eastAsia="Arial" w:hAnsi="Arial"/>
          <w:sz w:val="18"/>
          <w:szCs w:val="18"/>
          <w:color w:val="000000"/>
        </w:rPr>
        <w:t>pronouncements issued but not yet adopted.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Acquisitions</w:t>
      </w:r>
    </w:p>
    <w:p>
      <w:pPr>
        <w:spacing w:after="0" w:line="17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December 2018, we acquired assets related to five pawn stores in Mexico, for an aggregate purchase price of $0.3 million in cash, of which $0.1 million was recorded as goodwill. We have concluded that this acquisition was immaterial to our overall consolidated financial results and, therefore, have omitted certain information that would otherwise be required.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Acquisition of Camira Administration Corp. and Subsidiaries (“GPMX”)</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October 6, 2017, we completed the acquisition of 100% of the outstanding stock of Camira Administration Corp. and subsidiaries (“GPMX”), a business that, at the time, owned and operated 112 stores located in Guatemala, El Salvador, Honduras and Peru for a total purchase price of $61.7 million. The GPMX acquisition significantly expanded our store base into Latin American countries outside of Mexico and provides us with a platform for further growth in the region. The accompanying condensed consolidated results of operations for the six months ended March 31, 2019 include the results of operations for GPMX, while the comparable prior-year period includes the results of GPMX for the period October 6, 2017 to March 31, 2018, affecting comparability of fiscal</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2019 and 2018 year-to-date amounts. We have performed a valuation analysis of identifiable assets acquired and liabilities assumed and allocated the total consideration based on the fair values of those identifiable assets and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Fiscal 2018 Acquisitions</w:t>
      </w:r>
    </w:p>
    <w:p>
      <w:pPr>
        <w:spacing w:after="0" w:line="17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On June 25, 2018, June 11, 2018 and December 4, 2017, we acquired pawn stores operating in Mexico under the names “Montepio San Patricio,” "Presta Dinero" and "Bazareño," respectively. These acquisitions significantly strengthened our competitive position in existing regions, gave us a presence in new regions and allowed us to achieve synergies in management and administration. The accompanying condensed consolidated results of operations for the six months ended March 31, 2019 include the results of operations for these acquisitions, while the comparable prior-year periods only include the results of Bazareño for the period December 4, 2017 to March 31, 2018, affecting comparability of fiscal 2019 and 2018 amounts.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performed a valuation analysis of identifiable assets acquired and liabilities assumed and allocated the total consideration based on the fair values of those identifiable assets and liabilities for these acquisitions. During the first quarter of fiscal 2019, we finalized accounting for the Montepio San Patricio and Presta Dinero acquisitions, which were completed in fiscal 2018, and increased associated deferred tax assets by $1.8 million with an offsetting reduction in goodwill.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23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60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318"/>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4"/>
                <w:szCs w:val="14"/>
                <w:i w:val="1"/>
                <w:iCs w:val="1"/>
                <w:color w:val="auto"/>
                <w:w w:val="99"/>
              </w:rPr>
              <w:t>(in thousands, except per share amounts)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EZCORP (A)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24,942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EZCORP (C)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11,581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24,220</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54,447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effect of restricted stock and 2024 Convertible Notes*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2,195</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stock and common stock equivalents (E)</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55,463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57,624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55,247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56,642</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EZCORP:</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97"/>
        </w:trPr>
        <w:tc>
          <w:tcPr>
            <w:tcW w:w="6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earnings per share (C / 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0.45</w:t>
            </w:r>
          </w:p>
        </w:tc>
      </w:tr>
      <w:tr>
        <w:trPr>
          <w:trHeight w:val="109"/>
        </w:trPr>
        <w:tc>
          <w:tcPr>
            <w:tcW w:w="60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EZCORP:</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 earnings per share (C / 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Potential common shares excluded from the calculation of diluted earnings per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above*:</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3,278</w:t>
            </w:r>
          </w:p>
        </w:tc>
      </w:tr>
    </w:tbl>
    <w:p>
      <w:pPr>
        <w:spacing w:after="0" w:line="38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 6 for discussion of the terms and conditions of the potential impact of the 2019 Convertible Note Warrants, 2024 Convertible Notes and 2025 Convertible Notes.</w:t>
      </w:r>
    </w:p>
    <w:p>
      <w:pPr>
        <w:spacing w:after="0" w:line="163" w:lineRule="exact"/>
        <w:rPr>
          <w:sz w:val="20"/>
          <w:szCs w:val="20"/>
          <w:color w:val="auto"/>
        </w:rPr>
      </w:pPr>
    </w:p>
    <w:p>
      <w:pPr>
        <w:ind w:left="340" w:right="140" w:hanging="332"/>
        <w:spacing w:after="0" w:line="27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STRATEGIC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2019, we owned 214,183,714 shares, or approximately 34.75%, of Cash Converters International Limited ("Cash Converters International").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summary financial information for Cash Converters International’s most recently reported results after translation to U.S.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318"/>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57"/>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172,836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203,664</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151,492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151,189</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324,328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354,853</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9"/>
        </w:trPr>
        <w:tc>
          <w:tcPr>
            <w:tcW w:w="8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81,165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128,731</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22,109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14,559</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221,054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211,563</w:t>
            </w:r>
          </w:p>
        </w:tc>
      </w:tr>
      <w:tr>
        <w:trPr>
          <w:trHeight w:val="257"/>
        </w:trPr>
        <w:tc>
          <w:tcPr>
            <w:tcW w:w="8560" w:type="dxa"/>
            <w:vAlign w:val="bottom"/>
          </w:tcPr>
          <w:p>
            <w:pPr>
              <w:ind w:left="28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324,328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354,853</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319"/>
        </w:trPr>
        <w:tc>
          <w:tcPr>
            <w:tcW w:w="8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4"/>
              </w:rPr>
              <w:t>Half-Year Ended December 31,</w:t>
            </w:r>
          </w:p>
        </w:tc>
      </w:tr>
      <w:tr>
        <w:trPr>
          <w:trHeight w:val="264"/>
        </w:trPr>
        <w:tc>
          <w:tcPr>
            <w:tcW w:w="8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318"/>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57"/>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99,390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95,784</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56,884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63,212</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profit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7,292</w:t>
            </w:r>
          </w:p>
        </w:tc>
      </w:tr>
      <w:tr>
        <w:trPr>
          <w:trHeight w:val="27"/>
        </w:trPr>
        <w:tc>
          <w:tcPr>
            <w:tcW w:w="8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20"/>
        <w:spacing w:after="0" w:line="270" w:lineRule="auto"/>
        <w:rPr>
          <w:rFonts w:ascii="Arial" w:cs="Arial" w:eastAsia="Arial" w:hAnsi="Arial"/>
          <w:sz w:val="17"/>
          <w:szCs w:val="17"/>
          <w:color w:val="0000EE"/>
        </w:rPr>
      </w:pPr>
      <w:r>
        <w:rPr>
          <w:rFonts w:ascii="Arial" w:cs="Arial" w:eastAsia="Arial" w:hAnsi="Arial"/>
          <w:sz w:val="17"/>
          <w:szCs w:val="17"/>
          <w:color w:val="auto"/>
        </w:rPr>
        <w:t xml:space="preserve">Through the first two quarters of fiscal 2019, the fair value of our investment in Cash Converters International, as estimated by reference to its quoted market price per share and the applicable foreign currency exchange rate, declined from its value at September 30, 2018 and ended each quarter below its carrying value. As of March 31, 2019 and December 31, 2018, we determined that our investment was impaired and that such impairment was other-than-temporary. </w:t>
      </w:r>
      <w:hyperlink r:id="rId14">
        <w:r>
          <w:rPr>
            <w:rFonts w:ascii="Arial" w:cs="Arial" w:eastAsia="Arial" w:hAnsi="Arial"/>
            <w:sz w:val="17"/>
            <w:szCs w:val="17"/>
            <w:color w:val="auto"/>
          </w:rPr>
          <w:t xml:space="preserve">In reaching this conclusion, we considered all available evidence, including evidence in existence as of September 30, 2018 as discussed in </w:t>
        </w:r>
        <w:r>
          <w:rPr>
            <w:rFonts w:ascii="Arial" w:cs="Arial" w:eastAsia="Arial" w:hAnsi="Arial"/>
            <w:sz w:val="17"/>
            <w:szCs w:val="17"/>
            <w:u w:val="single" w:color="auto"/>
            <w:color w:val="0000EE"/>
          </w:rPr>
          <w:t>Note 4 of Notes to</w:t>
        </w:r>
      </w:hyperlink>
      <w:r>
        <w:rPr>
          <w:rFonts w:ascii="Arial" w:cs="Arial" w:eastAsia="Arial" w:hAnsi="Arial"/>
          <w:sz w:val="17"/>
          <w:szCs w:val="17"/>
          <w:color w:val="auto"/>
        </w:rPr>
        <w:t xml:space="preserve"> </w:t>
      </w:r>
      <w:hyperlink r:id="rId14">
        <w:r>
          <w:rPr>
            <w:rFonts w:ascii="Arial" w:cs="Arial" w:eastAsia="Arial" w:hAnsi="Arial"/>
            <w:sz w:val="17"/>
            <w:szCs w:val="17"/>
            <w:u w:val="single" w:color="auto"/>
            <w:color w:val="0000EE"/>
          </w:rPr>
          <w:t>Consolidated Financial Statements included in "Part II, Item 8 — Financial Statements and Supplementary Data" of our Annual Report on Form 10-K for the</w:t>
        </w:r>
      </w:hyperlink>
      <w:r>
        <w:rPr>
          <w:rFonts w:ascii="Arial" w:cs="Arial" w:eastAsia="Arial" w:hAnsi="Arial"/>
          <w:sz w:val="17"/>
          <w:szCs w:val="17"/>
          <w:u w:val="single" w:color="auto"/>
          <w:color w:val="0000EE"/>
        </w:rPr>
        <w:t xml:space="preserve"> </w:t>
      </w:r>
      <w:hyperlink r:id="rId14">
        <w:r>
          <w:rPr>
            <w:rFonts w:ascii="Arial" w:cs="Arial" w:eastAsia="Arial" w:hAnsi="Arial"/>
            <w:sz w:val="17"/>
            <w:szCs w:val="17"/>
            <w:u w:val="single" w:color="auto"/>
            <w:color w:val="0000EE"/>
          </w:rPr>
          <w:t>year ended September 30, 2018</w:t>
        </w:r>
        <w:r>
          <w:rPr>
            <w:rFonts w:ascii="Arial" w:cs="Arial" w:eastAsia="Arial" w:hAnsi="Arial"/>
            <w:sz w:val="17"/>
            <w:szCs w:val="17"/>
            <w:color w:val="000000"/>
          </w:rPr>
          <w:t>. Additionally, we noted the following developments subsequent to September 30, 2018: (i) continued decline in Cash</w:t>
        </w:r>
      </w:hyperlink>
      <w:r>
        <w:rPr>
          <w:rFonts w:ascii="Arial" w:cs="Arial" w:eastAsia="Arial" w:hAnsi="Arial"/>
          <w:sz w:val="17"/>
          <w:szCs w:val="17"/>
          <w:color w:val="0000EE"/>
        </w:rPr>
        <w:t xml:space="preserve"> </w:t>
      </w:r>
      <w:r>
        <w:rPr>
          <w:rFonts w:ascii="Arial" w:cs="Arial" w:eastAsia="Arial" w:hAnsi="Arial"/>
          <w:sz w:val="17"/>
          <w:szCs w:val="17"/>
          <w:color w:val="000000"/>
        </w:rPr>
        <w:t>Converters International's share price; and (ii) ongoing uncertainty around remaining Queensland, Australia class action lawsuit. As a result, we recognized an other-than-temporary impairment in Cash Converters International of $13.3 million ($10.3 million, net of taxes) and $6.5 million ($5.0 million, net of taxes) during the first and second quarters of fiscal 2019, respectively.</w:t>
      </w:r>
    </w:p>
    <w:p>
      <w:pPr>
        <w:spacing w:after="0" w:line="128" w:lineRule="exact"/>
        <w:rPr>
          <w:rFonts w:ascii="Arial" w:cs="Arial" w:eastAsia="Arial" w:hAnsi="Arial"/>
          <w:sz w:val="17"/>
          <w:szCs w:val="17"/>
          <w:color w:val="auto"/>
        </w:rPr>
      </w:pPr>
    </w:p>
    <w:p>
      <w:pPr>
        <w:ind w:right="20"/>
        <w:spacing w:after="0" w:line="255" w:lineRule="auto"/>
        <w:rPr>
          <w:sz w:val="20"/>
          <w:szCs w:val="20"/>
          <w:color w:val="auto"/>
        </w:rPr>
      </w:pPr>
      <w:r>
        <w:rPr>
          <w:rFonts w:ascii="Arial" w:cs="Arial" w:eastAsia="Arial" w:hAnsi="Arial"/>
          <w:sz w:val="18"/>
          <w:szCs w:val="18"/>
          <w:color w:val="auto"/>
        </w:rPr>
        <w:t>The above impairments increased the difference between the amount at which our investment was carried and the amount of underlying equity in net assets of Cash Converters International and was recorded in “Impairment of investment in unconsolidated affiliate” in our condensed consolidated statements of operations in the “Other International” segment. We will continue to monitor the fair value of our investment in Cash Converters International for other-than-temporary impairments in future reporting periods and may record additional impairment charges should the fair value of our investment in Cash Converters International further decline below its carrying value for an extended period of time. See Note 5 for the fair value and carrying value of our investment in Cash Converters International.</w:t>
      </w:r>
    </w:p>
    <w:p>
      <w:pPr>
        <w:spacing w:after="0" w:line="220"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assets and liabilities discussed below are classified in one of the following three categories based on the inputs used to develop their fair values: Level 1</w:t>
      </w:r>
    </w:p>
    <w:p>
      <w:pPr>
        <w:spacing w:after="0" w:line="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Quoted market prices in active markets for identical assets or liabilities; Level 2 — Other observable market-based inputs or unobservable inputs that are corroborated by market data; and Level 3 — Unobservable inputs that are not corroborated by market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(liabilities) that were carried and measured at fair value on a recurring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vMerge w:val="restart"/>
          </w:tcPr>
          <w:p>
            <w:pPr>
              <w:spacing w:after="0"/>
              <w:rPr>
                <w:sz w:val="14"/>
                <w:szCs w:val="14"/>
                <w:color w:val="auto"/>
              </w:rPr>
            </w:pPr>
          </w:p>
        </w:tc>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vMerge w:val="restart"/>
          </w:tcPr>
          <w:p>
            <w:pPr>
              <w:spacing w:after="0"/>
              <w:rPr>
                <w:sz w:val="14"/>
                <w:szCs w:val="14"/>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March 31, 2018</w:t>
            </w:r>
          </w:p>
        </w:tc>
        <w:tc>
          <w:tcPr>
            <w:tcW w:w="10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85"/>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4"/>
                <w:szCs w:val="14"/>
                <w:i w:val="1"/>
                <w:iCs w:val="1"/>
                <w:color w:val="auto"/>
                <w:w w:val="94"/>
              </w:rPr>
              <w:t>(in thousands)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Hedges — Level 2</w:t>
            </w: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Convertible Notes Hedges — Level 2</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1"/>
                <w:szCs w:val="21"/>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16,042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Embedded Derivative —</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 net</w:t>
            </w:r>
          </w:p>
        </w:tc>
        <w:tc>
          <w:tcPr>
            <w:tcW w:w="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29"/>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Convertible Notes Embedded Derivative —</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Level 2</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Long-term debt, net</w:t>
            </w:r>
          </w:p>
        </w:tc>
        <w:tc>
          <w:tcPr>
            <w:tcW w:w="50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We measured the fair value of the cash-settled call options pertaining to the </w:t>
      </w:r>
      <w:r>
        <w:rPr>
          <w:rFonts w:ascii="Arial" w:cs="Arial" w:eastAsia="Arial" w:hAnsi="Arial"/>
          <w:sz w:val="17"/>
          <w:szCs w:val="17"/>
          <w:color w:val="252525"/>
        </w:rPr>
        <w:t>2.125% Cash Convertible Senior</w:t>
      </w:r>
      <w:r>
        <w:rPr>
          <w:rFonts w:ascii="Arial" w:cs="Arial" w:eastAsia="Arial" w:hAnsi="Arial"/>
          <w:sz w:val="17"/>
          <w:szCs w:val="17"/>
          <w:color w:val="auto"/>
        </w:rPr>
        <w:t xml:space="preserve"> Notes Due 2019 (the “2019 Convertible Notes Hedges”) and the 2019 Convertible Notes derivative instrument (the “2019 Convertible Notes Embedded Derivative”) using the Black-Scholes-Merton model based on observable Level 1 and Level 2 inputs such as conversion price of underlying shares, current share price, implied volatility, risk free interest rate and other factors. The volatility input used as of March 31, 2019 was 36% based on historically observed market inputs.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Not Measured at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and liabilities that were not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44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March 31, 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25,166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26,601</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26,601</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Zero-coupon convertible promissory note due January</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6,793</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Investment in unconsolidated affiliates</w:t>
            </w: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29,387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29,387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26,611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2,776</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2"/>
        </w:trPr>
        <w:tc>
          <w:tcPr>
            <w:tcW w:w="4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 Convertible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193,440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108,533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159,994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159,994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2025 Convertible Notes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151,179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8.5% unsecured notes due 2024</w:t>
            </w: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1,191</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CASHMAX secured borrowing facility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w:t>
            </w:r>
          </w:p>
        </w:tc>
      </w:tr>
      <w:tr>
        <w:trPr>
          <w:trHeight w:val="675"/>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Carrying Value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8"/>
          </w:tcPr>
          <w:p>
            <w:pPr>
              <w:ind w:left="340"/>
              <w:spacing w:after="0"/>
              <w:rPr>
                <w:sz w:val="20"/>
                <w:szCs w:val="20"/>
                <w:color w:val="auto"/>
              </w:rPr>
            </w:pPr>
            <w:r>
              <w:rPr>
                <w:rFonts w:ascii="Arial" w:cs="Arial" w:eastAsia="Arial" w:hAnsi="Arial"/>
                <w:sz w:val="14"/>
                <w:szCs w:val="14"/>
                <w:b w:val="1"/>
                <w:bCs w:val="1"/>
                <w:color w:val="auto"/>
              </w:rPr>
              <w:t>Estimated Fair Value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10"/>
          </w:tcPr>
          <w:p>
            <w:pPr>
              <w:jc w:val="center"/>
              <w:ind w:left="597"/>
              <w:spacing w:after="0"/>
              <w:rPr>
                <w:sz w:val="20"/>
                <w:szCs w:val="20"/>
                <w:color w:val="auto"/>
              </w:rPr>
            </w:pPr>
            <w:r>
              <w:rPr>
                <w:rFonts w:ascii="Arial" w:cs="Arial" w:eastAsia="Arial" w:hAnsi="Arial"/>
                <w:sz w:val="14"/>
                <w:szCs w:val="14"/>
                <w:b w:val="1"/>
                <w:bCs w:val="1"/>
                <w:color w:val="auto"/>
                <w:w w:val="93"/>
              </w:rPr>
              <w:t>Fair Value Measurement Using</w:t>
            </w:r>
          </w:p>
        </w:tc>
        <w:tc>
          <w:tcPr>
            <w:tcW w:w="90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4"/>
              </w:rPr>
              <w:t>March 31, 2018</w:t>
            </w:r>
          </w:p>
        </w:tc>
        <w:tc>
          <w:tcPr>
            <w:tcW w:w="120" w:type="dxa"/>
            <w:vAlign w:val="bottom"/>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22"/>
                <w:szCs w:val="22"/>
                <w:color w:val="auto"/>
              </w:rPr>
            </w:pPr>
          </w:p>
        </w:tc>
      </w:tr>
      <w:tr>
        <w:trPr>
          <w:trHeight w:val="387"/>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ind w:left="40"/>
              <w:spacing w:after="0"/>
              <w:rPr>
                <w:sz w:val="20"/>
                <w:szCs w:val="20"/>
                <w:color w:val="auto"/>
              </w:rPr>
            </w:pPr>
            <w:r>
              <w:rPr>
                <w:rFonts w:ascii="Arial" w:cs="Arial" w:eastAsia="Arial" w:hAnsi="Arial"/>
                <w:sz w:val="15"/>
                <w:szCs w:val="15"/>
                <w:i w:val="1"/>
                <w:iCs w:val="1"/>
                <w:color w:val="auto"/>
              </w:rPr>
              <w:t>(in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56,751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65,091</w:t>
            </w:r>
          </w:p>
        </w:tc>
        <w:tc>
          <w:tcPr>
            <w:tcW w:w="100" w:type="dxa"/>
            <w:vAlign w:val="bottom"/>
          </w:tcPr>
          <w:p>
            <w:pPr>
              <w:spacing w:after="0"/>
              <w:rPr>
                <w:sz w:val="21"/>
                <w:szCs w:val="21"/>
                <w:color w:val="auto"/>
              </w:rPr>
            </w:pPr>
          </w:p>
        </w:tc>
        <w:tc>
          <w:tcPr>
            <w:tcW w:w="260" w:type="dxa"/>
            <w:vAlign w:val="bottom"/>
            <w:gridSpan w:val="2"/>
          </w:tcPr>
          <w:p>
            <w:pPr>
              <w:jc w:val="right"/>
              <w:ind w:right="63"/>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65,091</w:t>
            </w:r>
          </w:p>
        </w:tc>
        <w:tc>
          <w:tcPr>
            <w:tcW w:w="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46,926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122"/>
        </w:trPr>
        <w:tc>
          <w:tcPr>
            <w:tcW w:w="10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2019 Convertible Notes</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182,296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206,856</w:t>
            </w:r>
          </w:p>
        </w:tc>
        <w:tc>
          <w:tcPr>
            <w:tcW w:w="100" w:type="dxa"/>
            <w:vAlign w:val="bottom"/>
          </w:tcPr>
          <w:p>
            <w:pPr>
              <w:spacing w:after="0"/>
              <w:rPr>
                <w:sz w:val="21"/>
                <w:szCs w:val="21"/>
                <w:color w:val="auto"/>
              </w:rPr>
            </w:pPr>
          </w:p>
        </w:tc>
        <w:tc>
          <w:tcPr>
            <w:tcW w:w="260" w:type="dxa"/>
            <w:vAlign w:val="bottom"/>
            <w:gridSpan w:val="2"/>
          </w:tcPr>
          <w:p>
            <w:pPr>
              <w:jc w:val="right"/>
              <w:ind w:right="63"/>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206,856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103,287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212,060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212,060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399"/>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Carrying Value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8"/>
          </w:tcPr>
          <w:p>
            <w:pPr>
              <w:ind w:left="380"/>
              <w:spacing w:after="0"/>
              <w:rPr>
                <w:sz w:val="20"/>
                <w:szCs w:val="20"/>
                <w:color w:val="auto"/>
              </w:rPr>
            </w:pPr>
            <w:r>
              <w:rPr>
                <w:rFonts w:ascii="Arial" w:cs="Arial" w:eastAsia="Arial" w:hAnsi="Arial"/>
                <w:sz w:val="14"/>
                <w:szCs w:val="14"/>
                <w:b w:val="1"/>
                <w:bCs w:val="1"/>
                <w:color w:val="auto"/>
              </w:rPr>
              <w:t>Estimated Fair Value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rPr>
              <w:t>Fair Value Measurement Using</w:t>
            </w:r>
          </w:p>
        </w:tc>
        <w:tc>
          <w:tcPr>
            <w:tcW w:w="9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3</w:t>
            </w:r>
          </w:p>
        </w:tc>
        <w:tc>
          <w:tcPr>
            <w:tcW w:w="60" w:type="dxa"/>
            <w:vAlign w:val="bottom"/>
            <w:tcBorders>
              <w:bottom w:val="single" w:sz="8" w:color="auto"/>
            </w:tcBorders>
          </w:tcPr>
          <w:p>
            <w:pPr>
              <w:spacing w:after="0"/>
              <w:rPr>
                <w:sz w:val="22"/>
                <w:szCs w:val="22"/>
                <w:color w:val="auto"/>
              </w:rPr>
            </w:pPr>
          </w:p>
        </w:tc>
      </w:tr>
      <w:tr>
        <w:trPr>
          <w:trHeight w:val="387"/>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ind w:left="80"/>
              <w:spacing w:after="0"/>
              <w:rPr>
                <w:sz w:val="20"/>
                <w:szCs w:val="20"/>
                <w:color w:val="auto"/>
              </w:rPr>
            </w:pPr>
            <w:r>
              <w:rPr>
                <w:rFonts w:ascii="Arial" w:cs="Arial" w:eastAsia="Arial" w:hAnsi="Arial"/>
                <w:sz w:val="15"/>
                <w:szCs w:val="15"/>
                <w:i w:val="1"/>
                <w:iCs w:val="1"/>
                <w:color w:val="auto"/>
              </w:rPr>
              <w:t>(in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37,425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41,153</w:t>
            </w:r>
          </w:p>
        </w:tc>
        <w:tc>
          <w:tcPr>
            <w:tcW w:w="100" w:type="dxa"/>
            <w:vAlign w:val="bottom"/>
          </w:tcPr>
          <w:p>
            <w:pPr>
              <w:spacing w:after="0"/>
              <w:rPr>
                <w:sz w:val="21"/>
                <w:szCs w:val="21"/>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41,153</w:t>
            </w:r>
          </w:p>
        </w:tc>
        <w:tc>
          <w:tcPr>
            <w:tcW w:w="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122"/>
        </w:trPr>
        <w:tc>
          <w:tcPr>
            <w:tcW w:w="10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2019 Convertible Notes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187,433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189,150</w:t>
            </w:r>
          </w:p>
        </w:tc>
        <w:tc>
          <w:tcPr>
            <w:tcW w:w="100" w:type="dxa"/>
            <w:vAlign w:val="bottom"/>
          </w:tcPr>
          <w:p>
            <w:pPr>
              <w:spacing w:after="0"/>
              <w:rPr>
                <w:sz w:val="21"/>
                <w:szCs w:val="21"/>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189,150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180,399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180,399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2025 Convertible Notes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119,736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161,253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161,253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4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8.5% unsecured notes due 2024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60" w:type="dxa"/>
            <w:vAlign w:val="bottom"/>
            <w:shd w:val="clear" w:color="auto" w:fill="CCEEFF"/>
          </w:tcPr>
          <w:p>
            <w:pPr>
              <w:spacing w:after="0"/>
              <w:rPr>
                <w:sz w:val="21"/>
                <w:szCs w:val="21"/>
                <w:color w:val="auto"/>
              </w:rPr>
            </w:pPr>
          </w:p>
        </w:tc>
      </w:tr>
      <w:tr>
        <w:trPr>
          <w:trHeight w:val="27"/>
        </w:trPr>
        <w:tc>
          <w:tcPr>
            <w:tcW w:w="102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Based primarily on the short-term nature of cash and cash equivalents, pawn loans, pawn service charges receivable, current consumer loans, fees and interest receivable and other debt, we estimate that their carrying value approximates fair value. We consider our cash and cash equivalents to be measured using Level 1 inputs and our pawn loans, pawn service charges receivable, consumer loans, fees and interest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1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March 2019, we deconsolidated a previously consolidated variable interest entity ("RDC") over which we no longer have the power to direct the activities that most significantly affect its economic performance. After the deconsolidation, we continue to hold the following interests in RDC:</w:t>
      </w:r>
    </w:p>
    <w:p>
      <w:pPr>
        <w:spacing w:after="0" w:line="93" w:lineRule="exact"/>
        <w:rPr>
          <w:sz w:val="20"/>
          <w:szCs w:val="20"/>
          <w:color w:val="auto"/>
        </w:rPr>
      </w:pPr>
    </w:p>
    <w:p>
      <w:pPr>
        <w:ind w:left="660" w:right="32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5% equity interest and a call option to repurchase an additional 43% equity interest for $1 in September 2019 in the event that RDC has not received a qualified third party investment. These interests were recorded at a combined fair value of $2.8 million and included in "Investment in unconsolidated affiliates" in our condensed consolidated balance sheets.</w:t>
      </w:r>
    </w:p>
    <w:p>
      <w:pPr>
        <w:spacing w:after="0" w:line="127"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$9.1 million non-interest bearing convertible promissory note due January 2021, which is automatically convertible into a 10% equity interest when RDC has received a qualified third party investment. This note was recorded at its fair value of $6.8 million in "Notes receivable, net" in our condensed consolidated balance sheets.</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conjunction with the deconsolidation and recording of the above amounts, we recognized a loss of $0.3 million, included in "Other expense (income)" in our condensed consolidated statements of operations included in our "Other International" segment and in "Other adjustments" in our condensed consolidated statements of cash flows. The retained equity interest, call option and convertible promissory note were valued using a weighted discounted cash flow and market approach using Level 3 inputs. Significant increases or decreases in the underlying assumptions used to value these interests could significantly increase or decrease the fair value estimate.</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March 2019, we received $1.1 million in previously escrowed seller funds as a result of settling certain indemnification claims with the seller of GPMX. Subsequent to quarter end, we loaned the $1.1 million back to the seller of GPMX in exchange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a promissory note. The note bears interest at the rate of 2.89% per annum and is secured by certain marketable securities owned by the seller and held in a U.S. brokerage account. All principal and accrued interest is due and payable in April 2024.</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Subsequent to the sale of Prestaciones Finmart, S.A.P.I. de C.V., SOFOM, E.N.R. ("Grupo Finmart") to Alpha Holding, S.A. de C.V. (“AlphaCredit”) in September 2016, we determined that we retained a variable interest in Grupo Finmart including notes receivable. We determined that we are not the primary beneficiary of Grupo Finmart subsequent to its disposition as we lack a controlling financial interest in Grupo Finmart. We measured the fair value of the notes receivable as of March 31, 2019 under a discounted cash flow approach considering the estimated credit ratings for Grupo Finmart and AlphaCredit and as determined with external consultation, with discount rates of primarily 7%. Certain of the significant inputs used for the valuation were not observable in the market. Included in the fair value of the notes receivable is the estimated fair value of the deferred compensation fee negotiated in September 2017, of which the ultimate amount to be received is dependent upon the timing of payment of the notes receivable. Significant increases or decreases in the underlying assumptions used to value the notes receivable could significantly increase or decrease these fair value estimates.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inputs used to measure the fair value of the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measured the fair value of the 2019 Convertible Notes, 2024 Convertible Notes and 2025 Convertible Notes using quoted price inputs. The 2019 Convertible Notes, 2024 Convertible Notes and 2025 Convertible Notes are not actively traded, and thus the price inputs represent a Level 2 measurement. As the quoted price inputs are highly variable from day to day, the fair value estimates disclosed above could significantly increase or decrease.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our debt instruments outstanding as well as future principal payments due, contractual maturities and interest expense: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6"/>
              </w:rPr>
              <w:t>March 31, 2019</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6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Debt Discount</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80" w:type="dxa"/>
            <w:vAlign w:val="bottom"/>
          </w:tcPr>
          <w:p>
            <w:pPr>
              <w:spacing w:after="0"/>
              <w:rPr>
                <w:sz w:val="13"/>
                <w:szCs w:val="13"/>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Amount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Amount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and Issuance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85"/>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2019 Convertible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192,688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195,000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182,296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195,000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187,433</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w w:val="99"/>
              </w:rPr>
              <w:t>2019 Convertible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40"/>
              <w:spacing w:after="0"/>
              <w:rPr>
                <w:sz w:val="20"/>
                <w:szCs w:val="20"/>
                <w:color w:val="auto"/>
              </w:rPr>
            </w:pPr>
            <w:r>
              <w:rPr>
                <w:rFonts w:ascii="Arial" w:cs="Arial" w:eastAsia="Arial" w:hAnsi="Arial"/>
                <w:sz w:val="16"/>
                <w:szCs w:val="16"/>
                <w:color w:val="auto"/>
                <w:w w:val="97"/>
              </w:rPr>
              <w:t>Notes Embedded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Derivative</w:t>
            </w:r>
          </w:p>
        </w:tc>
        <w:tc>
          <w:tcPr>
            <w:tcW w:w="2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16,042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16,042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2,552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2024 Convertible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108,533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143,750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103,287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143,750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105,858</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w w:val="99"/>
              </w:rPr>
              <w:t>2025 Convertible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172,500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(49,582)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122,918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(52,764)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119,736</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8.5% unsecured</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due 2024*</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rPr>
              <w:t>CASHMAX</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40"/>
              <w:spacing w:after="0"/>
              <w:rPr>
                <w:sz w:val="20"/>
                <w:szCs w:val="20"/>
                <w:color w:val="auto"/>
              </w:rPr>
            </w:pPr>
            <w:r>
              <w:rPr>
                <w:rFonts w:ascii="Arial" w:cs="Arial" w:eastAsia="Arial" w:hAnsi="Arial"/>
                <w:sz w:val="16"/>
                <w:szCs w:val="16"/>
                <w:color w:val="auto"/>
              </w:rPr>
              <w:t>secured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40"/>
              <w:spacing w:after="0"/>
              <w:rPr>
                <w:sz w:val="20"/>
                <w:szCs w:val="20"/>
                <w:color w:val="auto"/>
              </w:rPr>
            </w:pPr>
            <w:r>
              <w:rPr>
                <w:rFonts w:ascii="Arial" w:cs="Arial" w:eastAsia="Arial" w:hAnsi="Arial"/>
                <w:sz w:val="16"/>
                <w:szCs w:val="16"/>
                <w:color w:val="auto"/>
              </w:rPr>
              <w:t>borrowing</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vMerge w:val="restart"/>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rPr>
                <w:sz w:val="20"/>
                <w:szCs w:val="20"/>
                <w:color w:val="auto"/>
              </w:rPr>
            </w:pPr>
            <w:r>
              <w:rPr>
                <w:rFonts w:ascii="Arial" w:cs="Arial" w:eastAsia="Arial" w:hAnsi="Arial"/>
                <w:sz w:val="16"/>
                <w:szCs w:val="16"/>
                <w:color w:val="auto"/>
              </w:rPr>
              <w:t>facility*</w:t>
            </w:r>
          </w:p>
        </w:tc>
        <w:tc>
          <w:tcPr>
            <w:tcW w:w="2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513,546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425,634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354,792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301,625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515,106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416,883</w:t>
            </w:r>
          </w:p>
        </w:tc>
        <w:tc>
          <w:tcPr>
            <w:tcW w:w="0" w:type="dxa"/>
            <w:vAlign w:val="bottom"/>
          </w:tcPr>
          <w:p>
            <w:pPr>
              <w:spacing w:after="0"/>
              <w:rPr>
                <w:sz w:val="1"/>
                <w:szCs w:val="1"/>
                <w:color w:val="auto"/>
              </w:rPr>
            </w:pPr>
          </w:p>
        </w:tc>
      </w:tr>
      <w:tr>
        <w:trPr>
          <w:trHeight w:val="220"/>
        </w:trPr>
        <w:tc>
          <w:tcPr>
            <w:tcW w:w="1260" w:type="dxa"/>
            <w:vAlign w:val="bottom"/>
          </w:tcPr>
          <w:p>
            <w:pPr>
              <w:ind w:left="40"/>
              <w:spacing w:after="0"/>
              <w:rPr>
                <w:sz w:val="20"/>
                <w:szCs w:val="20"/>
                <w:color w:val="auto"/>
              </w:rPr>
            </w:pPr>
            <w:r>
              <w:rPr>
                <w:rFonts w:ascii="Arial" w:cs="Arial" w:eastAsia="Arial" w:hAnsi="Arial"/>
                <w:sz w:val="16"/>
                <w:szCs w:val="16"/>
                <w:color w:val="auto"/>
              </w:rPr>
              <w:t>Less current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40"/>
              <w:spacing w:after="0"/>
              <w:rPr>
                <w:sz w:val="20"/>
                <w:szCs w:val="20"/>
                <w:color w:val="auto"/>
              </w:rPr>
            </w:pPr>
            <w:r>
              <w:rPr>
                <w:rFonts w:ascii="Arial" w:cs="Arial" w:eastAsia="Arial" w:hAnsi="Arial"/>
                <w:sz w:val="16"/>
                <w:szCs w:val="16"/>
                <w:color w:val="auto"/>
              </w:rPr>
              <w:t>portion</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195,213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192,901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143,750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(40,463)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103,287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197,748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190,181</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long-</w:t>
            </w:r>
          </w:p>
        </w:tc>
        <w:tc>
          <w:tcPr>
            <w:tcW w:w="2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318,333</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(85,600)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232,733</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211,042</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(12,704)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198,338</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317,358</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(90,656)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226,702</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term debt</w:t>
            </w: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1140" w:right="1960" w:firstLine="175"/>
        <w:spacing w:after="0" w:line="253" w:lineRule="auto"/>
        <w:rPr>
          <w:sz w:val="20"/>
          <w:szCs w:val="20"/>
          <w:color w:val="auto"/>
        </w:rPr>
      </w:pPr>
      <w:r>
        <w:rPr>
          <w:rFonts w:ascii="Arial" w:cs="Arial" w:eastAsia="Arial" w:hAnsi="Arial"/>
          <w:sz w:val="14"/>
          <w:szCs w:val="14"/>
          <w:color w:val="auto"/>
        </w:rPr>
        <w:t>Amount translated from Guatemalan quetzals and Canadian dollars as of applicable period end. Certain disclosures omitted due to materiality * considerations.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47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3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3"/>
          </w:tcPr>
          <w:p>
            <w:pPr>
              <w:jc w:val="center"/>
              <w:ind w:right="400"/>
              <w:spacing w:after="0"/>
              <w:rPr>
                <w:sz w:val="20"/>
                <w:szCs w:val="20"/>
                <w:color w:val="auto"/>
              </w:rPr>
            </w:pPr>
            <w:r>
              <w:rPr>
                <w:rFonts w:ascii="Arial" w:cs="Arial" w:eastAsia="Arial" w:hAnsi="Arial"/>
                <w:sz w:val="14"/>
                <w:szCs w:val="14"/>
                <w:b w:val="1"/>
                <w:bCs w:val="1"/>
                <w:color w:val="auto"/>
                <w:w w:val="94"/>
              </w:rPr>
              <w:t>Schedule of Contractual Maturities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Less Than 1 Year</w:t>
            </w:r>
          </w:p>
        </w:tc>
        <w:tc>
          <w:tcPr>
            <w:tcW w:w="120" w:type="dxa"/>
            <w:vAlign w:val="bottom"/>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1"/>
              </w:rPr>
              <w:t>1 - 3 Years</w:t>
            </w:r>
          </w:p>
        </w:tc>
        <w:tc>
          <w:tcPr>
            <w:tcW w:w="10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3 - 5 Years</w:t>
            </w:r>
          </w:p>
        </w:tc>
        <w:tc>
          <w:tcPr>
            <w:tcW w:w="100" w:type="dxa"/>
            <w:vAlign w:val="bottom"/>
          </w:tcPr>
          <w:p>
            <w:pPr>
              <w:spacing w:after="0"/>
              <w:rPr>
                <w:sz w:val="22"/>
                <w:szCs w:val="22"/>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385"/>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 Convertible Notes*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195,000</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2024 Convertible Notes*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143,750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143,750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2025 Convertible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172,500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8.5% unsecured notes due 2024</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center"/>
              <w:ind w:left="393"/>
              <w:spacing w:after="0"/>
              <w:rPr>
                <w:sz w:val="20"/>
                <w:szCs w:val="20"/>
                <w:color w:val="auto"/>
              </w:rPr>
            </w:pPr>
            <w:r>
              <w:rPr>
                <w:rFonts w:ascii="Arial" w:cs="Arial" w:eastAsia="Arial" w:hAnsi="Arial"/>
                <w:sz w:val="18"/>
                <w:szCs w:val="18"/>
                <w:color w:val="auto"/>
                <w:w w:val="86"/>
              </w:rPr>
              <w:t>213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CASHMAX secured borrowing facility</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513,546</w:t>
            </w:r>
          </w:p>
        </w:tc>
        <w:tc>
          <w:tcPr>
            <w:tcW w:w="12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195,213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316,380</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3"/>
            <w:vMerge w:val="restart"/>
          </w:tcPr>
          <w:p>
            <w:pPr>
              <w:spacing w:after="0"/>
              <w:rPr>
                <w:sz w:val="20"/>
                <w:szCs w:val="20"/>
                <w:color w:val="auto"/>
              </w:rPr>
            </w:pPr>
            <w:r>
              <w:rPr>
                <w:rFonts w:ascii="Arial" w:cs="Arial" w:eastAsia="Arial" w:hAnsi="Arial"/>
                <w:sz w:val="14"/>
                <w:szCs w:val="14"/>
                <w:color w:val="auto"/>
              </w:rPr>
              <w:t>*    Excludes the potential impact of embedded derivatives.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7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8"/>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8"/>
          </w:tcPr>
          <w:p>
            <w:pPr>
              <w:ind w:left="7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2019 Convertible Notes: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360" w:type="dxa"/>
            <w:vAlign w:val="bottom"/>
            <w:gridSpan w:val="2"/>
          </w:tcPr>
          <w:p>
            <w:pPr>
              <w:ind w:left="260"/>
              <w:spacing w:after="0"/>
              <w:rPr>
                <w:sz w:val="20"/>
                <w:szCs w:val="20"/>
                <w:color w:val="auto"/>
              </w:rPr>
            </w:pPr>
            <w:r>
              <w:rPr>
                <w:rFonts w:ascii="Arial" w:cs="Arial" w:eastAsia="Arial" w:hAnsi="Arial"/>
                <w:sz w:val="18"/>
                <w:szCs w:val="18"/>
                <w:color w:val="auto"/>
              </w:rPr>
              <w:t>Contractual interest expense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373"/>
              <w:spacing w:after="0"/>
              <w:rPr>
                <w:sz w:val="20"/>
                <w:szCs w:val="20"/>
                <w:color w:val="auto"/>
              </w:rPr>
            </w:pPr>
            <w:r>
              <w:rPr>
                <w:rFonts w:ascii="Arial" w:cs="Arial" w:eastAsia="Arial" w:hAnsi="Arial"/>
                <w:sz w:val="18"/>
                <w:szCs w:val="18"/>
                <w:color w:val="auto"/>
                <w:w w:val="88"/>
              </w:rPr>
              <w:t>1,069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4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94"/>
              </w:rPr>
              <w:t>Amortization of debt discount and deferred financing costs</w:t>
            </w: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left="373"/>
              <w:spacing w:after="0"/>
              <w:rPr>
                <w:sz w:val="20"/>
                <w:szCs w:val="20"/>
                <w:color w:val="auto"/>
              </w:rPr>
            </w:pPr>
            <w:r>
              <w:rPr>
                <w:rFonts w:ascii="Arial" w:cs="Arial" w:eastAsia="Arial" w:hAnsi="Arial"/>
                <w:sz w:val="18"/>
                <w:szCs w:val="18"/>
                <w:color w:val="auto"/>
                <w:w w:val="88"/>
              </w:rPr>
              <w:t>2,610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43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center"/>
              <w:ind w:left="373"/>
              <w:spacing w:after="0"/>
              <w:rPr>
                <w:sz w:val="20"/>
                <w:szCs w:val="20"/>
                <w:color w:val="auto"/>
              </w:rPr>
            </w:pPr>
            <w:r>
              <w:rPr>
                <w:rFonts w:ascii="Arial" w:cs="Arial" w:eastAsia="Arial" w:hAnsi="Arial"/>
                <w:sz w:val="18"/>
                <w:szCs w:val="18"/>
                <w:color w:val="auto"/>
                <w:w w:val="88"/>
              </w:rPr>
              <w:t>3,679</w:t>
            </w: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3,524</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7,391</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40" w:type="dxa"/>
            <w:vAlign w:val="bottom"/>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2024 Convertible Notes: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Contractual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center"/>
              <w:ind w:left="373"/>
              <w:spacing w:after="0"/>
              <w:rPr>
                <w:sz w:val="20"/>
                <w:szCs w:val="20"/>
                <w:color w:val="auto"/>
              </w:rPr>
            </w:pPr>
            <w:r>
              <w:rPr>
                <w:rFonts w:ascii="Arial" w:cs="Arial" w:eastAsia="Arial" w:hAnsi="Arial"/>
                <w:sz w:val="18"/>
                <w:szCs w:val="18"/>
                <w:color w:val="auto"/>
                <w:w w:val="88"/>
              </w:rPr>
              <w:t>1,033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60" w:type="dxa"/>
            <w:vAlign w:val="bottom"/>
            <w:gridSpan w:val="3"/>
          </w:tcPr>
          <w:p>
            <w:pPr>
              <w:ind w:left="260"/>
              <w:spacing w:after="0"/>
              <w:rPr>
                <w:sz w:val="20"/>
                <w:szCs w:val="20"/>
                <w:color w:val="auto"/>
              </w:rPr>
            </w:pPr>
            <w:r>
              <w:rPr>
                <w:rFonts w:ascii="Arial" w:cs="Arial" w:eastAsia="Arial" w:hAnsi="Arial"/>
                <w:sz w:val="18"/>
                <w:szCs w:val="18"/>
                <w:color w:val="auto"/>
                <w:w w:val="94"/>
              </w:rPr>
              <w:t>Amortization of debt discount and deferred financing costs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center"/>
              <w:ind w:left="373"/>
              <w:spacing w:after="0"/>
              <w:rPr>
                <w:sz w:val="20"/>
                <w:szCs w:val="20"/>
                <w:color w:val="auto"/>
              </w:rPr>
            </w:pPr>
            <w:r>
              <w:rPr>
                <w:rFonts w:ascii="Arial" w:cs="Arial" w:eastAsia="Arial" w:hAnsi="Arial"/>
                <w:sz w:val="18"/>
                <w:szCs w:val="18"/>
                <w:color w:val="auto"/>
                <w:w w:val="88"/>
              </w:rPr>
              <w:t>1,350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2,675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4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interest expense</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88"/>
              </w:rPr>
              <w:t>2,383</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4,741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2025 Convertible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360" w:type="dxa"/>
            <w:vAlign w:val="bottom"/>
            <w:gridSpan w:val="2"/>
          </w:tcPr>
          <w:p>
            <w:pPr>
              <w:ind w:left="260"/>
              <w:spacing w:after="0"/>
              <w:rPr>
                <w:sz w:val="20"/>
                <w:szCs w:val="20"/>
                <w:color w:val="auto"/>
              </w:rPr>
            </w:pPr>
            <w:r>
              <w:rPr>
                <w:rFonts w:ascii="Arial" w:cs="Arial" w:eastAsia="Arial" w:hAnsi="Arial"/>
                <w:sz w:val="18"/>
                <w:szCs w:val="18"/>
                <w:color w:val="auto"/>
              </w:rPr>
              <w:t>Contractual interest expense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373"/>
              <w:spacing w:after="0"/>
              <w:rPr>
                <w:sz w:val="20"/>
                <w:szCs w:val="20"/>
                <w:color w:val="auto"/>
              </w:rPr>
            </w:pPr>
            <w:r>
              <w:rPr>
                <w:rFonts w:ascii="Arial" w:cs="Arial" w:eastAsia="Arial" w:hAnsi="Arial"/>
                <w:sz w:val="18"/>
                <w:szCs w:val="18"/>
                <w:color w:val="auto"/>
                <w:w w:val="88"/>
              </w:rPr>
              <w:t>1,024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4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94"/>
              </w:rPr>
              <w:t>Amortization of debt discount and deferred financing costs</w:t>
            </w: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left="373"/>
              <w:spacing w:after="0"/>
              <w:rPr>
                <w:sz w:val="20"/>
                <w:szCs w:val="20"/>
                <w:color w:val="auto"/>
              </w:rPr>
            </w:pPr>
            <w:r>
              <w:rPr>
                <w:rFonts w:ascii="Arial" w:cs="Arial" w:eastAsia="Arial" w:hAnsi="Arial"/>
                <w:sz w:val="18"/>
                <w:szCs w:val="18"/>
                <w:color w:val="auto"/>
                <w:w w:val="88"/>
              </w:rPr>
              <w:t>1,602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4360" w:type="dxa"/>
            <w:vAlign w:val="bottom"/>
            <w:gridSpan w:val="2"/>
          </w:tcPr>
          <w:p>
            <w:pPr>
              <w:ind w:left="480"/>
              <w:spacing w:after="0"/>
              <w:rPr>
                <w:sz w:val="20"/>
                <w:szCs w:val="20"/>
                <w:color w:val="auto"/>
              </w:rPr>
            </w:pPr>
            <w:r>
              <w:rPr>
                <w:rFonts w:ascii="Arial" w:cs="Arial" w:eastAsia="Arial" w:hAnsi="Arial"/>
                <w:sz w:val="18"/>
                <w:szCs w:val="18"/>
                <w:color w:val="auto"/>
              </w:rPr>
              <w:t>Total interest expense</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center"/>
              <w:ind w:left="373"/>
              <w:spacing w:after="0"/>
              <w:rPr>
                <w:sz w:val="20"/>
                <w:szCs w:val="20"/>
                <w:color w:val="auto"/>
              </w:rPr>
            </w:pPr>
            <w:r>
              <w:rPr>
                <w:rFonts w:ascii="Arial" w:cs="Arial" w:eastAsia="Arial" w:hAnsi="Arial"/>
                <w:sz w:val="18"/>
                <w:szCs w:val="18"/>
                <w:color w:val="auto"/>
                <w:w w:val="88"/>
              </w:rPr>
              <w:t>2,626</w:t>
            </w: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2.375% Convertible Senior Notes Due 2025</w:t>
      </w:r>
    </w:p>
    <w:p>
      <w:pPr>
        <w:spacing w:after="0" w:line="33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May 2018, we issued $172.5 million aggregate principal amount of 2.375% Convertible Senior Notes Due 2025 (the “2025 Convertible Notes”). The 2025 Convertible Notes were issued pursuant to an indenture dated May 14, 2018 (the "2018 Indenture") by and between us and Wells Fargo Bank, National Association, as the trustee.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their terms prior to such date. The carrying amount of the 2025 Convertible Notes as a separate equity-classified instrument (the “2025 Convertible Notes Embedded Derivative”) included in “Additional paid-in capital” in our condensed consolidated balance sheets of March 31, 2019 was $39.0 million. The effective interest rate for the three and six months ended March 31, 2019 was approximately 9%. As of March 31, 2019, the remaining unamortized debt discount and issuance costs will be amortized through the 2025 Maturity Date assuming no early conversion.</w:t>
      </w:r>
    </w:p>
    <w:p>
      <w:pPr>
        <w:spacing w:after="0" w:line="29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2025 Convertible Notes are convertible into cash or shares of Class A Non-Voting Common Stock ("Class A Common Stock"), or any combination thereof, at our option subject to satisfaction of certain conditions and during the periods described in the 2018 Indenture, based on an initial conversion rate of 62.8931 shares of Class A Common Stock per $1,000 principal amount of 2025 Convertible Notes (equivalent to an initial conversion price of $15.90 per share of our Class A Common Stock). We account for the Class A Common Stock issuable upon conversion under the treasury stock method. To the extent our average share price is over $15.90 per share for any fiscal quarter, we are required to recognize incremental dilution of our earnings per share.</w:t>
      </w:r>
    </w:p>
    <w:p>
      <w:pPr>
        <w:spacing w:after="0" w:line="2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among other triggers described in the 2018 Indenture, the market price of our Class A Common Stock meets the threshold based on at least 20 of the final 30 trading days of the quarter for the 2025 Convertible Notes to become convertible at the option of the holders during the subsequent quarter, we may be required to classify the 2025 Convertible Notes as current on</w:t>
      </w:r>
    </w:p>
    <w:p>
      <w:pPr>
        <w:sectPr>
          <w:pgSz w:w="11900" w:h="16838" w:orient="portrait"/>
          <w:cols w:equalWidth="0" w:num="1">
            <w:col w:w="11420"/>
          </w:cols>
          <w:pgMar w:left="240" w:top="114"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4"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condensed consolidated balance sheets for each quarter in which such triggers are met. The stock trading price condition and other triggers are measured on a quarter-by-quarter basis and were not met as of March 31, 2019. As of March 31, 2019, the if-converted value of the 2025 Convertible Notes did not exceed the principal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2.875% Convertible Senior Notes Due 2024</w:t>
      </w:r>
    </w:p>
    <w:p>
      <w:pPr>
        <w:spacing w:after="0" w:line="3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July 2017, we issued $143.75 million aggregate principal amount of 2.875% Convertible Senior Notes Due 2024 (the “2024 Convertible Notes”). The 2024 Convertible Notes were issued pursuant to an indenture dated July 5, 2017 (the "2017 Indenture") by and between us and Wells Fargo Bank, National Association, as the trustee.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their terms prior to such date. The carrying amount of the 2024 Convertible Notes as a separate equity-classified instrument (the “2024 Convertible Notes Embedded Derivative”) included in “Additional paid-in capital” in our condensed consolidated balance sheets of March 31, 2019 was $25.3 million. The effective interest rate for the three and six months ended March 31, 2019 was approximately 9%. As of March 31, 2019, the remaining unamortized debt discount and issuance costs will be amortized through the 2024 Maturity Date assuming no early conversion.</w:t>
      </w:r>
    </w:p>
    <w:p>
      <w:pPr>
        <w:spacing w:after="0" w:line="12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2024 Convertible Notes are convertible into cash or shares of Class A Common Stock, or any combination thereof, at our option subject to satisfaction of certain conditions and during the periods described in the 2017 Indenture, based on an initial conversion rate of 100 shares of Class A Common Stock</w:t>
      </w:r>
    </w:p>
    <w:p>
      <w:pPr>
        <w:ind w:right="240"/>
        <w:spacing w:after="0" w:line="255" w:lineRule="auto"/>
        <w:rPr>
          <w:sz w:val="20"/>
          <w:szCs w:val="20"/>
          <w:color w:val="auto"/>
        </w:rPr>
      </w:pPr>
      <w:r>
        <w:rPr>
          <w:rFonts w:ascii="Arial" w:cs="Arial" w:eastAsia="Arial" w:hAnsi="Arial"/>
          <w:sz w:val="18"/>
          <w:szCs w:val="18"/>
          <w:color w:val="auto"/>
        </w:rPr>
        <w:t>per $1,000 principal amount of 2024 Convertible Notes (equivalent to an initial conversion price of $10.00 per share of our Class A Common Stock). We account for the Class A Common Stock issuable upon conversion under the treasury stock method. To the extent our average share price is over $10.00 per share for any fiscal quarter, we are required to recognize incremental dilution of our earnings per share.</w:t>
      </w:r>
    </w:p>
    <w:p>
      <w:pPr>
        <w:spacing w:after="0" w:line="13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If, among other triggers described in the 2017 Indenture, the market price of our Class A Common Stock meets the threshold based on at least 20 of the final 30 trading days of the quarter for the 2024 Convertible Notes to become convertible at the option of the holders during the subsequent quarter, we may be required to classify the 2024 Convertible Notes as current on our condensed consolidated balance sheets for each quarter in which such triggers are met. The stock trading price condition and other triggers are measured on a quarter-by-quarter basis and were not met as of March 31, 2019. As of March 31, 2019, the if-converted value of the 2024 Convertible Notes did not exceed the principal amount.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52525"/>
        </w:rPr>
        <w:t xml:space="preserve">In June 2014, we issued $200 million aggregate principal amount of 2.125% Cash Convertible Senior </w:t>
      </w:r>
      <w:r>
        <w:rPr>
          <w:rFonts w:ascii="Arial" w:cs="Arial" w:eastAsia="Arial" w:hAnsi="Arial"/>
          <w:sz w:val="17"/>
          <w:szCs w:val="17"/>
          <w:color w:val="000000"/>
        </w:rPr>
        <w:t>Notes Due 2019 (the "2019 Convertible Notes"), with</w:t>
      </w:r>
      <w:r>
        <w:rPr>
          <w:rFonts w:ascii="Arial" w:cs="Arial" w:eastAsia="Arial" w:hAnsi="Arial"/>
          <w:sz w:val="17"/>
          <w:szCs w:val="17"/>
          <w:color w:val="252525"/>
        </w:rPr>
        <w:t xml:space="preserve"> </w:t>
      </w:r>
      <w:r>
        <w:rPr>
          <w:rFonts w:ascii="Arial" w:cs="Arial" w:eastAsia="Arial" w:hAnsi="Arial"/>
          <w:sz w:val="17"/>
          <w:szCs w:val="17"/>
          <w:color w:val="000000"/>
        </w:rPr>
        <w:t xml:space="preserve">an additional $30 million principal amount of 2019 Convertible Notes issued in July 2014. </w:t>
      </w:r>
      <w:r>
        <w:rPr>
          <w:rFonts w:ascii="Arial" w:cs="Arial" w:eastAsia="Arial" w:hAnsi="Arial"/>
          <w:sz w:val="17"/>
          <w:szCs w:val="17"/>
          <w:color w:val="252525"/>
        </w:rPr>
        <w:t>In</w:t>
      </w:r>
      <w:r>
        <w:rPr>
          <w:rFonts w:ascii="Arial" w:cs="Arial" w:eastAsia="Arial" w:hAnsi="Arial"/>
          <w:sz w:val="17"/>
          <w:szCs w:val="17"/>
          <w:color w:val="000000"/>
        </w:rPr>
        <w:t xml:space="preserve"> July 2017, we used $34.4 million of net proceeds from the 2024 Convertible Notes offering to repurchase and retire $35.0 million aggregate principal amount of 2019 Convertible Notes. The 2019 Convertible Notes were issued </w:t>
      </w:r>
      <w:r>
        <w:rPr>
          <w:rFonts w:ascii="Arial" w:cs="Arial" w:eastAsia="Arial" w:hAnsi="Arial"/>
          <w:sz w:val="17"/>
          <w:szCs w:val="17"/>
          <w:color w:val="252525"/>
        </w:rPr>
        <w:t>pursuant to an indenture dated June 23, 2014 (the "2014 Indenture") by and between us and Wells Fargo Bank, National Association, as the trustee.</w:t>
      </w:r>
      <w:r>
        <w:rPr>
          <w:rFonts w:ascii="Arial" w:cs="Arial" w:eastAsia="Arial" w:hAnsi="Arial"/>
          <w:sz w:val="17"/>
          <w:szCs w:val="17"/>
          <w:color w:val="000000"/>
        </w:rPr>
        <w:t xml:space="preserve"> </w:t>
      </w:r>
      <w:r>
        <w:rPr>
          <w:rFonts w:ascii="Arial" w:cs="Arial" w:eastAsia="Arial" w:hAnsi="Arial"/>
          <w:sz w:val="17"/>
          <w:szCs w:val="17"/>
          <w:color w:val="252525"/>
        </w:rPr>
        <w:t xml:space="preserve">The 2019 Convertible Notes were issued in a private offering </w:t>
      </w:r>
      <w:r>
        <w:rPr>
          <w:rFonts w:ascii="Arial" w:cs="Arial" w:eastAsia="Arial" w:hAnsi="Arial"/>
          <w:sz w:val="17"/>
          <w:szCs w:val="17"/>
          <w:color w:val="000000"/>
        </w:rPr>
        <w:t>and resold under Rule 144A under the Securities Act of 1933.</w:t>
      </w:r>
      <w:r>
        <w:rPr>
          <w:rFonts w:ascii="Arial" w:cs="Arial" w:eastAsia="Arial" w:hAnsi="Arial"/>
          <w:sz w:val="17"/>
          <w:szCs w:val="17"/>
          <w:color w:val="252525"/>
        </w:rPr>
        <w:t xml:space="preserve"> The 2019 Convertible Notes pay interest semi-annually in arrears at a rate of 2.125% per annum on June 15 and December 15 of each year and mature on June 15, 2019 (the "2019 Maturity Date")</w:t>
      </w:r>
      <w:r>
        <w:rPr>
          <w:rFonts w:ascii="Arial" w:cs="Arial" w:eastAsia="Arial" w:hAnsi="Arial"/>
          <w:sz w:val="17"/>
          <w:szCs w:val="17"/>
          <w:color w:val="000000"/>
        </w:rPr>
        <w:t>, unless converted, redeemed or repurchased in accordance with their terms prior to such date</w:t>
      </w:r>
      <w:r>
        <w:rPr>
          <w:rFonts w:ascii="Arial" w:cs="Arial" w:eastAsia="Arial" w:hAnsi="Arial"/>
          <w:sz w:val="17"/>
          <w:szCs w:val="17"/>
          <w:color w:val="252525"/>
        </w:rPr>
        <w:t xml:space="preserve">. </w:t>
      </w:r>
      <w:r>
        <w:rPr>
          <w:rFonts w:ascii="Arial" w:cs="Arial" w:eastAsia="Arial" w:hAnsi="Arial"/>
          <w:sz w:val="17"/>
          <w:szCs w:val="17"/>
          <w:color w:val="000000"/>
        </w:rPr>
        <w:t>The effective interest rate for the three and six months</w:t>
      </w:r>
      <w:r>
        <w:rPr>
          <w:rFonts w:ascii="Arial" w:cs="Arial" w:eastAsia="Arial" w:hAnsi="Arial"/>
          <w:sz w:val="17"/>
          <w:szCs w:val="17"/>
          <w:color w:val="252525"/>
        </w:rPr>
        <w:t xml:space="preserve"> </w:t>
      </w:r>
      <w:r>
        <w:rPr>
          <w:rFonts w:ascii="Arial" w:cs="Arial" w:eastAsia="Arial" w:hAnsi="Arial"/>
          <w:sz w:val="17"/>
          <w:szCs w:val="17"/>
          <w:color w:val="000000"/>
        </w:rPr>
        <w:t>ended March 31, 2019 was approximately 8%. As of March 31, 2019, the remaining unamortized debt discount and issuance costs will be amortized through the 2019 Maturity Date assuming no early conversion.</w:t>
      </w:r>
    </w:p>
    <w:p>
      <w:pPr>
        <w:spacing w:after="0" w:line="12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2019 Convertible Notes are convertible into cash, subject to satisfaction of certain conditions and during the periods described in the 2014 Indenture, based on an initial conversion rate of 62.2471 shares of Class A Common Stock per $1,000 principal amount of 2019 Convertible Notes (equivalent to an initial conversion price of approximately $16.065 per share of our Class A Common Stock). As of March 31, 2019, the if-converted value of the 2019 Convertible Notes did not exceed the principal amount.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Hedges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2019 Convertible Notes, we purchased cash-settled call options (the “2019 Convertible Notes Hedges”) in privately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with certain of the initial purchasers or their affiliates (in this capacity, the “Option Counterparties”). The 2019 Convertible Notes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provide us with the option to acquire, on a net settlement basis, approximately 12.1 million shares of our Class A Common Stock at a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$16.065, which is equal to the number of shares of our Class A Common Stock that notionally underlie the 2019 Convertible Notes and corresponds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conversion price of the 2019 Convertible Notes. </w:t>
      </w:r>
      <w:r>
        <w:rPr>
          <w:rFonts w:ascii="Arial" w:cs="Arial" w:eastAsia="Arial" w:hAnsi="Arial"/>
          <w:sz w:val="18"/>
          <w:szCs w:val="18"/>
          <w:color w:val="252525"/>
        </w:rPr>
        <w:t>If we exercise the 2019 Convertible Notes</w:t>
      </w:r>
      <w:r>
        <w:rPr>
          <w:rFonts w:ascii="Arial" w:cs="Arial" w:eastAsia="Arial" w:hAnsi="Arial"/>
          <w:sz w:val="18"/>
          <w:szCs w:val="18"/>
          <w:color w:val="auto"/>
        </w:rPr>
        <w:t xml:space="preserve"> Hedges</w:t>
      </w:r>
      <w:r>
        <w:rPr>
          <w:rFonts w:ascii="Arial" w:cs="Arial" w:eastAsia="Arial" w:hAnsi="Arial"/>
          <w:sz w:val="18"/>
          <w:szCs w:val="18"/>
          <w:color w:val="252525"/>
        </w:rPr>
        <w:t>, the aggregate amount of cash we will</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252525"/>
        </w:rPr>
        <w:t>receive from the Option Counterparties will cover the aggregate amount of cash that we would be required to pay to the holders of the converted 2019 Convertible Notes, less the principal amount thereof.</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Warrants</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connection with the issuance of the 2019 Convertible Notes, we also sold net-share-settled warrants (the “2019 Convertible Notes Warrants”) in privately negotiated transactions with the Option Counterparties. The 2019 Convertible Notes Warrants allow for the purchase of up to approximately 12.1</w:t>
      </w:r>
    </w:p>
    <w:p>
      <w:pPr>
        <w:ind w:right="20"/>
        <w:spacing w:after="0" w:line="273" w:lineRule="auto"/>
        <w:rPr>
          <w:sz w:val="20"/>
          <w:szCs w:val="20"/>
          <w:color w:val="auto"/>
        </w:rPr>
      </w:pPr>
      <w:r>
        <w:rPr>
          <w:rFonts w:ascii="Arial" w:cs="Arial" w:eastAsia="Arial" w:hAnsi="Arial"/>
          <w:sz w:val="17"/>
          <w:szCs w:val="17"/>
          <w:color w:val="auto"/>
        </w:rPr>
        <w:t>million shares of our Class A Common Stock at a strike price of $20.83 per share. We account for the Class A Common Stock issuable upon exercise under the treasury stock method. As a result of the 2019 Convertible Notes Warrants and related transactions, we are required to recognize incremental dilution of our earnings per share to the extent our average share price is over $20.83 for any fiscal quarter. The 2019 Convertible Notes Warrants expire on various dates from September 2019 through February 2020 and must be settled in net shares of our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CASHMAX Secured Borrowing Facility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November 2018 we entered into a receivables securitization facility with a third-party lender (the "lender") to provide funding for installment loan originations in our Canadian CASHMAX business. Under the facility, an unconsolidated variable interest entity (the "trust") has the right, subject to various conditions, to borrow up to CAD $25 million from the lender (the "third-party loan") and use the proceeds to purchase interests in installment loan receivables generated by CASHMAX. The trust uses collections on the transferred receivables to pay various amounts in accordance with an agreed priority arrangement, including expenses, its obligations under the third-party loan and, to the extent available, amounts owned to CASHMAX with respect to the purchase price of the transferred receivables and CASHMAX's retained interest in the receivables. CASHMAX has no obligation with respect to the third-party loan or the transferred receivables except to (a) service the underlying installment loans on behalf of the trust and (b) pay amounts owing under or repurchase the underlying installment loans in the event of a breach by CASHMAX or in certain other limited circumstances. The facility is generally nonrecourse to EZCORP. The amount outstanding under the facility as of March 31, 2019 was $1.1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COMPENSATION</w:t>
      </w:r>
    </w:p>
    <w:p>
      <w:pPr>
        <w:spacing w:after="0" w:line="17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May 1, 2010 our Board of Directors approved the adoption of the EZCORP, Inc. 2010 Long-Term Incentive Plan (the “2010 Plan”). As of September 30, 2018, the 2010 Plan permitted grants of options, restricted stock awards and stock appreciation rights covering up to 5,085,649 shares of our Class A Common Stock. In November 2018, the Board of Directors and the voting stockholder approved the addition of 400,000 shares to the 2010 Plan.</w:t>
      </w:r>
    </w:p>
    <w:p>
      <w:pPr>
        <w:spacing w:after="0" w:line="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April 2019, we granted our six new non-employee directors a total of 51,504 restricted stock awards. In November 2018, we granted 1,008,998 restricted stock unit awards to employees and 59,812 restricted stock awards to non-employee directors with a grant date fair value of primarily $9.18 per share. The number of long-term incentive award shares and units granted are generally determined based on our share price as of October 1 each year, which was $10.51 for these fiscal 2019 awards. The awards granted to employees vest on September 30, 2021, subject to the achievement of certain adjusted net income and adjusted diluted earnings per share performance targets. As of December 31, 2018, we considered the achievement of these performance targets probable. The awards granted to non-employee directors vest on September 30, 2019 and are subject only to service conditions.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CONTINGENCIES</w:t>
      </w:r>
    </w:p>
    <w:p>
      <w:pPr>
        <w:spacing w:after="0" w:line="17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We have not recorded a liability for any of these matters as of March 31, 2019 because we do not believe at this time that any loss is probable or that the amount of any probable loss can be reasonably estimated. The following is a description of significant proceedings.</w:t>
      </w:r>
    </w:p>
    <w:p>
      <w:pPr>
        <w:spacing w:after="0" w:line="10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Federal Securities Litigation </w:t>
      </w:r>
      <w:r>
        <w:rPr>
          <w:rFonts w:ascii="Arial" w:cs="Arial" w:eastAsia="Arial" w:hAnsi="Arial"/>
          <w:sz w:val="16"/>
          <w:szCs w:val="16"/>
          <w:color w:val="auto"/>
        </w:rPr>
        <w:t>— On July 20, 2015, Wu Winfred Huang, a purported holder of Class A Common Stock, for himself and on behalf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similarly situated holders of Class A Common Stock, filed a lawsuit in the United States District Court for the Western District of Texas styled </w:t>
      </w:r>
      <w:r>
        <w:rPr>
          <w:rFonts w:ascii="Arial" w:cs="Arial" w:eastAsia="Arial" w:hAnsi="Arial"/>
          <w:sz w:val="16"/>
          <w:szCs w:val="16"/>
          <w:i w:val="1"/>
          <w:iCs w:val="1"/>
          <w:color w:val="auto"/>
        </w:rPr>
        <w:t>Huang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EZCORP, Inc., et al. </w:t>
      </w:r>
      <w:r>
        <w:rPr>
          <w:rFonts w:ascii="Arial" w:cs="Arial" w:eastAsia="Arial" w:hAnsi="Arial"/>
          <w:sz w:val="16"/>
          <w:szCs w:val="16"/>
          <w:color w:val="auto"/>
        </w:rPr>
        <w:t>(Case No. 1:15-cv-00608-SS). The complaint names as defendants EZCORP, Inc., Stuart I. Grimshaw (our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two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(Master File No. 1:15-cv-00608-SS), and appointed the two plaintiffs as co-lead plaintiffs, with their respective counsel appointed as co-lead counsel.</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January 11, 2016, the plaintiffs filed an Amended Class Action Complaint (the "Amended Complaint"). In the Amended Complaint, the plaintiffs seek to represent a class of purchasers of our Class A Common Stock between November 6, 2012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On February 25, 2016, defendants filed a motion to dismiss the lawsuit. The plaintiff filed an opposition to the motion to dismiss on April 11, 2016, and the defendants filed their reply on May 11, 2016. The Court held a hearing on the motion to dismiss on June 22, 2016.</w:t>
      </w:r>
    </w:p>
    <w:p>
      <w:pPr>
        <w:spacing w:after="0" w:line="13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October 18, 2016, the Court granted the defendants’ motion to dismiss and dismissed the Amended Complaint without prejudice. The Court gave the plaintiffs 20 days (until November 7, 2016) to file a further amended complaint. On November 4, 2016, the plaintiffs filed a Second Amended Consolidated Class Action Complaint (“Second Amended Complaint”). The Second Amended Complaint raises the same claims dismissed by the Court on October 18, 2016, except plaintiffs now seek to represent a class of purchasers of EZCORP’s Class A Common Stock between November 7, 2013 and October 20, 2015 (instead of between November 6, 2012 and October 20, 2015). On December 5, 2016, defendants filed a motion to dismiss the Second Amended Compliant. The plaintiffs filed their opposition to the motion to dismiss on January 6, 2017, and the defendants filed their reply brief on January 20, 2017.</w:t>
      </w:r>
    </w:p>
    <w:p>
      <w:pPr>
        <w:spacing w:after="0" w:line="1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May 8, 2017, the Court granted the defendants’ motion to dismiss with regard to claims related to accounting errors relating to Grupo Finmart’s bad debt reserve calculations for “nonperforming” loans, but denied the motion to dismiss with regard to claims relating to accounting errors related to certain sales of loan portfolios to third parties.</w:t>
      </w:r>
    </w:p>
    <w:p>
      <w:pPr>
        <w:spacing w:after="0" w:line="12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Following discovery on the surviving claims, the plaintiff filed a Motion for Leave to File a Third Amended Complaint, seeking to revive the "nonperforming" loan claims that the Court previously dismissed. We opposed that motion, and on May 14, 2018, the Court heard oral arguments on the motion, as well as plaintiff's Motion for Class Certification and Appointment of Class Representative and Class Counsel, which was also pending.</w:t>
      </w:r>
    </w:p>
    <w:p>
      <w:pPr>
        <w:spacing w:after="0" w:line="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July 26, 2018, the Court granted the plaintiff's motion for leave to amend, thus accepting the Third Amended Consolidated Class Action Complaint, and we filed our answer on August 3, 2018. On August 31, 2018, the plaintiff filed an Amended Motion for Class Certification and Appointment of Class Representative and Class Counsel, and we filed our opposition on September 28, 2018. On February 19, 2019, the Court issued an order certifying the class and approving the class representative and class counsel. On March 5, 2019, we requested an appeal of that order to the U.S. Fifth Circuit Court of Appeals, and on March 25, 2019, the Fifth Circuit Court of Appeals granted the appeal.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continue to defend vigorously against all allegations and claims.</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SEC Investigation </w:t>
      </w:r>
      <w:r>
        <w:rPr>
          <w:rFonts w:ascii="Arial" w:cs="Arial" w:eastAsia="Arial" w:hAnsi="Arial"/>
          <w:sz w:val="16"/>
          <w:szCs w:val="16"/>
          <w:color w:val="auto"/>
        </w:rPr>
        <w:t>— On October 23, 2014, we received a notice from the Fort Worth Regional Office of the SEC that it was conducting an investigation into</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also issued subpoenas to current and former members of our Board of Directors requesting production of similar documents, as well as to certain third parties, and conducted interviews with certain individuals.</w:t>
      </w:r>
    </w:p>
    <w:p>
      <w:pPr>
        <w:spacing w:after="0" w:line="11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March 1, 2019, the SEC issued an order imposing sanctions against Mark Kuchenrither, our former Chief Financial Officer, for allegedly misrepresenting certain financial projections that formed the basis of a fairness opinion that the Audit Committee relied on in approving the compensation to be paid to Madison Park for fiscal 2014. The SEC alleged that Mr. Kuchenrither's conduct constituted negligence and violated, among other things, Section 17(a)(3) of the Securities Act of 1933 and Rule 13a-14 of the Securities Exchange Act of 1934. Mr. Kuchenrither, without admitting or denying the SEC's allegations or findings, consented to the entry of the order in order to settle the proceedings, and agreed to pay a civil money penalty of $50,000.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SEC has not raised any claims against the Company or any of its current or former directors and officers, other than Mr. Kuchenrither.</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121" w:right="1440"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currently report our segments as follows: U.S. Pawn — all pawn activities in the United States; Latin America Pawn — all pawn activities in Mexico and other parts of Latin America; and Other International — primarily our equity interest in the net income of Cash Converters International and consumer finance activities in Canada. There are no inter-segment revenues, and the amounts below were determined in accordance with the same accounting principles used in our condensed consolidated financial statements.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9"/>
              </w:rPr>
              <w:t>Three Months Ended March 31, 2019</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Latin</w:t>
            </w:r>
          </w:p>
        </w:tc>
        <w:tc>
          <w:tcPr>
            <w:tcW w:w="18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America</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96,632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24,628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121,260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121,260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61,798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20,001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81,799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81,799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7"/>
        </w:trPr>
        <w:tc>
          <w:tcPr>
            <w:tcW w:w="41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166,389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47,118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214,730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214,730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77,800</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7"/>
        </w:trPr>
        <w:tc>
          <w:tcPr>
            <w:tcW w:w="41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98,890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27,984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127,690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127,690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67,475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18,223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88,243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88,243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16,487</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(Gain) loss on sale or disposal of assets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Impairment of investment in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28,433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tcPr>
          <w:p>
            <w:pPr>
              <w:ind w:left="40"/>
              <w:spacing w:after="0"/>
              <w:rPr>
                <w:sz w:val="20"/>
                <w:szCs w:val="20"/>
                <w:color w:val="auto"/>
              </w:rPr>
            </w:pPr>
            <w:r>
              <w:rPr>
                <w:rFonts w:ascii="Arial" w:cs="Arial" w:eastAsia="Arial" w:hAnsi="Arial"/>
                <w:sz w:val="18"/>
                <w:szCs w:val="18"/>
                <w:color w:val="auto"/>
                <w:w w:val="92"/>
              </w:rPr>
              <w:t>Income from continuing operations before income taxes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29,654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ind w:left="1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4"/>
        </w:trPr>
        <w:tc>
          <w:tcPr>
            <w:tcW w:w="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2018</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Latin</w:t>
            </w:r>
          </w:p>
        </w:tc>
        <w:tc>
          <w:tcPr>
            <w:tcW w:w="180" w:type="dxa"/>
            <w:vAlign w:val="bottom"/>
          </w:tcPr>
          <w:p>
            <w:pPr>
              <w:spacing w:after="0"/>
              <w:rPr>
                <w:sz w:val="13"/>
                <w:szCs w:val="13"/>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94,753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20,192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114,945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114,945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11,525</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59,027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74,031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74,031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160" w:type="dxa"/>
            <w:vAlign w:val="bottom"/>
            <w:gridSpan w:val="2"/>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162,033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38,718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202,398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202,398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72,220</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9,574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160" w:type="dxa"/>
            <w:vAlign w:val="bottom"/>
            <w:gridSpan w:val="2"/>
          </w:tcPr>
          <w:p>
            <w:pPr>
              <w:ind w:left="48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96,984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120,257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120,257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65,190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82,180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82,180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Loss (gain)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5,827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Equity in net income of unconsolidated affiliates</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color w:val="auto"/>
                <w:shd w:val="clear" w:color="auto" w:fill="CCEEFF"/>
              </w:rPr>
              <w:t>(income)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Segment contribution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28,155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6,809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35,153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17,504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vMerge w:val="restart"/>
          </w:tcPr>
          <w:p>
            <w:pPr>
              <w:jc w:val="right"/>
              <w:ind w:right="4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14" w:right="29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4"/>
        </w:trPr>
        <w:tc>
          <w:tcPr>
            <w:tcW w:w="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4"/>
              </w:rPr>
              <w:t>Six Months Ended March 31, 2019</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U.S. Pawn</w:t>
            </w:r>
          </w:p>
        </w:tc>
        <w:tc>
          <w:tcPr>
            <w:tcW w:w="100" w:type="dxa"/>
            <w:vAlign w:val="bottom"/>
            <w:vMerge w:val="restart"/>
          </w:tcPr>
          <w:p>
            <w:pPr>
              <w:spacing w:after="0"/>
              <w:rPr>
                <w:sz w:val="13"/>
                <w:szCs w:val="13"/>
                <w:color w:val="auto"/>
              </w:rPr>
            </w:pPr>
          </w:p>
        </w:tc>
        <w:tc>
          <w:tcPr>
            <w:tcW w:w="124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Latin America</w:t>
            </w:r>
          </w:p>
        </w:tc>
        <w:tc>
          <w:tcPr>
            <w:tcW w:w="160" w:type="dxa"/>
            <w:vAlign w:val="bottom"/>
          </w:tcPr>
          <w:p>
            <w:pPr>
              <w:spacing w:after="0"/>
              <w:rPr>
                <w:sz w:val="13"/>
                <w:szCs w:val="13"/>
                <w:color w:val="auto"/>
              </w:rPr>
            </w:pPr>
          </w:p>
        </w:tc>
        <w:tc>
          <w:tcPr>
            <w:tcW w:w="11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Total Segments</w:t>
            </w:r>
          </w:p>
        </w:tc>
        <w:tc>
          <w:tcPr>
            <w:tcW w:w="100" w:type="dxa"/>
            <w:vAlign w:val="bottom"/>
            <w:vMerge w:val="restart"/>
          </w:tcPr>
          <w:p>
            <w:pPr>
              <w:spacing w:after="0"/>
              <w:rPr>
                <w:sz w:val="13"/>
                <w:szCs w:val="13"/>
                <w:color w:val="auto"/>
              </w:rPr>
            </w:pPr>
          </w:p>
        </w:tc>
        <w:tc>
          <w:tcPr>
            <w:tcW w:w="12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Pawn</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center"/>
              <w:ind w:right="20"/>
              <w:spacing w:after="0"/>
              <w:rPr>
                <w:sz w:val="20"/>
                <w:szCs w:val="20"/>
                <w:color w:val="auto"/>
              </w:rPr>
            </w:pPr>
            <w:r>
              <w:rPr>
                <w:rFonts w:ascii="Arial" w:cs="Arial" w:eastAsia="Arial" w:hAnsi="Arial"/>
                <w:sz w:val="14"/>
                <w:szCs w:val="14"/>
                <w:i w:val="1"/>
                <w:iCs w:val="1"/>
                <w:color w:val="auto"/>
                <w:w w:val="94"/>
              </w:rPr>
              <w:t>(in thousands)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191,735</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50,549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242,284</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242,284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126,023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39,295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165,318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165,318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3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500" w:type="dxa"/>
            <w:vAlign w:val="bottom"/>
            <w:gridSpan w:val="2"/>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332,317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95,104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430,425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430,425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154,912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12,081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16,883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500" w:type="dxa"/>
            <w:vAlign w:val="bottom"/>
            <w:gridSpan w:val="2"/>
          </w:tcPr>
          <w:p>
            <w:pPr>
              <w:ind w:left="48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200,160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55,466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257,739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257,739</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Segment and corporate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135,435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177,029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177,029</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31,742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13,860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w w:val="91"/>
              </w:rPr>
              <w:t>Loss on sale or disposal of assets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17,380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Equity in net loss of unconsolidated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affiliates</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3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Impairment of investment in unconsolidated</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affiliates</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500" w:type="dxa"/>
            <w:vAlign w:val="bottom"/>
            <w:gridSpan w:val="2"/>
          </w:tcPr>
          <w:p>
            <w:pPr>
              <w:ind w:left="26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contribution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55,856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48,006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500" w:type="dxa"/>
            <w:vAlign w:val="bottom"/>
            <w:gridSpan w:val="2"/>
            <w:vMerge w:val="restart"/>
          </w:tcPr>
          <w:p>
            <w:pPr>
              <w:ind w:left="20"/>
              <w:spacing w:after="0"/>
              <w:rPr>
                <w:sz w:val="20"/>
                <w:szCs w:val="20"/>
                <w:color w:val="auto"/>
              </w:rPr>
            </w:pPr>
            <w:r>
              <w:rPr>
                <w:rFonts w:ascii="Arial" w:cs="Arial" w:eastAsia="Arial" w:hAnsi="Arial"/>
                <w:sz w:val="18"/>
                <w:szCs w:val="18"/>
                <w:color w:val="auto"/>
              </w:rPr>
              <w:t>Income from continuing operations before</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 w:type="dxa"/>
            <w:vAlign w:val="bottom"/>
          </w:tcPr>
          <w:p>
            <w:pPr>
              <w:spacing w:after="0"/>
              <w:rPr>
                <w:sz w:val="16"/>
                <w:szCs w:val="16"/>
                <w:color w:val="auto"/>
              </w:rPr>
            </w:pPr>
          </w:p>
        </w:tc>
        <w:tc>
          <w:tcPr>
            <w:tcW w:w="3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48,006</w:t>
            </w:r>
          </w:p>
        </w:tc>
        <w:tc>
          <w:tcPr>
            <w:tcW w:w="100" w:type="dxa"/>
            <w:vAlign w:val="bottom"/>
          </w:tcPr>
          <w:p>
            <w:pPr>
              <w:spacing w:after="0"/>
              <w:rPr>
                <w:sz w:val="16"/>
                <w:szCs w:val="16"/>
                <w:color w:val="auto"/>
              </w:rPr>
            </w:pPr>
          </w:p>
        </w:tc>
        <w:tc>
          <w:tcPr>
            <w:tcW w:w="340" w:type="dxa"/>
            <w:vAlign w:val="bottom"/>
            <w:vMerge w:val="restart"/>
          </w:tcPr>
          <w:p>
            <w:pPr>
              <w:jc w:val="right"/>
              <w:ind w:right="136"/>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(47,728)</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2"/>
        </w:trPr>
        <w:tc>
          <w:tcPr>
            <w:tcW w:w="80" w:type="dxa"/>
            <w:vAlign w:val="bottom"/>
          </w:tcPr>
          <w:p>
            <w:pPr>
              <w:spacing w:after="0"/>
              <w:rPr>
                <w:sz w:val="20"/>
                <w:szCs w:val="20"/>
                <w:color w:val="auto"/>
              </w:rPr>
            </w:pP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14"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Six Months Ended March 31, 2018</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Latin America</w:t>
            </w: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1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186,247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42,286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228,533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228,533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118,644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31,409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150,053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150,053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37"/>
        </w:trPr>
        <w:tc>
          <w:tcPr>
            <w:tcW w:w="366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321,743</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81,074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3,751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406,568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406,568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114,625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143,387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143,387</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13,354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19,911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19,911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37"/>
        </w:trPr>
        <w:tc>
          <w:tcPr>
            <w:tcW w:w="3660" w:type="dxa"/>
            <w:vAlign w:val="bottom"/>
            <w:gridSpan w:val="2"/>
          </w:tcPr>
          <w:p>
            <w:pPr>
              <w:ind w:left="50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193,764</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45,755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242,346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242,346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131,378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29,850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4,598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165,826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165,826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26,420</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8,185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12,174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11,676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29"/>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Equity in net income of unconsolidated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affiliates</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55,936</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15,422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71,937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 before</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71,937</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(34,776)</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37,161</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right"/>
              <w:ind w:right="19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SUPPLEMENTAL CONSOLIDATED FINANCIAL INFORMATION AND 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Consolidated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March 31, 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4"/>
              </w:rPr>
              <w:t>March 31, 2018</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2018</w:t>
            </w:r>
          </w:p>
        </w:tc>
      </w:tr>
      <w:tr>
        <w:trPr>
          <w:trHeight w:val="318"/>
        </w:trPr>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4"/>
              </w:rPr>
              <w:t>(in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pawn service charges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40,719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uncollectible pawn service charges receivable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(9,760)</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27,097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24,130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30,959</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inventory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166,802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176,198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Inventory reserves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(9,201)</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173,348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158,642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166,997</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Accounts receivable and other</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15,974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18,901</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Convertible Notes Hedges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w:t>
            </w:r>
          </w:p>
        </w:tc>
      </w:tr>
      <w:tr>
        <w:trPr>
          <w:trHeight w:val="297"/>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32,984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29,533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33,456</w:t>
            </w:r>
          </w:p>
        </w:tc>
      </w:tr>
      <w:tr>
        <w:trPr>
          <w:trHeight w:val="109"/>
        </w:trPr>
        <w:tc>
          <w:tcPr>
            <w:tcW w:w="7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 gross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256,411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239,954</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253,022</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(179,373)</w:t>
            </w:r>
          </w:p>
        </w:tc>
      </w:tr>
      <w:tr>
        <w:trPr>
          <w:trHeight w:val="297"/>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67,518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64,833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73,649</w:t>
            </w:r>
          </w:p>
        </w:tc>
      </w:tr>
      <w:tr>
        <w:trPr>
          <w:trHeight w:val="109"/>
        </w:trPr>
        <w:tc>
          <w:tcPr>
            <w:tcW w:w="7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3,863</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Convertible Notes Hedges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19,773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3,863</w:t>
            </w:r>
          </w:p>
        </w:tc>
      </w:tr>
      <w:tr>
        <w:trPr>
          <w:trHeight w:val="109"/>
        </w:trPr>
        <w:tc>
          <w:tcPr>
            <w:tcW w:w="7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13,134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10,544</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10,500</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47,458</w:t>
            </w:r>
          </w:p>
        </w:tc>
      </w:tr>
      <w:tr>
        <w:trPr>
          <w:trHeight w:val="257"/>
        </w:trPr>
        <w:tc>
          <w:tcPr>
            <w:tcW w:w="7440" w:type="dxa"/>
            <w:vAlign w:val="bottom"/>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58,696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60,538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57,958</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Jewelry Scrap Receivable</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November 2018, our principal refiner that processed our scrap jewelry announced Chapter 11 bankruptcy restructuring proceedings in the U.S. As of March 31, 2019, we had potential exposure from this refiner of $3.6 million on our balance sheet. In the first quarter of fiscal 2019, we recorded a full reserve of $4.4 million which is included in "(Gain) loss on sale or disposal of assets and other" and "Reserve on jewelry scrap receivable" in our condensed consolidated statements of operations and cash flows, respectively. In the second quarter of fiscal 2019, we recovered $0.8 million of the amount initially reserved which is included in "(Gain) loss on sale or disposal of assets and other" and "Reserve on jewelry scrap receivable" in our condensed consolidated statements of operations and cash flows, respectively. We continue to monitor the bankruptcy process and may record recoveries of such reserved amounts in a future period as we gather more information. At this point, the balance of $3.6 million remains fully reserved.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discussion in this section contains forward-looking statements that are based on our current expectations. Actual results could differ materially from those </w:t>
      </w:r>
      <w:hyperlink r:id="rId15">
        <w:r>
          <w:rPr>
            <w:rFonts w:ascii="Arial" w:cs="Arial" w:eastAsia="Arial" w:hAnsi="Arial"/>
            <w:sz w:val="16"/>
            <w:szCs w:val="16"/>
            <w:color w:val="auto"/>
          </w:rPr>
          <w:t xml:space="preserve">expressed or implied by the forward-looking statements due to a number of risks, uncertainties and other factors, including those identified in </w:t>
        </w:r>
        <w:r>
          <w:rPr>
            <w:rFonts w:ascii="Arial" w:cs="Arial" w:eastAsia="Arial" w:hAnsi="Arial"/>
            <w:sz w:val="16"/>
            <w:szCs w:val="16"/>
            <w:u w:val="single" w:color="auto"/>
            <w:color w:val="0000EE"/>
          </w:rPr>
          <w:t>"Part I, Item 1A</w:t>
        </w:r>
      </w:hyperlink>
    </w:p>
    <w:p>
      <w:pPr>
        <w:spacing w:after="0"/>
        <w:rPr>
          <w:rFonts w:ascii="Arial" w:cs="Arial" w:eastAsia="Arial" w:hAnsi="Arial"/>
          <w:sz w:val="16"/>
          <w:szCs w:val="16"/>
          <w:color w:val="0000EE"/>
        </w:rPr>
      </w:pPr>
      <w:hyperlink r:id="rId15">
        <w:r>
          <w:rPr>
            <w:rFonts w:ascii="Arial" w:cs="Arial" w:eastAsia="Arial" w:hAnsi="Arial"/>
            <w:sz w:val="16"/>
            <w:szCs w:val="16"/>
            <w:u w:val="single" w:color="auto"/>
            <w:color w:val="0000EE"/>
          </w:rPr>
          <w:t>— Risk Factors" of our Annual Report on Form 10-K for the year ended September 30, 2018</w:t>
        </w:r>
        <w:r>
          <w:rPr>
            <w:rFonts w:ascii="Arial" w:cs="Arial" w:eastAsia="Arial" w:hAnsi="Arial"/>
            <w:sz w:val="16"/>
            <w:szCs w:val="16"/>
            <w:color w:val="000000"/>
          </w:rPr>
          <w:t>, as supplemented by the information set forth in “Part I, Item 3</w:t>
        </w:r>
      </w:hyperlink>
    </w:p>
    <w:p>
      <w:pPr>
        <w:spacing w:after="0" w:line="32" w:lineRule="exact"/>
        <w:rPr>
          <w:rFonts w:ascii="Arial" w:cs="Arial" w:eastAsia="Arial" w:hAnsi="Arial"/>
          <w:sz w:val="16"/>
          <w:szCs w:val="16"/>
          <w:color w:val="0000EE"/>
        </w:rPr>
      </w:pPr>
    </w:p>
    <w:p>
      <w:pPr>
        <w:spacing w:after="0"/>
        <w:rPr>
          <w:rFonts w:ascii="Arial" w:cs="Arial" w:eastAsia="Arial" w:hAnsi="Arial"/>
          <w:sz w:val="16"/>
          <w:szCs w:val="16"/>
          <w:color w:val="0000EE"/>
        </w:rPr>
      </w:pPr>
      <w:r>
        <w:rPr>
          <w:rFonts w:ascii="Arial" w:cs="Arial" w:eastAsia="Arial" w:hAnsi="Arial"/>
          <w:sz w:val="18"/>
          <w:szCs w:val="18"/>
          <w:color w:val="auto"/>
        </w:rPr>
        <w:t>— Quantitative and Qualitative Disclosures about Market Risk” and "Part II, Item 1 — Legal Proceedings" of this Quarterly Report.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Financial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EZCORP is a Delaware corporation headquartered in Austin, Texas. We are a leading provider of pawn loans in the United States and Latin America.</w:t>
      </w:r>
    </w:p>
    <w:p>
      <w:pPr>
        <w:spacing w:after="0" w:line="1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Most Efficient Provider of Cash;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remain focused on growing our balance of pawn loans outstanding (“PLO”) and the resulting higher pawn service charges (“PSC”). The following charts present sources of net revenues, including PSC, merchandise sales gross profit ("Merchandise sales GP") and jewelry scrapping gross profit ("Jewelry scrapping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848985" cy="4751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5848985" cy="475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charts present sources of net revenues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5848985" cy="4751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5848985" cy="475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store counts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848985" cy="2375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121" w:right="1440"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 and the perceived probability of the loan’s redemption.</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a significant portion of our inventory and sales involve gold and jewelry, our results can be heavily influenced by the market price of gold.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Expansion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plan to expand the number of locations we operate through opening new (“de novo”) locations and through acquisitions in both Latin America and the United States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availability of qualified personnel.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Quarterly Results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Historically, pawn service charges are highest in our fourth fiscal quarter (July through September) due to a higher average loan balance during the summer lending season in the United States and lowest in our third fiscal quarter (April through June) following the tax refund season in the United States. Merchandise sales are highest in our first and second fiscal quarters (October through March) due to the holiday season, jewelry sales in the United States surrounding Valentine’s Day and the availability of tax refunds in the United States. Most of our customers in Latin America receive additional compensation from their employers in December, and many also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Three Months Ended March 31, 2019</w:t>
            </w: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U.S. Pawn</w:t>
            </w:r>
          </w:p>
        </w:tc>
        <w:tc>
          <w:tcPr>
            <w:tcW w:w="20" w:type="dxa"/>
            <w:vAlign w:val="bottom"/>
          </w:tcPr>
          <w:p>
            <w:pPr>
              <w:spacing w:after="0"/>
              <w:rPr>
                <w:sz w:val="13"/>
                <w:szCs w:val="13"/>
                <w:color w:val="auto"/>
              </w:rPr>
            </w:pPr>
          </w:p>
        </w:tc>
        <w:tc>
          <w:tcPr>
            <w:tcW w:w="13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40" w:type="dxa"/>
            <w:vAlign w:val="bottom"/>
          </w:tcPr>
          <w:p>
            <w:pPr>
              <w:spacing w:after="0"/>
              <w:rPr>
                <w:sz w:val="13"/>
                <w:szCs w:val="13"/>
                <w:color w:val="auto"/>
              </w:rPr>
            </w:pPr>
          </w:p>
        </w:tc>
        <w:tc>
          <w:tcPr>
            <w:tcW w:w="15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Other International</w:t>
            </w:r>
          </w:p>
        </w:tc>
        <w:tc>
          <w:tcPr>
            <w:tcW w:w="60" w:type="dxa"/>
            <w:vAlign w:val="bottom"/>
          </w:tcPr>
          <w:p>
            <w:pPr>
              <w:spacing w:after="0"/>
              <w:rPr>
                <w:sz w:val="13"/>
                <w:szCs w:val="13"/>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Pawn</w:t>
            </w:r>
          </w:p>
        </w:tc>
        <w:tc>
          <w:tcPr>
            <w:tcW w:w="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286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8"/>
                <w:szCs w:val="18"/>
                <w:color w:val="auto"/>
              </w:rPr>
              <w:t>508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As of March 31, 2019</w:t>
            </w:r>
          </w:p>
        </w:tc>
        <w:tc>
          <w:tcPr>
            <w:tcW w:w="18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55"/>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466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Three Months Ended March 31, 2018</w:t>
            </w: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20" w:type="dxa"/>
            <w:vAlign w:val="bottom"/>
          </w:tcPr>
          <w:p>
            <w:pPr>
              <w:spacing w:after="0"/>
              <w:rPr>
                <w:sz w:val="13"/>
                <w:szCs w:val="13"/>
                <w:color w:val="auto"/>
              </w:rPr>
            </w:pPr>
          </w:p>
        </w:tc>
        <w:tc>
          <w:tcPr>
            <w:tcW w:w="134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40" w:type="dxa"/>
            <w:vAlign w:val="bottom"/>
          </w:tcPr>
          <w:p>
            <w:pPr>
              <w:spacing w:after="0"/>
              <w:rPr>
                <w:sz w:val="13"/>
                <w:szCs w:val="13"/>
                <w:color w:val="auto"/>
              </w:rPr>
            </w:pPr>
          </w:p>
        </w:tc>
        <w:tc>
          <w:tcPr>
            <w:tcW w:w="15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60" w:type="dxa"/>
            <w:vAlign w:val="bottom"/>
          </w:tcPr>
          <w:p>
            <w:pPr>
              <w:spacing w:after="0"/>
              <w:rPr>
                <w:sz w:val="13"/>
                <w:szCs w:val="13"/>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Pawn</w:t>
            </w:r>
          </w:p>
        </w:tc>
        <w:tc>
          <w:tcPr>
            <w:tcW w:w="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286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513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383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840" w:type="dxa"/>
            <w:vAlign w:val="bottom"/>
            <w:tcBorders>
              <w:bottom w:val="single" w:sz="8" w:color="CCEEFF"/>
            </w:tcBorders>
            <w:gridSpan w:val="2"/>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As of March 31, 2018</w:t>
            </w:r>
          </w:p>
        </w:tc>
        <w:tc>
          <w:tcPr>
            <w:tcW w:w="1840" w:type="dxa"/>
            <w:vAlign w:val="bottom"/>
            <w:gridSpan w:val="2"/>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510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387</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820" w:type="dxa"/>
            <w:vAlign w:val="bottom"/>
            <w:vMerge w:val="restart"/>
          </w:tcPr>
          <w:p>
            <w:pPr>
              <w:jc w:val="right"/>
              <w:ind w:right="15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4"/>
        </w:trPr>
        <w:tc>
          <w:tcPr>
            <w:tcW w:w="102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Six Months Ended March 31, 2019</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Latin America</w:t>
            </w: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Arial" w:cs="Arial" w:eastAsia="Arial" w:hAnsi="Arial"/>
                <w:sz w:val="14"/>
                <w:szCs w:val="14"/>
                <w:b w:val="1"/>
                <w:bCs w:val="1"/>
                <w:color w:val="auto"/>
              </w:rPr>
              <w:t>Pawn</w:t>
            </w:r>
          </w:p>
        </w:tc>
        <w:tc>
          <w:tcPr>
            <w:tcW w:w="15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September 30, 2018</w:t>
            </w:r>
          </w:p>
        </w:tc>
        <w:tc>
          <w:tcPr>
            <w:tcW w:w="28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43"/>
        </w:trPr>
        <w:tc>
          <w:tcPr>
            <w:tcW w:w="4220" w:type="dxa"/>
            <w:vAlign w:val="bottom"/>
            <w:gridSpan w:val="2"/>
          </w:tcPr>
          <w:p>
            <w:pPr>
              <w:ind w:left="280"/>
              <w:spacing w:after="0"/>
              <w:rPr>
                <w:sz w:val="20"/>
                <w:szCs w:val="20"/>
                <w:color w:val="auto"/>
              </w:rPr>
            </w:pPr>
            <w:r>
              <w:rPr>
                <w:rFonts w:ascii="Arial" w:cs="Arial" w:eastAsia="Arial" w:hAnsi="Arial"/>
                <w:sz w:val="18"/>
                <w:szCs w:val="18"/>
                <w:color w:val="auto"/>
              </w:rPr>
              <w:t>New locations opened</w:t>
            </w:r>
          </w:p>
        </w:tc>
        <w:tc>
          <w:tcPr>
            <w:tcW w:w="18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220" w:type="dxa"/>
            <w:vAlign w:val="bottom"/>
            <w:gridSpan w:val="2"/>
          </w:tcPr>
          <w:p>
            <w:pPr>
              <w:ind w:left="280"/>
              <w:spacing w:after="0"/>
              <w:rPr>
                <w:sz w:val="20"/>
                <w:szCs w:val="20"/>
                <w:color w:val="auto"/>
              </w:rPr>
            </w:pPr>
            <w:r>
              <w:rPr>
                <w:rFonts w:ascii="Arial" w:cs="Arial" w:eastAsia="Arial" w:hAnsi="Arial"/>
                <w:sz w:val="18"/>
                <w:szCs w:val="18"/>
                <w:color w:val="auto"/>
              </w:rPr>
              <w:t>Locations sold, combined or closed</w:t>
            </w:r>
          </w:p>
        </w:tc>
        <w:tc>
          <w:tcPr>
            <w:tcW w:w="18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March 31, 2019</w:t>
            </w:r>
          </w:p>
        </w:tc>
        <w:tc>
          <w:tcPr>
            <w:tcW w:w="18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Six Months Ended March 31, 2018</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Latin America</w:t>
            </w: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Arial" w:cs="Arial" w:eastAsia="Arial" w:hAnsi="Arial"/>
                <w:sz w:val="14"/>
                <w:szCs w:val="14"/>
                <w:b w:val="1"/>
                <w:bCs w:val="1"/>
                <w:color w:val="auto"/>
              </w:rPr>
              <w:t>Pawn</w:t>
            </w:r>
          </w:p>
        </w:tc>
        <w:tc>
          <w:tcPr>
            <w:tcW w:w="15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September 30, 2017</w:t>
            </w:r>
          </w:p>
        </w:tc>
        <w:tc>
          <w:tcPr>
            <w:tcW w:w="28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4220" w:type="dxa"/>
            <w:vAlign w:val="bottom"/>
            <w:gridSpan w:val="2"/>
          </w:tcPr>
          <w:p>
            <w:pPr>
              <w:ind w:left="280"/>
              <w:spacing w:after="0"/>
              <w:rPr>
                <w:sz w:val="20"/>
                <w:szCs w:val="20"/>
                <w:color w:val="auto"/>
              </w:rPr>
            </w:pPr>
            <w:r>
              <w:rPr>
                <w:rFonts w:ascii="Arial" w:cs="Arial" w:eastAsia="Arial" w:hAnsi="Arial"/>
                <w:sz w:val="18"/>
                <w:szCs w:val="18"/>
                <w:color w:val="auto"/>
              </w:rPr>
              <w:t>New locations opened</w:t>
            </w:r>
          </w:p>
        </w:tc>
        <w:tc>
          <w:tcPr>
            <w:tcW w:w="18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220" w:type="dxa"/>
            <w:vAlign w:val="bottom"/>
            <w:gridSpan w:val="2"/>
          </w:tcPr>
          <w:p>
            <w:pPr>
              <w:ind w:left="280"/>
              <w:spacing w:after="0"/>
              <w:rPr>
                <w:sz w:val="20"/>
                <w:szCs w:val="20"/>
                <w:color w:val="auto"/>
              </w:rPr>
            </w:pPr>
            <w:r>
              <w:rPr>
                <w:rFonts w:ascii="Arial" w:cs="Arial" w:eastAsia="Arial" w:hAnsi="Arial"/>
                <w:sz w:val="18"/>
                <w:szCs w:val="18"/>
                <w:color w:val="auto"/>
              </w:rPr>
              <w:t>Locations sold, combined or closed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March 31, 2018</w:t>
            </w:r>
          </w:p>
        </w:tc>
        <w:tc>
          <w:tcPr>
            <w:tcW w:w="28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rPr>
              <w:t>29</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14" w:right="29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2019 vs. Three Months Ended March 31, 2018</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tables, as well as the discussion that follows, should be read with the accompanying condensed consolidated financial statements and related notes. All comparisons, unless otherwise noted, are to the prior-year quarter. Prior period results have been corrected for certain out-of-period items identified in the current quarter but not material to any prior period, as described under "Corrections to Prior Period Financial Statements" in Note 1 of Notes to Interim Condensed Consolidated Financial Statements included in "Part I, Item 1 —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6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61,798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59,027</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96,632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94,753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35,704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36,216</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(100)bps</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8,177</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1,665</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(19)%</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(300)bps</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(43)%</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98,890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96,984</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r>
      <w:tr>
        <w:trPr>
          <w:trHeight w:val="324"/>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67,475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65,190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3,531</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(16)%</w:t>
            </w:r>
          </w:p>
        </w:tc>
      </w:tr>
      <w:tr>
        <w:trPr>
          <w:trHeight w:val="237"/>
        </w:trPr>
        <w:tc>
          <w:tcPr>
            <w:tcW w:w="662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28,433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28,263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318"/>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Other segment expense</w:t>
            </w:r>
          </w:p>
        </w:tc>
        <w:tc>
          <w:tcPr>
            <w:tcW w:w="3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108</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28,433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28,155</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r>
      <w:tr>
        <w:trPr>
          <w:trHeight w:val="20"/>
        </w:trPr>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Net earning assets (a)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267,998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256,587</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264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(100)bps</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100bps</w:t>
            </w:r>
          </w:p>
        </w:tc>
      </w:tr>
    </w:tbl>
    <w:p>
      <w:pPr>
        <w:spacing w:after="0" w:line="170" w:lineRule="exact"/>
        <w:rPr>
          <w:sz w:val="20"/>
          <w:szCs w:val="20"/>
          <w:color w:val="auto"/>
        </w:rPr>
      </w:pPr>
    </w:p>
    <w:p>
      <w:pPr>
        <w:ind w:left="380" w:hanging="345"/>
        <w:spacing w:after="0"/>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80" w:hanging="345"/>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revenue increased 2%, or $1.9 million, primarily due to a 5%, or $2.8 million, increase in pawn service charges, offset by a 1%, or $0.5 million, decrease in merchandise sales gross profit and a 19%, or $0.3 million, decrease in jewelry scrapping sales gross profit. With no new stores added since the prior-year quarter, the change in net revenue was attributable to same stores.</w:t>
      </w:r>
    </w:p>
    <w:p>
      <w:pPr>
        <w:spacing w:after="0" w:line="127"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Pawn service charges increased 5%, or $2.8 million, due to a 6% increase in average ending monthly pawn loan balances outstanding during the current quarter. The higher average loan balance was driven by growth in new loan originations from our continued focus on meeting customers’ desire for cash better than our competitors. A disciplined lending approach resulted in maintaining PLO yield and redemption rates compared to the prior-year quarter.</w:t>
      </w:r>
    </w:p>
    <w:p>
      <w:pPr>
        <w:spacing w:after="0" w:line="93"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Merchandise sales increased 2% with gross margin on merchandise sales of 37%, a 100 basis point decline over the prior-year quarter. Delayed receipt of customers’ tax refunds appeared to suppress sales demand during the quarter and placed pressure on merchandise margins. As a result, merchandise sales gross profit decreased 1% to $35.7 million. We expect sales gross margin for the full fiscal year to remain within our target range of 35-38%.</w:t>
      </w:r>
    </w:p>
    <w:p>
      <w:pPr>
        <w:spacing w:after="0" w:line="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Jewelry scrapping sales gross profit remained relatively flat at 1% of current quarter net revenues, in line with our strategy to sell rather than scrap jewelry, with a 300 basis point decline in gross margin to 17% which includes a nominal decline in gold prices.</w:t>
      </w:r>
    </w:p>
    <w:p>
      <w:pPr>
        <w:spacing w:after="0" w:line="116"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Operations expense increased 4% primarily due to increases in personnel costs in meeting the loan demand of our customers, while depreciation and amortization expense decreased 16% due to a one-time charge of $0.5 million for the retirement of certain assets in the prior-year quarter.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addition to the financial information prepared in conformity with accounting principles generally accepted in the United States ("GAAP"), we provide certain other non-GAAP financial information on a constant currency basis ("constant currency"). We use constant currency results to evaluate our Latin America Pawn operations, which are denominated primarily in Mexican pesos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six months ended March 31, 2019 and 2018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740" w:type="dxa"/>
            <w:vAlign w:val="bottom"/>
            <w:gridSpan w:val="3"/>
          </w:tcPr>
          <w:p>
            <w:pPr>
              <w:ind w:left="1000"/>
              <w:spacing w:after="0"/>
              <w:rPr>
                <w:sz w:val="20"/>
                <w:szCs w:val="20"/>
                <w:color w:val="auto"/>
              </w:rPr>
            </w:pPr>
            <w:r>
              <w:rPr>
                <w:rFonts w:ascii="Arial" w:cs="Arial" w:eastAsia="Arial" w:hAnsi="Arial"/>
                <w:sz w:val="14"/>
                <w:szCs w:val="14"/>
                <w:b w:val="1"/>
                <w:bCs w:val="1"/>
                <w:color w:val="auto"/>
              </w:rPr>
              <w:t>March 31,</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3"/>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254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326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121"/>
        </w:trPr>
        <w:tc>
          <w:tcPr>
            <w:tcW w:w="3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Mexican peso</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19.2</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Guatemalan quetzal</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1"/>
                <w:szCs w:val="21"/>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7.6</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7.2</w:t>
            </w:r>
          </w:p>
        </w:tc>
      </w:tr>
      <w:tr>
        <w:trPr>
          <w:trHeight w:val="27"/>
        </w:trPr>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Honduran lempira</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24.2</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Peruvian sol</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3.3</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statement of operations constant currency results reflect the monthly exchange rate fluctuations and so are not directly calculable from the above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Constant currency results, where presented, also exclude the foreign currency gain or loss.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Financial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6"/>
          </w:tcPr>
          <w:p>
            <w:pPr>
              <w:jc w:val="right"/>
              <w:ind w:right="752"/>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2019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2018 (GAAP)</w:t>
            </w:r>
          </w:p>
        </w:tc>
        <w:tc>
          <w:tcPr>
            <w:tcW w:w="10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2"/>
              <w:spacing w:after="0" w:line="153" w:lineRule="exact"/>
              <w:rPr>
                <w:sz w:val="20"/>
                <w:szCs w:val="20"/>
                <w:color w:val="auto"/>
              </w:rPr>
            </w:pPr>
            <w:r>
              <w:rPr>
                <w:rFonts w:ascii="Arial" w:cs="Arial" w:eastAsia="Arial" w:hAnsi="Arial"/>
                <w:sz w:val="14"/>
                <w:szCs w:val="14"/>
                <w:b w:val="1"/>
                <w:bCs w:val="1"/>
                <w:color w:val="auto"/>
                <w:w w:val="93"/>
              </w:rPr>
              <w:t>2019 (Constant</w:t>
            </w:r>
          </w:p>
        </w:tc>
        <w:tc>
          <w:tcPr>
            <w:tcW w:w="12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Currency)</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4"/>
          </w:tcPr>
          <w:p>
            <w:pPr>
              <w:jc w:val="right"/>
              <w:ind w:right="592"/>
              <w:spacing w:after="0"/>
              <w:rPr>
                <w:sz w:val="20"/>
                <w:szCs w:val="20"/>
                <w:color w:val="auto"/>
              </w:rPr>
            </w:pPr>
            <w:r>
              <w:rPr>
                <w:rFonts w:ascii="Arial" w:cs="Arial" w:eastAsia="Arial" w:hAnsi="Arial"/>
                <w:sz w:val="14"/>
                <w:szCs w:val="14"/>
                <w:i w:val="1"/>
                <w:iCs w:val="1"/>
                <w:color w:val="auto"/>
              </w:rPr>
              <w:t>(in USD thousands)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20,001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15,004</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20,578</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24,628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20,192</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25,303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6,509</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7,967</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r>
        <w:trPr>
          <w:trHeight w:val="243"/>
        </w:trPr>
        <w:tc>
          <w:tcPr>
            <w:tcW w:w="45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(100)bps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3,348</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2,546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286</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208</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(27)%</w:t>
            </w:r>
          </w:p>
        </w:tc>
        <w:tc>
          <w:tcPr>
            <w:tcW w:w="0" w:type="dxa"/>
            <w:vAlign w:val="bottom"/>
          </w:tcPr>
          <w:p>
            <w:pPr>
              <w:spacing w:after="0"/>
              <w:rPr>
                <w:sz w:val="1"/>
                <w:szCs w:val="1"/>
                <w:color w:val="auto"/>
              </w:rPr>
            </w:pPr>
          </w:p>
        </w:tc>
      </w:tr>
      <w:tr>
        <w:trPr>
          <w:trHeight w:val="243"/>
        </w:trPr>
        <w:tc>
          <w:tcPr>
            <w:tcW w:w="45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(100)bps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174</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(85)%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21,973</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28,779</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18,223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15,015</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18,749</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916</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1,536</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68%</w:t>
            </w:r>
          </w:p>
        </w:tc>
        <w:tc>
          <w:tcPr>
            <w:tcW w:w="0" w:type="dxa"/>
            <w:vAlign w:val="bottom"/>
          </w:tcPr>
          <w:p>
            <w:pPr>
              <w:spacing w:after="0"/>
              <w:rPr>
                <w:sz w:val="1"/>
                <w:szCs w:val="1"/>
                <w:color w:val="auto"/>
              </w:rPr>
            </w:pPr>
          </w:p>
        </w:tc>
      </w:tr>
      <w:tr>
        <w:trPr>
          <w:trHeight w:val="237"/>
        </w:trPr>
        <w:tc>
          <w:tcPr>
            <w:tcW w:w="452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8,266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6,042</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8,494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41%</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Other segment income (a)</w:t>
            </w:r>
          </w:p>
        </w:tc>
        <w:tc>
          <w:tcPr>
            <w:tcW w:w="1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(767)</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(1,246)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62%</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9,457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6,809</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9,740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Net earning assets (b)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78,488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61,438</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82,489</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w w:val="93"/>
              </w:rPr>
              <w:t>Average monthly ending pawn loan balance per store (c)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88</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93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100bps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100bps</w:t>
            </w: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(100)bps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right="40" w:hanging="345"/>
        <w:spacing w:after="0" w:line="253"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Fiscal 2019 constant currency amount excludes nominal net GAAP basis foreign currency transaction losses resulting from movement in exchange rates. The net foreign currency transaction gains for fiscal 2018 were nominal and are included in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1" w:right="29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opened four stores in the current quarter. We see opportunity for further expansion in Latin America through de novo openings and acquisitions, and plan to open more stores in Latin America during the remainder of fiscal 2019.</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revenue increased $6.0 million, or 27% ($6.8 million, or 31%, on a constant currency basis), primarily due to a 33% increase (37% on a constant currency basis) in pawn service charges and a 19% increase (22% on a constant currency basis) in merchandise sales gross profit. The increase in net revenue attributable to same stores and new stores added since the prior-year quarter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Pawn service charges increased 33% (37% on a constant currency basis) primarily from newly acquired stores. The average ending monthly pawn loan balance outstanding during the current quarter was up 2% (up 6% on a constant currency basis). Pawn service charges further include $1.1 million in revenue attributable to receipt of previously escrowed seller funds as a result of settling certain indemnification claims with the sellers of GPMX. Subsequent to quarter end, we loaned the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w:t>
      </w:r>
    </w:p>
    <w:p>
      <w:pPr>
        <w:spacing w:after="0" w:line="13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Merchandise sales increased 22% (25% on a constant currency basis) primarily from newly acquired stores, although same store sales were up 9%. Gross margin on merchandise sales was 31%, or 100 basis points below the prior-year quarter. As a result of these factors and foreign currency impacts, merchandise sales gross profit was up 19% to $7.8 million (up 22% to $8.0 million on a constant currency basis).</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Jewelry scrapping sales decreased 26% (24% on a constant currency basis) with a 100 basis point increase in margin, in line with our strategy to sell rather than scrap jewelry.</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revenue increased 27% (31% on a constant currency basis). Operations expense increased 21% (25% on a constant currency basis), and depreciation and amortization increased 63% (68% on a constant currency basis), both primarily as a result of newly acquired stores. These factors, as well as a $0.8 million recovery from a previously reserved receivable from a bankrupt refiner, resulted in an increase in segment contribution of 39% (43% on a constant currency basis).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functional currency of primarily Australian and Canadian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980" w:type="dxa"/>
            <w:vAlign w:val="bottom"/>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gridSpan w:val="3"/>
          </w:tcPr>
          <w:p>
            <w:pPr>
              <w:jc w:val="right"/>
              <w:ind w:right="536"/>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Consumer loan fees, interest and other</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1,647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1,300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Segment operating expenses (income):</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2,022</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(876)</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(loss) contribution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 in unconsolidated affiliates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6,451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segment expense (income)</w:t>
            </w:r>
          </w:p>
        </w:tc>
        <w:tc>
          <w:tcPr>
            <w:tcW w:w="10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 contribution</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(8,236)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Segment loss was $8.2 million, a decrease of $8.4 million from the prior-year quarter, primarily due to the impairment of our investment in Cash Converters International in the amount of $6.5 million.</w:t>
      </w:r>
    </w:p>
    <w:p>
      <w:pPr>
        <w:spacing w:after="0" w:line="11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Due partly to regulatory changes that became effective January 1, 2018, we added installment loan products in our Canada CASHMAX business to meet the needs of our customers. In addition to payday loans, all CASHMAX stores are now offering installment loans with terms ranging from six to 18 months and average yields of 47% per annum. We entered into a secured borrowing arrangement in November 2018 to provide up to CAD $25.0 million to fund originations of installment loans through November 2019 and have obtained $1.5 million in proceeds from the facility through March 31, 2019. See Note 6 of Notes to Interim Condensed Consolidated Financial Statements included in "Part I, Item 1 —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29,654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35,153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24%</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1,957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sale or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5,827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(23)%</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17,504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(71)%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5,797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(77)%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(96)%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(76)%</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11,581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(71)%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decreased primarily due to the impairment of our investment in Cash Converters International of $6.5 million.</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Administrative expenses increased $3.1 million, or 24%, primarily due to costs associated with the strategic investment in a new digital platform and other professional fees.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Depreciation and amortization increased $0.5 million, or 26%, primarily due to additional capitalized software costs, including development of our new point of sale system.</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$2.6 million, or 44%, primarily due to an increase in debt outstanding during the current quarter compared to the prior-year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interest rates on our outstanding convertible debt were approximately 8% to 9%.</w:t>
      </w:r>
    </w:p>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income decreased $0.8 million, or 23%, primarily due to the declining principal balance on the Grupo Finmart notes receivable as they are repaid in accordance with their agreed amortization schedule.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decreased $3.6 million due primarily to:</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$12.5 million decrease in income from continuing operations before income taxes;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lower maximum U.S. corporate rate of 21% in the current quarter compared to 24.5% in the prior-year quarter;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prior-year quarter charge related to the impacts of the U.S. Tax Cuts and Jobs Act of 2017.</w:t>
      </w:r>
    </w:p>
    <w:p>
      <w:pPr>
        <w:spacing w:after="0" w:line="17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March 31, 2019 vs. Six Months Ended March 31, 2018</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tables, as well as the discussion that follows, should be read with the accompanying condensed consolidated financial statements and related notes. All comparisons, unless otherwise noted, are to the prior-year six-months.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6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126,023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118,644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191,735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186,247</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71,659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71,622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(100)bps</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14,468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16,702</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(13)%</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3,348</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(29)%</w:t>
            </w:r>
          </w:p>
        </w:tc>
      </w:tr>
      <w:tr>
        <w:trPr>
          <w:trHeight w:val="243"/>
        </w:trPr>
        <w:tc>
          <w:tcPr>
            <w:tcW w:w="66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(400)bps</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150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(39)%</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200,160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193,764</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r>
      <w:tr>
        <w:trPr>
          <w:trHeight w:val="324"/>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135,435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131,378</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6,017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6,330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w:t>
            </w:r>
          </w:p>
        </w:tc>
      </w:tr>
      <w:tr>
        <w:trPr>
          <w:trHeight w:val="237"/>
        </w:trPr>
        <w:tc>
          <w:tcPr>
            <w:tcW w:w="662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58,708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56,056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318"/>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Other segment expense</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120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2,277%</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55,856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55,936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273</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7%</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0" w:lineRule="exact"/>
        <w:rPr>
          <w:sz w:val="20"/>
          <w:szCs w:val="20"/>
          <w:color w:val="auto"/>
        </w:rPr>
      </w:pPr>
    </w:p>
    <w:p>
      <w:pPr>
        <w:ind w:left="380" w:hanging="345"/>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revenue increased $6.4 million, or 3%, primarily due to a 6%, or $7.4 million, increase in pawn service charges, offset by a 29%, or $1.0 million, decrease in jewelry scrapping sales gross profit. The change in net revenue attributable to same stores and new stores added since the prior-year six-months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Pawn service charges increased 6% primarily due to a 7% increase in average ending monthly pawn loan balances outstanding during the current six-months. The higher average loan balance was driven by disciplined lending practices, a focus on meeting customers' need for cash, a delay in receipt of tax refunds and stronger performance from stores affected by hurricanes in the prior-year six-months.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Merchandise sales increased 3% with gross margin on merchandise sales of 37%, a 100 basis point decline over the prior-year six-months. As a result, merchandise sales gross profit was flat at $71.7 million. A portion of the year-over-year improvement is due to the impacts of hurricanes in the prior-year six-months. We expect sales gross margin for the full fiscal year to be within our target range of 35-38%.</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Jewelry scrapping sales gross profit remained relatively flat at 1% of net revenues, in line with our strategy to sell rather than scrap jewelry, with a 400 basis point decline in gross margin to 16% which includes a nominal decline in gold prices.</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3% increase in net revenue turned into a flat segment contribution primarily as a result of a $2.9 million reserve against a receivable balance from a gold refiner deemed uncollectible due to the refiner's Chapter 11 bankruptcy, in addition to a 3% increase in operations expense primarily due to wage inflation and increases to staffing levels in meeting the loan demand of our customers.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functional currencies. See “Results of Operations — Non-GAAP Financial Information” above.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872"/>
              <w:spacing w:after="0"/>
              <w:rPr>
                <w:sz w:val="20"/>
                <w:szCs w:val="20"/>
                <w:color w:val="auto"/>
              </w:rPr>
            </w:pPr>
            <w:r>
              <w:rPr>
                <w:rFonts w:ascii="Arial" w:cs="Arial" w:eastAsia="Arial" w:hAnsi="Arial"/>
                <w:sz w:val="14"/>
                <w:szCs w:val="14"/>
                <w:b w:val="1"/>
                <w:bCs w:val="1"/>
                <w:color w:val="auto"/>
                <w:w w:val="93"/>
              </w:rPr>
              <w:t>Six Months Ended March 31,</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2019 (GAAP)</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2018 (GAAP)</w:t>
            </w:r>
          </w:p>
        </w:tc>
        <w:tc>
          <w:tcPr>
            <w:tcW w:w="10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1"/>
              </w:rPr>
              <w:t>2019 (Constant</w:t>
            </w:r>
          </w:p>
        </w:tc>
        <w:tc>
          <w:tcPr>
            <w:tcW w:w="100" w:type="dxa"/>
            <w:vAlign w:val="bottom"/>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4"/>
          </w:tcPr>
          <w:p>
            <w:pPr>
              <w:jc w:val="right"/>
              <w:ind w:right="591"/>
              <w:spacing w:after="0"/>
              <w:rPr>
                <w:sz w:val="20"/>
                <w:szCs w:val="20"/>
                <w:color w:val="auto"/>
              </w:rPr>
            </w:pPr>
            <w:r>
              <w:rPr>
                <w:rFonts w:ascii="Arial" w:cs="Arial" w:eastAsia="Arial" w:hAnsi="Arial"/>
                <w:sz w:val="14"/>
                <w:szCs w:val="14"/>
                <w:i w:val="1"/>
                <w:iCs w:val="1"/>
                <w:color w:val="auto"/>
              </w:rPr>
              <w:t>(in USD thousands)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39,295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31,409</w:t>
            </w:r>
          </w:p>
        </w:tc>
        <w:tc>
          <w:tcPr>
            <w:tcW w:w="134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40,755</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50,549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42,286</w:t>
            </w:r>
          </w:p>
        </w:tc>
        <w:tc>
          <w:tcPr>
            <w:tcW w:w="134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52,419</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15,713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13,524</w:t>
            </w:r>
          </w:p>
        </w:tc>
        <w:tc>
          <w:tcPr>
            <w:tcW w:w="1340" w:type="dxa"/>
            <w:vAlign w:val="bottom"/>
            <w:tcBorders>
              <w:bottom w:val="single" w:sz="8" w:color="CCEEFF"/>
            </w:tcBorders>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16,289</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43"/>
        </w:trPr>
        <w:tc>
          <w:tcPr>
            <w:tcW w:w="450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(100)bps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7,036</w:t>
            </w:r>
          </w:p>
        </w:tc>
        <w:tc>
          <w:tcPr>
            <w:tcW w:w="134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5,398</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479</w:t>
            </w:r>
          </w:p>
        </w:tc>
        <w:tc>
          <w:tcPr>
            <w:tcW w:w="1340" w:type="dxa"/>
            <w:vAlign w:val="bottom"/>
            <w:tcBorders>
              <w:bottom w:val="single" w:sz="8" w:color="CCEEFF"/>
            </w:tcBorders>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404</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43"/>
        </w:trPr>
        <w:tc>
          <w:tcPr>
            <w:tcW w:w="450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100bps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343</w:t>
            </w:r>
          </w:p>
        </w:tc>
        <w:tc>
          <w:tcPr>
            <w:tcW w:w="134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70</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(80)%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55,466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45,755</w:t>
            </w:r>
          </w:p>
        </w:tc>
        <w:tc>
          <w:tcPr>
            <w:tcW w:w="1340" w:type="dxa"/>
            <w:vAlign w:val="bottom"/>
            <w:tcBorders>
              <w:bottom w:val="single" w:sz="8" w:color="CCEEFF"/>
            </w:tcBorders>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57,518</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26%</w:t>
            </w:r>
          </w:p>
        </w:tc>
        <w:tc>
          <w:tcPr>
            <w:tcW w:w="0" w:type="dxa"/>
            <w:vAlign w:val="bottom"/>
          </w:tcPr>
          <w:p>
            <w:pPr>
              <w:spacing w:after="0"/>
              <w:rPr>
                <w:sz w:val="1"/>
                <w:szCs w:val="1"/>
                <w:color w:val="auto"/>
              </w:rPr>
            </w:pPr>
          </w:p>
        </w:tc>
      </w:tr>
      <w:tr>
        <w:trPr>
          <w:trHeight w:val="297"/>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36,419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29,850</w:t>
            </w:r>
          </w:p>
        </w:tc>
        <w:tc>
          <w:tcPr>
            <w:tcW w:w="134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37,768</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1,761</w:t>
            </w:r>
          </w:p>
        </w:tc>
        <w:tc>
          <w:tcPr>
            <w:tcW w:w="1340" w:type="dxa"/>
            <w:vAlign w:val="bottom"/>
            <w:tcBorders>
              <w:bottom w:val="single" w:sz="8" w:color="CCEEFF"/>
            </w:tcBorders>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3,023</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72%</w:t>
            </w:r>
          </w:p>
        </w:tc>
        <w:tc>
          <w:tcPr>
            <w:tcW w:w="0" w:type="dxa"/>
            <w:vAlign w:val="bottom"/>
          </w:tcPr>
          <w:p>
            <w:pPr>
              <w:spacing w:after="0"/>
              <w:rPr>
                <w:sz w:val="1"/>
                <w:szCs w:val="1"/>
                <w:color w:val="auto"/>
              </w:rPr>
            </w:pPr>
          </w:p>
        </w:tc>
      </w:tr>
      <w:tr>
        <w:trPr>
          <w:trHeight w:val="237"/>
        </w:trPr>
        <w:tc>
          <w:tcPr>
            <w:tcW w:w="450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16,130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14,144</w:t>
            </w:r>
          </w:p>
        </w:tc>
        <w:tc>
          <w:tcPr>
            <w:tcW w:w="134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16,727</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18%</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Other segment income (a)</w:t>
            </w:r>
          </w:p>
        </w:tc>
        <w:tc>
          <w:tcPr>
            <w:tcW w:w="1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(1,278)</w:t>
            </w:r>
          </w:p>
        </w:tc>
        <w:tc>
          <w:tcPr>
            <w:tcW w:w="134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(96)%</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16,247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15,422</w:t>
            </w:r>
          </w:p>
        </w:tc>
        <w:tc>
          <w:tcPr>
            <w:tcW w:w="1340" w:type="dxa"/>
            <w:vAlign w:val="bottom"/>
            <w:tcBorders>
              <w:bottom w:val="single" w:sz="8" w:color="CCEEFF"/>
            </w:tcBorders>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2"/>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16,772</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w w:val="92"/>
              </w:rPr>
              <w:t>Average monthly ending pawn loan balance per store (b)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89</w:t>
            </w:r>
          </w:p>
        </w:tc>
        <w:tc>
          <w:tcPr>
            <w:tcW w:w="1340" w:type="dxa"/>
            <w:vAlign w:val="bottom"/>
            <w:gridSpan w:val="2"/>
          </w:tcPr>
          <w:p>
            <w:pPr>
              <w:jc w:val="center"/>
              <w:ind w:left="11"/>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94</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right="40" w:hanging="345"/>
        <w:spacing w:after="0" w:line="253"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Fiscal 2019 constant currency amount excludes nominal net GAAP basis foreign currency transaction gains resulting from movement in exchange rates. The net foreign currency transaction gains for fiscal 2018 were nominal and are included in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122" w:right="3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Our Latin America business continues to grow rapidly. In the current six-months, we acquired five pawn stores and opened eight de novo stores.</w:t>
      </w:r>
    </w:p>
    <w:p>
      <w:pPr>
        <w:spacing w:after="0" w:line="1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revenue increased $9.7 million, or 21% ($11.8 million, or 26%, on a constant currency basis), primarily due to a 25% increase (30% on a constant currency basis) in pawn service charges and a 16% increase (20% on a constant currency basis) in merchandise sales gross profit. The increase in net revenue attributable to same stores and new stores added since the prior-year six-months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Pawn service charges increased 25% (30% on a constant currency basis) primarily from newly acquired stores, although same store growth was 6%. The average ending monthly pawn loan balance outstanding during the current six-months was up 1% (up 6% on a constant currency basis). Pawn service charges further include $1.1 million in revenue attributable to receipt of previously escrowed seller funds as a result of settling certain indemnification claims with the sellers of GPMX.</w:t>
      </w:r>
    </w:p>
    <w:p>
      <w:pPr>
        <w:spacing w:after="0" w:line="13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Merchandise sales increased 20% (24% on a constant currency basis) primarily from newly acquired stores. Gross margin on merchandise sales was 31%, or 100 basis points below the prior-year six-months. As a result of these factors, merchandise sales gross profit was up 16% to $15.7 million (20% to $16.3 million on a constant currency basis).</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Jewelry scrapping sales decreased 26% (23% on a constant currency basis) with a 100 basis point increase in margin, in line with our strategy to sell rather than scrap jewelry.</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revenue increased 21% (26% on a constant currency basis). Operations expense increased 22% (27% on a constant currency basis) primarily as a result of newly acquired stores. Additionally, we recorded a $0.7 million reserve against a receivable and inventory balance deemed uncollectible from a refiner, consisting of a $1.5 million reserve recorded in the first quarter ended December 31, 2018 and a subsequent $0.8 million recovery in the current quarter. These factors resulted in a decrease in segment contribution of 5% (9% on a constant currency basis).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functional currency of primarily Australian and Canadian dollars: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gridSpan w:val="3"/>
          </w:tcPr>
          <w:p>
            <w:pPr>
              <w:jc w:val="right"/>
              <w:ind w:right="476"/>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260"/>
              <w:spacing w:after="0"/>
              <w:rPr>
                <w:sz w:val="20"/>
                <w:szCs w:val="20"/>
                <w:color w:val="auto"/>
              </w:rPr>
            </w:pPr>
            <w:r>
              <w:rPr>
                <w:rFonts w:ascii="Arial" w:cs="Arial" w:eastAsia="Arial" w:hAnsi="Arial"/>
                <w:sz w:val="18"/>
                <w:szCs w:val="18"/>
                <w:color w:val="auto"/>
              </w:rPr>
              <w:t>Consumer loan fees, interest and other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3,751</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Consumer loan bad debt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37"/>
        </w:trPr>
        <w:tc>
          <w:tcPr>
            <w:tcW w:w="6940" w:type="dxa"/>
            <w:vAlign w:val="bottom"/>
          </w:tcPr>
          <w:p>
            <w:pPr>
              <w:ind w:left="48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2,827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9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Segment operating expenses (income):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4,692</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43"/>
        </w:trPr>
        <w:tc>
          <w:tcPr>
            <w:tcW w:w="6940" w:type="dxa"/>
            <w:vAlign w:val="bottom"/>
          </w:tcPr>
          <w:p>
            <w:pPr>
              <w:ind w:left="260"/>
              <w:spacing w:after="0"/>
              <w:rPr>
                <w:sz w:val="20"/>
                <w:szCs w:val="20"/>
                <w:color w:val="auto"/>
              </w:rPr>
            </w:pPr>
            <w:r>
              <w:rPr>
                <w:rFonts w:ascii="Arial" w:cs="Arial" w:eastAsia="Arial" w:hAnsi="Arial"/>
                <w:sz w:val="18"/>
                <w:szCs w:val="18"/>
                <w:color w:val="auto"/>
              </w:rPr>
              <w:t>Equity in net loss (income) of unconsolidated affiliates</w:t>
            </w: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(2,326)</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Segment operating (loss) contribution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investment in unconsolidated affiliates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19,725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Other segment expense (income)</w:t>
            </w: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Segment (loss) contribution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loss was $24.1 million compared to $0.6 million in income in the prior-year six-months, primarily due to:</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our investment in Cash Converters International in the amount of $19.7 million; and</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charge of $2.9 million included in our ordinary estimated share of earnings for the current-year six-months from Cash Converters International for charges relating to settlement of Queensland class action litigation in October 2018.</w:t>
      </w:r>
    </w:p>
    <w:p>
      <w:pPr>
        <w:spacing w:after="0" w:line="1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Due partly to regulatory changes that became effective January 1, 2018, we added installment loan products in our Canada CASHMAX business to meet the needs of our customers. In addition to payday loans, all CASHMAX stores are now offering installment loans with terms ranging from six to 18 months and average yields of 47% per annum. We entered into a secured borrowing arrangement in November 2018 to provide up to CAD $25.0 million to fund originations of installment loans through November 2019 and have obtained $1.5 million in proceeds from the facility through March 31, 2019. See Note 6 of Notes to Interim Condensed Consolidated Financial Statements included in "Part I, Item 1 —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closed three under-performing CASHMAX stores in the current six-months.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48,006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71,937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(33)%</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26,420</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4,808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3,989</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17,097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11,673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70%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37,161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(99)%</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13,208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(90)%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23,953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(72)%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23,231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24,220</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Segment contribution decreased primarily due to a $19.7 million impairment of our investment in Cash Converters International and a $2.9 million charge included in our ordinary estimated share of earnings from Cash Converters International for charges relating to settlement of a Queensland class action litigation in October 2018.</w:t>
      </w:r>
    </w:p>
    <w:p>
      <w:pPr>
        <w:spacing w:after="0" w:line="12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Administrative expenses increased $5.3 million, or 20%, in the current six-months primarily due to costs of $3.6 million associated with a strategic investment in a new digital platform and other professional fees.</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Depreciation and amortization increased $0.8 million, or 21%, primarily due to additional capitalized software costs, including development of a new point of sale system.</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expense increased $5.4 million, or 46%, primarily due to an increase in debt outstanding during the current six-months compared to the prior-year six-months. Effective interest rates on our outstanding convertible debt were approximately 8% to 9%.</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income decreased $1.5 million, or 21%, primarily due to the declining principal balance on the Grupo Finmart notes receivable as they are repaid in accordance with their agreed amortization schedule.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decreased $12.1 million due primarily to:</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$36.9 million decrease in income from continuing operations before income taxes; and</w:t>
      </w:r>
    </w:p>
    <w:p>
      <w:pPr>
        <w:spacing w:after="0" w:line="17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lower maximum U.S. corporate rate of 21% in the current six-months compared to a higher blended rate in the prior-year six-months;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first quarter of fiscal 2018 charge related to the impacts of the U.S. Tax Cuts and Jobs Act of 2017;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non-recurring benefit in the first quarter of fiscal 2018 for the expiration of statute of limitations on an uncertain tax position.</w:t>
      </w:r>
    </w:p>
    <w:p>
      <w:pPr>
        <w:spacing w:after="0" w:line="17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50,623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45,644</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14,915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(49,474)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(778)%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(152)%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62,208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Cash and Cash Equivalents and Restricted Cash for the Six Months Ended March 31, 2019 vs. Six Months Ended March 31, 2018</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increase in cash flows from operating activities year-over-year was due to a $6.9 million increase in net income exclusive of non-cash items, operational results and stores acquired in the prior year, offset by a $1.9 million decrease from changes in operating assets and liabilities.</w:t>
      </w:r>
    </w:p>
    <w:p>
      <w:pPr>
        <w:spacing w:after="0" w:line="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increase in cash flows from investing activities year-over-year was due to a $63.2 million decrease in cash paid for acquisitions, a $5.4 million decrease in additions to property and equipment and a $5.4 million increase in principal collections on notes receivable, offset by a $9.6 million net investment in customer loan growth.</w:t>
      </w:r>
    </w:p>
    <w:p>
      <w:pPr>
        <w:spacing w:after="0" w:line="12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decrease in cash flows from financing activities year-over-year was due to a $3.0 million increase in cash paid for employee net share settlement of individual tax liabilities on vested share-based awards, offset by $0.6 million in net proceeds from borrowings.</w:t>
      </w:r>
    </w:p>
    <w:p>
      <w:pPr>
        <w:spacing w:after="0" w:line="116"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net effect of these and other smaller items was a $62.2 million increase in cash on hand during the current six-months, resulting in a $347.8 million ending cash balance compared to $159.2 million as of March 31, 2018. Of the ending cash balance as of March 31, 2019, $25.0 million was not available to fund domestic operations as we intend to permanently reinvest those funds in our foreign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anticipate that cash flow from operations and cash on hand will be adequate to fund our contractual obligations, planned de novo store growth, capital expenditures and working capital requirements, as well as a limited amount of acquisitions, through fiscal 2019. We currently intend to retire the $195.0 million of 2.125% Cash Convertible Senior Notes Due 2019 at maturity (June 15, 2019) using cash on hand. We continue to explore accretive acquisition opportunities, both large and small, and may choose to pursue additional debt, equity or equity-linked financings in the future should the need arise. Depending on the level of acquisition activity and other factors, our ability to repay our longer term debt obligations, including the convertible debt maturing in 2024 and 2025, may require us to refinance these obligations through the issuance of new debt securities, equity securities, convertible securities or through new credit facilities.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160"/>
        <w:spacing w:after="0" w:line="264" w:lineRule="auto"/>
        <w:rPr>
          <w:rFonts w:ascii="Arial" w:cs="Arial" w:eastAsia="Arial" w:hAnsi="Arial"/>
          <w:sz w:val="18"/>
          <w:szCs w:val="18"/>
          <w:color w:val="0000EE"/>
        </w:rPr>
      </w:pPr>
      <w:hyperlink r:id="rId19">
        <w:r>
          <w:rPr>
            <w:rFonts w:ascii="Arial" w:cs="Arial" w:eastAsia="Arial" w:hAnsi="Arial"/>
            <w:sz w:val="18"/>
            <w:szCs w:val="18"/>
            <w:color w:val="auto"/>
          </w:rPr>
          <w:t xml:space="preserve">In </w:t>
        </w:r>
        <w:r>
          <w:rPr>
            <w:rFonts w:ascii="Arial" w:cs="Arial" w:eastAsia="Arial" w:hAnsi="Arial"/>
            <w:sz w:val="18"/>
            <w:szCs w:val="18"/>
            <w:u w:val="single" w:color="auto"/>
            <w:color w:val="0000EE"/>
          </w:rPr>
          <w:t>"Part II, Item 7 — Management's Discussion and Analysis of Financial Condition and Results of Operations" of our Annual Report on Form 10-K for the</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year ended September 30, 2018</w:t>
        </w:r>
        <w:r>
          <w:rPr>
            <w:rFonts w:ascii="Arial" w:cs="Arial" w:eastAsia="Arial" w:hAnsi="Arial"/>
            <w:sz w:val="18"/>
            <w:szCs w:val="18"/>
            <w:color w:val="000000"/>
          </w:rPr>
          <w:t>, we reported that we had $795.8 million in total contractual obligations as of September 30, 2018. There have been no</w:t>
        </w:r>
      </w:hyperlink>
      <w:r>
        <w:rPr>
          <w:rFonts w:ascii="Arial" w:cs="Arial" w:eastAsia="Arial" w:hAnsi="Arial"/>
          <w:sz w:val="18"/>
          <w:szCs w:val="18"/>
          <w:color w:val="0000EE"/>
        </w:rPr>
        <w:t xml:space="preserve"> </w:t>
      </w:r>
      <w:r>
        <w:rPr>
          <w:rFonts w:ascii="Arial" w:cs="Arial" w:eastAsia="Arial" w:hAnsi="Arial"/>
          <w:sz w:val="18"/>
          <w:szCs w:val="18"/>
          <w:color w:val="000000"/>
        </w:rPr>
        <w:t>material changes to this total obligation since September 30, 2018.</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2018, these collectively amounted to $22.4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 and 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spacing w:after="0" w:line="287" w:lineRule="auto"/>
        <w:rPr>
          <w:rFonts w:ascii="Arial" w:cs="Arial" w:eastAsia="Arial" w:hAnsi="Arial"/>
          <w:sz w:val="16"/>
          <w:szCs w:val="16"/>
          <w:color w:val="0000EE"/>
        </w:rPr>
      </w:pPr>
      <w:r>
        <w:rPr>
          <w:rFonts w:ascii="Arial" w:cs="Arial" w:eastAsia="Arial" w:hAnsi="Arial"/>
          <w:sz w:val="16"/>
          <w:szCs w:val="16"/>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w:t>
      </w:r>
      <w:hyperlink r:id="rId15">
        <w:r>
          <w:rPr>
            <w:rFonts w:ascii="Arial" w:cs="Arial" w:eastAsia="Arial" w:hAnsi="Arial"/>
            <w:sz w:val="16"/>
            <w:szCs w:val="16"/>
            <w:color w:val="auto"/>
          </w:rPr>
          <w:t xml:space="preserve">factors that could cause results or events to differ from current expectations are identified and described in </w:t>
        </w:r>
        <w:r>
          <w:rPr>
            <w:rFonts w:ascii="Arial" w:cs="Arial" w:eastAsia="Arial" w:hAnsi="Arial"/>
            <w:sz w:val="16"/>
            <w:szCs w:val="16"/>
            <w:u w:val="single" w:color="auto"/>
            <w:color w:val="0000EE"/>
          </w:rPr>
          <w:t>"Part I, Item 1A — Risk Factors" of our Annual</w:t>
        </w:r>
      </w:hyperlink>
      <w:r>
        <w:rPr>
          <w:rFonts w:ascii="Arial" w:cs="Arial" w:eastAsia="Arial" w:hAnsi="Arial"/>
          <w:sz w:val="16"/>
          <w:szCs w:val="16"/>
          <w:color w:val="auto"/>
        </w:rPr>
        <w:t xml:space="preserve"> </w:t>
      </w:r>
      <w:hyperlink r:id="rId15">
        <w:r>
          <w:rPr>
            <w:rFonts w:ascii="Arial" w:cs="Arial" w:eastAsia="Arial" w:hAnsi="Arial"/>
            <w:sz w:val="16"/>
            <w:szCs w:val="16"/>
            <w:u w:val="single" w:color="auto"/>
            <w:color w:val="0000EE"/>
          </w:rPr>
          <w:t>Report on Form 10-K for the year ended September 30, 2018</w:t>
        </w:r>
        <w:r>
          <w:rPr>
            <w:rFonts w:ascii="Arial" w:cs="Arial" w:eastAsia="Arial" w:hAnsi="Arial"/>
            <w:sz w:val="16"/>
            <w:szCs w:val="16"/>
            <w:color w:val="000000"/>
          </w:rPr>
          <w:t xml:space="preserve">, supplemented by those described in "Part II, Item 1A — Risk Factors" of this Quarterly </w:t>
        </w:r>
      </w:hyperlink>
      <w:r>
        <w:rPr>
          <w:rFonts w:ascii="Arial" w:cs="Arial" w:eastAsia="Arial" w:hAnsi="Arial"/>
          <w:sz w:val="16"/>
          <w:szCs w:val="16"/>
          <w:color w:val="0000EE"/>
        </w:rPr>
        <w:t>Report.</w:t>
      </w:r>
    </w:p>
    <w:p>
      <w:pPr>
        <w:spacing w:after="0" w:line="1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0"/>
        <w:spacing w:after="0" w:line="264" w:lineRule="auto"/>
        <w:rPr>
          <w:rFonts w:ascii="Arial" w:cs="Arial" w:eastAsia="Arial" w:hAnsi="Arial"/>
          <w:sz w:val="18"/>
          <w:szCs w:val="18"/>
          <w:color w:val="0000EE"/>
        </w:rPr>
      </w:pPr>
      <w:r>
        <w:rPr>
          <w:rFonts w:ascii="Arial" w:cs="Arial" w:eastAsia="Arial" w:hAnsi="Arial"/>
          <w:sz w:val="18"/>
          <w:szCs w:val="18"/>
          <w:color w:val="auto"/>
        </w:rPr>
        <w:t xml:space="preserve">Market risks relating to our operations result primarily from changes in interest rates, gold values and foreign currency exchange rates, and are described in </w:t>
      </w:r>
      <w:hyperlink r:id="rId20">
        <w:r>
          <w:rPr>
            <w:rFonts w:ascii="Arial" w:cs="Arial" w:eastAsia="Arial" w:hAnsi="Arial"/>
            <w:sz w:val="18"/>
            <w:szCs w:val="18"/>
            <w:color w:val="auto"/>
          </w:rPr>
          <w:t xml:space="preserve">detail in </w:t>
        </w:r>
        <w:r>
          <w:rPr>
            <w:rFonts w:ascii="Arial" w:cs="Arial" w:eastAsia="Arial" w:hAnsi="Arial"/>
            <w:sz w:val="18"/>
            <w:szCs w:val="18"/>
            <w:u w:val="single" w:color="auto"/>
            <w:color w:val="0000EE"/>
          </w:rPr>
          <w:t>"Part II, Item 7A — Quantitative and Qualitative Disclosures about Market Risk" of our Annual Report on Form 10-K for the year ended September</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30, 2018</w:t>
        </w:r>
        <w:r>
          <w:rPr>
            <w:rFonts w:ascii="Arial" w:cs="Arial" w:eastAsia="Arial" w:hAnsi="Arial"/>
            <w:sz w:val="18"/>
            <w:szCs w:val="18"/>
            <w:color w:val="000000"/>
          </w:rPr>
          <w:t>. There have been no material changes to our exposure to market risks since September 30, 2018.</w:t>
        </w:r>
      </w:hyperlink>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ind w:right="400"/>
        <w:spacing w:after="0" w:line="279"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our management evaluated the effectiveness of the design and operation of our disclosure controls and procedures as of March 31, 2019. Based on that evaluation, our Chief Executive Officer and Chief Financial Officer concluded that our disclosure controls and procedures were not effective as of March 31, 2019 due to the existence of a material weakness in internal control over financial reporting described below (which we view as an integral part of our disclosure controls and procedures). Based on the performance of additional procedures designed to ensure the reliability of our financial reporting, we believe that the condensed consolidated financial statements included in this Quarterly Report on Form 10-Q fairly present, in all material respects, our financial position, results of operations and cash flows as of the dates, and for the periods, presented, in conformity with GAAP.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quarter ended March 31, 2019, we experienced changes in our internal control environment that have materially affected, or are reasonably likely to materially affect, our internal control over financial reporting. Specifically, we have certain deficiencies in our information technology general controls (ITGC) that are designed to prevent or detect unauthorized access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or changes to our operating system and databases. Prior to the quarter ended March 31, 2019, we maintained a separate logging system that mitigated the potential impact of those ITGC deficiencies. During the quarter, however, we deemed it necessary to discontinue the separate logging system in order to maintain acceptable system performance at the store level, which eliminated compensating controls that mitigated the potential impact of the ITGC deficiencies. We believe that, without those IT compensating controls and given the lack of sufficiently designed non-IT compensating controls, the underlying ITGC deficiencies represent a material weakness in our internal control over financial reporting.</w:t>
      </w:r>
    </w:p>
    <w:p>
      <w:pPr>
        <w:spacing w:after="0" w:line="11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of the date of this Quarterly Report on Form 10-Q, we have hired a Chief Information Security Officer, whose primary responsibility is to assist us with the design, implementation and maintenance of appropriate controls to safeguard the confidentiality, integrity and availability of our IT operating and reporting systems. We are focused on remediating the underlying ITGC deficiencies, and we are in the process of improving our control environment to adequately prevent or detect unauthorized access or changes to our operating systems and databases, including the implementation of a new separate logging system that is expected to operate without sacrificing system performance at the store level. See "Part II, Item 1A —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a control system must reflect the fact that resources are constrained, and the benefits of controls must be considered relative to their costs.</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8 of Notes to Interim Condensed Consolidated Financial Statements included in "Part I, Item 1 —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Important risk factors that could affect our operations and financial performance, or that could cause results or events to differ from current expectations, are described in </w:t>
      </w:r>
      <w:hyperlink r:id="rId15">
        <w:r>
          <w:rPr>
            <w:rFonts w:ascii="Arial" w:cs="Arial" w:eastAsia="Arial" w:hAnsi="Arial"/>
            <w:sz w:val="18"/>
            <w:szCs w:val="18"/>
            <w:u w:val="single" w:color="auto"/>
            <w:color w:val="0000EE"/>
          </w:rPr>
          <w:t>"Part I, Item 1A — Risk Factors" of our Annual Report on Form 10-K for the year ended September 30. 2018</w:t>
        </w:r>
      </w:hyperlink>
      <w:r>
        <w:rPr>
          <w:rFonts w:ascii="Arial" w:cs="Arial" w:eastAsia="Arial" w:hAnsi="Arial"/>
          <w:sz w:val="18"/>
          <w:szCs w:val="18"/>
          <w:color w:val="auto"/>
        </w:rPr>
        <w:t xml:space="preserve">, as supplemented by the information set forth in </w:t>
      </w:r>
      <w:r>
        <w:rPr>
          <w:rFonts w:ascii="Arial" w:cs="Arial" w:eastAsia="Arial" w:hAnsi="Arial"/>
          <w:sz w:val="18"/>
          <w:szCs w:val="18"/>
          <w:u w:val="single" w:color="auto"/>
          <w:color w:val="0000EE"/>
        </w:rPr>
        <w:t>"Part II, Item 1A — Risk Factors" of our Quarterly Report on Form 10-Q for the quarter ended December 31, 2018</w:t>
      </w:r>
      <w:r>
        <w:rPr>
          <w:rFonts w:ascii="Arial" w:cs="Arial" w:eastAsia="Arial" w:hAnsi="Arial"/>
          <w:sz w:val="18"/>
          <w:szCs w:val="18"/>
          <w:color w:val="auto"/>
        </w:rPr>
        <w:t xml:space="preserve"> and by the information set forth below.</w:t>
      </w:r>
    </w:p>
    <w:p>
      <w:pPr>
        <w:spacing w:after="0" w:line="13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that, if not effectively remediated, could result in material misstatements in our financial statements.</w:t>
      </w:r>
    </w:p>
    <w:p>
      <w:pPr>
        <w:spacing w:after="0" w:line="11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described in "Part I, Item 4 — Controls and Procedures," we have identified and evaluated certain deficiencies in our IT general controls, and have concluded that those deficiencies, collectively, represent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a result of this material weakness, management has concluded that our disclosure controls and procedures were not effective as of March 31, 2019.</w:t>
      </w:r>
    </w:p>
    <w:p>
      <w:pPr>
        <w:spacing w:after="0" w:line="1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described in "Part I, Item 4 — Controls and Procedures," we are in the process of implementing a remediation plan to address the underlying ITGC deficiencies. If our remediation efforts are insufficient, our consolidated financial statements may contain material misstatements and we could be required to restate our financial results, which could materially and adversely affect our business, results of operations and financial condition, restrict our ability to access the capital markets, require us to expend significant resources to correct the deficiencies, subject us to fines, penalties or judgments, harm our reputation or otherwise cause a decline in investor confidence.</w:t>
      </w:r>
    </w:p>
    <w:p>
      <w:pPr>
        <w:spacing w:after="0" w:line="13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ability to recover our investment in RDC is heavily dependent on RDC's success and performance, including its ability to obtain further debt or equity financing.</w:t>
      </w:r>
    </w:p>
    <w:p>
      <w:pPr>
        <w:spacing w:after="0" w:line="11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certain interests in RDC, a previously consolidated variable interest entity, including a $9.1 million non-interest bearing convertible promissory note due January 2021. See Note 5 of Notes to Interim Condensed Consolidated Financial Statements included in "Part I, Item 1 — "Financial Statements." Our ability to recover our investment in RDC, including the amount owed under the convertible promissory note or any value attributable to additional equity interest that we would receive on conversion, is heavily dependent on RDC's success and performance, including its ability to obtain further debt or equity financing. To the extent that RDC is not successful, we may be required in future periods to impair our investment and recognize related investment losses.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40" w:type="dxa"/>
            <w:vAlign w:val="bottom"/>
          </w:tcPr>
          <w:p>
            <w:pPr>
              <w:spacing w:after="0"/>
              <w:rPr>
                <w:sz w:val="16"/>
                <w:szCs w:val="16"/>
                <w:color w:val="auto"/>
              </w:rPr>
            </w:pPr>
          </w:p>
        </w:tc>
        <w:tc>
          <w:tcPr>
            <w:tcW w:w="10000" w:type="dxa"/>
            <w:vAlign w:val="bottom"/>
            <w:gridSpan w:val="6"/>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21"/>
        </w:trPr>
        <w:tc>
          <w:tcPr>
            <w:tcW w:w="3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8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3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r>
      <w:tr>
        <w:trPr>
          <w:trHeight w:val="203"/>
        </w:trPr>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FF"/>
            </w:tcBorders>
            <w:shd w:val="clear" w:color="auto" w:fill="CCEEFF"/>
          </w:tcPr>
          <w:p>
            <w:pPr>
              <w:jc w:val="center"/>
              <w:spacing w:after="0" w:line="202" w:lineRule="exact"/>
              <w:rPr>
                <w:sz w:val="20"/>
                <w:szCs w:val="20"/>
                <w:color w:val="auto"/>
              </w:rPr>
            </w:pPr>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1†</w:t>
            </w:r>
          </w:p>
        </w:tc>
        <w:tc>
          <w:tcPr>
            <w:tcW w:w="540" w:type="dxa"/>
            <w:vAlign w:val="bottom"/>
            <w:tcBorders>
              <w:bottom w:val="single" w:sz="8" w:color="CCEEFF"/>
            </w:tcBorders>
            <w:gridSpan w:val="3"/>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0000FF"/>
            </w:tcBorders>
            <w:gridSpan w:val="5"/>
            <w:shd w:val="clear" w:color="auto" w:fill="CCEEFF"/>
          </w:tcPr>
          <w:p>
            <w:pPr>
              <w:spacing w:after="0" w:line="202" w:lineRule="exact"/>
              <w:rPr>
                <w:sz w:val="20"/>
                <w:szCs w:val="20"/>
                <w:color w:val="auto"/>
              </w:rPr>
            </w:pPr>
            <w:r>
              <w:rPr>
                <w:rFonts w:ascii="Arial" w:cs="Arial" w:eastAsia="Arial" w:hAnsi="Arial"/>
                <w:sz w:val="18"/>
                <w:szCs w:val="18"/>
                <w:color w:val="0000FF"/>
                <w:w w:val="91"/>
              </w:rPr>
              <w:t>Certification of Stuart I. Grimshaw, Chief Executive Officer, pursuant to Rule 13a-14(a) under the Securities Exchange Act of 1934, as</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0000FF"/>
            </w:tcBorders>
            <w:shd w:val="clear" w:color="auto" w:fill="CCEEFF"/>
          </w:tcPr>
          <w:p>
            <w:pPr>
              <w:spacing w:after="0" w:line="196"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512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w:t>
            </w:r>
          </w:p>
        </w:tc>
        <w:tc>
          <w:tcPr>
            <w:tcW w:w="5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6"/>
          </w:tcPr>
          <w:p>
            <w:pPr>
              <w:spacing w:after="0" w:line="202" w:lineRule="exact"/>
              <w:rPr>
                <w:sz w:val="20"/>
                <w:szCs w:val="20"/>
                <w:color w:val="auto"/>
              </w:rPr>
            </w:pPr>
            <w:r>
              <w:rPr>
                <w:rFonts w:ascii="Arial" w:cs="Arial" w:eastAsia="Arial" w:hAnsi="Arial"/>
                <w:sz w:val="18"/>
                <w:szCs w:val="18"/>
                <w:color w:val="0000FF"/>
                <w:w w:val="96"/>
              </w:rPr>
              <w:t>Certification of Daniel M. Chism, Chief Financial Officer, pursuant to Rule 13a-14(a) under the Securities Exchange Act of 1934, as</w:t>
            </w: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460" w:type="dxa"/>
            <w:vAlign w:val="bottom"/>
            <w:gridSpan w:val="2"/>
          </w:tcPr>
          <w:p>
            <w:pPr>
              <w:spacing w:after="0"/>
              <w:rPr>
                <w:sz w:val="17"/>
                <w:szCs w:val="17"/>
                <w:color w:val="auto"/>
              </w:rPr>
            </w:pPr>
          </w:p>
        </w:tc>
      </w:tr>
      <w:tr>
        <w:trPr>
          <w:trHeight w:val="48"/>
        </w:trPr>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8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3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FF"/>
            </w:tcBorders>
            <w:gridSpan w:val="3"/>
            <w:shd w:val="clear" w:color="auto" w:fill="CCEEFF"/>
          </w:tcPr>
          <w:p>
            <w:pPr>
              <w:jc w:val="center"/>
              <w:spacing w:after="0" w:line="202" w:lineRule="exact"/>
              <w:rPr>
                <w:sz w:val="20"/>
                <w:szCs w:val="20"/>
                <w:color w:val="auto"/>
              </w:rPr>
            </w:pPr>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p>
        </w:tc>
        <w:tc>
          <w:tcPr>
            <w:tcW w:w="50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440" w:type="dxa"/>
            <w:vAlign w:val="bottom"/>
            <w:tcBorders>
              <w:bottom w:val="single" w:sz="8" w:color="0000FF"/>
            </w:tcBorders>
            <w:gridSpan w:val="3"/>
            <w:shd w:val="clear" w:color="auto" w:fill="CCEEFF"/>
          </w:tcPr>
          <w:p>
            <w:pPr>
              <w:spacing w:after="0" w:line="202" w:lineRule="exact"/>
              <w:rPr>
                <w:sz w:val="20"/>
                <w:szCs w:val="20"/>
                <w:color w:val="auto"/>
              </w:rPr>
            </w:pPr>
            <w:r>
              <w:rPr>
                <w:rFonts w:ascii="Arial" w:cs="Arial" w:eastAsia="Arial" w:hAnsi="Arial"/>
                <w:sz w:val="18"/>
                <w:szCs w:val="18"/>
                <w:color w:val="0000FF"/>
                <w:w w:val="92"/>
              </w:rPr>
              <w:t>Certifications of Stuart I. Grimshaw, Chief Executive Officer, and Daniel M. Chism, Chief Financial Officer, pursuant to 18 U.S.C.</w:t>
            </w:r>
          </w:p>
        </w:tc>
        <w:tc>
          <w:tcPr>
            <w:tcW w:w="560" w:type="dxa"/>
            <w:vAlign w:val="bottom"/>
            <w:tcBorders>
              <w:bottom w:val="single" w:sz="8" w:color="CCEEFF"/>
            </w:tcBorders>
            <w:gridSpan w:val="3"/>
            <w:shd w:val="clear" w:color="auto" w:fill="CCEEFF"/>
          </w:tcPr>
          <w:p>
            <w:pPr>
              <w:spacing w:after="0"/>
              <w:rPr>
                <w:sz w:val="17"/>
                <w:szCs w:val="17"/>
                <w:color w:val="auto"/>
              </w:rPr>
            </w:pPr>
          </w:p>
        </w:tc>
      </w:tr>
      <w:tr>
        <w:trPr>
          <w:trHeight w:val="244"/>
        </w:trPr>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0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color w:val="0000FF"/>
              </w:rPr>
              <w:t>Section 1350, as adopted pursuant to Section 906 of the Sarbanes-Oxley Act of 2002</w:t>
            </w:r>
          </w:p>
        </w:tc>
      </w:tr>
      <w:tr>
        <w:trPr>
          <w:trHeight w:val="243"/>
        </w:trPr>
        <w:tc>
          <w:tcPr>
            <w:tcW w:w="1380" w:type="dxa"/>
            <w:vAlign w:val="bottom"/>
            <w:tcBorders>
              <w:top w:val="single" w:sz="8" w:color="CCEEFF"/>
            </w:tcBorders>
            <w:gridSpan w:val="6"/>
          </w:tcPr>
          <w:p>
            <w:pPr>
              <w:jc w:val="center"/>
              <w:ind w:right="120"/>
              <w:spacing w:after="0"/>
              <w:rPr>
                <w:sz w:val="20"/>
                <w:szCs w:val="20"/>
                <w:color w:val="auto"/>
              </w:rPr>
            </w:pPr>
            <w:r>
              <w:rPr>
                <w:rFonts w:ascii="Arial" w:cs="Arial" w:eastAsia="Arial" w:hAnsi="Arial"/>
                <w:sz w:val="18"/>
                <w:szCs w:val="18"/>
                <w:color w:val="auto"/>
                <w:w w:val="90"/>
              </w:rPr>
              <w:t>101.INS†††</w:t>
            </w:r>
          </w:p>
        </w:tc>
        <w:tc>
          <w:tcPr>
            <w:tcW w:w="40" w:type="dxa"/>
            <w:vAlign w:val="bottom"/>
            <w:tcBorders>
              <w:top w:val="single" w:sz="8" w:color="CCEEFF"/>
            </w:tcBorders>
          </w:tcPr>
          <w:p>
            <w:pPr>
              <w:spacing w:after="0"/>
              <w:rPr>
                <w:sz w:val="21"/>
                <w:szCs w:val="21"/>
                <w:color w:val="auto"/>
              </w:rPr>
            </w:pPr>
          </w:p>
        </w:tc>
        <w:tc>
          <w:tcPr>
            <w:tcW w:w="61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3900" w:type="dxa"/>
            <w:vAlign w:val="bottom"/>
            <w:tcBorders>
              <w:top w:val="single" w:sz="8" w:color="CCEEFF"/>
            </w:tcBorders>
            <w:gridSpan w:val="4"/>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91"/>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380" w:type="dxa"/>
            <w:vAlign w:val="bottom"/>
            <w:gridSpan w:val="6"/>
          </w:tcPr>
          <w:p>
            <w:pPr>
              <w:jc w:val="center"/>
              <w:ind w:right="120"/>
              <w:spacing w:after="0"/>
              <w:rPr>
                <w:sz w:val="20"/>
                <w:szCs w:val="20"/>
                <w:color w:val="auto"/>
              </w:rPr>
            </w:pPr>
            <w:r>
              <w:rPr>
                <w:rFonts w:ascii="Arial" w:cs="Arial" w:eastAsia="Arial" w:hAnsi="Arial"/>
                <w:sz w:val="18"/>
                <w:szCs w:val="18"/>
                <w:color w:val="auto"/>
                <w:w w:val="93"/>
              </w:rPr>
              <w:t>101.CAL†††</w:t>
            </w:r>
          </w:p>
        </w:tc>
        <w:tc>
          <w:tcPr>
            <w:tcW w:w="4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92"/>
              </w:rPr>
              <w:t>101.DEF†††</w:t>
            </w:r>
          </w:p>
        </w:tc>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380" w:type="dxa"/>
            <w:vAlign w:val="bottom"/>
            <w:gridSpan w:val="6"/>
          </w:tcPr>
          <w:p>
            <w:pPr>
              <w:jc w:val="center"/>
              <w:ind w:right="120"/>
              <w:spacing w:after="0"/>
              <w:rPr>
                <w:sz w:val="20"/>
                <w:szCs w:val="20"/>
                <w:color w:val="auto"/>
              </w:rPr>
            </w:pPr>
            <w:r>
              <w:rPr>
                <w:rFonts w:ascii="Arial" w:cs="Arial" w:eastAsia="Arial" w:hAnsi="Arial"/>
                <w:sz w:val="18"/>
                <w:szCs w:val="18"/>
                <w:color w:val="auto"/>
                <w:w w:val="94"/>
              </w:rPr>
              <w:t>101.LAB†††</w:t>
            </w:r>
          </w:p>
        </w:tc>
        <w:tc>
          <w:tcPr>
            <w:tcW w:w="40" w:type="dxa"/>
            <w:vAlign w:val="bottom"/>
          </w:tcPr>
          <w:p>
            <w:pPr>
              <w:spacing w:after="0"/>
              <w:rPr>
                <w:sz w:val="21"/>
                <w:szCs w:val="21"/>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43"/>
        </w:trPr>
        <w:tc>
          <w:tcPr>
            <w:tcW w:w="1380" w:type="dxa"/>
            <w:vAlign w:val="bottom"/>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88"/>
              </w:rPr>
              <w:t>101.PRE†††</w:t>
            </w:r>
          </w:p>
        </w:tc>
        <w:tc>
          <w:tcPr>
            <w:tcW w:w="40" w:type="dxa"/>
            <w:vAlign w:val="bottom"/>
            <w:shd w:val="clear" w:color="auto" w:fill="CCEEFF"/>
          </w:tcPr>
          <w:p>
            <w:pPr>
              <w:spacing w:after="0"/>
              <w:rPr>
                <w:sz w:val="21"/>
                <w:szCs w:val="21"/>
                <w:color w:val="auto"/>
              </w:rPr>
            </w:pPr>
          </w:p>
        </w:tc>
        <w:tc>
          <w:tcPr>
            <w:tcW w:w="10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hanging="465"/>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500" w:right="60" w:hanging="465"/>
        <w:spacing w:after="0" w:line="293"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March 31, 2019, March 31, 2018 and September 30, 2018; (ii) Condensed Consolidated Statements of Operations for the three and six months ended March 31, 2019 and March 31, 2018; (iii) Condensed Consolidated Statements of Comprehensive Income (Loss) for the three and six months ended March 31, 2019 and March 31, 2018; (iv) Condensed Consolidated Statements of Stockholders' Equity for the three and six months ended March 31, 2019 and March 31, 2018; (v) Condensed Consolidated Statements of Cash Flows for the six months ended March 31, 2019 and March 31, 2018; and (vi) Notes to Interim Condensed Consolidated Financial Statements.</w:t>
      </w:r>
    </w:p>
    <w:p>
      <w:pPr>
        <w:sectPr>
          <w:pgSz w:w="11900" w:h="16838" w:orient="portrait"/>
          <w:cols w:equalWidth="0" w:num="1">
            <w:col w:w="11420"/>
          </w:cols>
          <w:pgMar w:left="240" w:top="122"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May 8, 2019</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395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McGuire,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Deputy Chief Financial Officer and Chief Accounting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122"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8, 2019</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Daniel M. Chism,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Daniel M. Chism, certify that:</w:t>
      </w:r>
    </w:p>
    <w:p>
      <w:pPr>
        <w:spacing w:after="0" w:line="171"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8, 2019</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1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Daniel M. Chism</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Certifications of Stuart I. Grimshaw, Chief Executive Officer, and Daniel M. Chism, Chief Financial Officer, pursuant to 18 U.S.C. Section 1350, as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March 31, 2019,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Date: May 8, 2019</w:t>
            </w:r>
          </w:p>
        </w:tc>
        <w:tc>
          <w:tcPr>
            <w:tcW w:w="3640" w:type="dxa"/>
            <w:vAlign w:val="bottom"/>
          </w:tcPr>
          <w:p>
            <w:pPr>
              <w:ind w:left="20"/>
              <w:spacing w:after="0"/>
              <w:rPr>
                <w:sz w:val="20"/>
                <w:szCs w:val="20"/>
                <w:color w:val="auto"/>
              </w:rPr>
            </w:pPr>
            <w:r>
              <w:rPr>
                <w:rFonts w:ascii="Arial" w:cs="Arial" w:eastAsia="Arial" w:hAnsi="Arial"/>
                <w:sz w:val="18"/>
                <w:szCs w:val="18"/>
                <w:color w:val="auto"/>
              </w:rPr>
              <w:t>/s/ Stuart I. Grimshaw</w:t>
            </w:r>
          </w:p>
        </w:tc>
      </w:tr>
      <w:tr>
        <w:trPr>
          <w:trHeight w:val="27"/>
        </w:trPr>
        <w:tc>
          <w:tcPr>
            <w:tcW w:w="75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Stuart I. Grimshaw</w:t>
            </w:r>
          </w:p>
        </w:tc>
      </w:tr>
      <w:tr>
        <w:trPr>
          <w:trHeight w:val="270"/>
        </w:trPr>
        <w:tc>
          <w:tcPr>
            <w:tcW w:w="750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94"/>
        </w:trPr>
        <w:tc>
          <w:tcPr>
            <w:tcW w:w="7500" w:type="dxa"/>
            <w:vAlign w:val="bottom"/>
          </w:tcPr>
          <w:p>
            <w:pPr>
              <w:spacing w:after="0"/>
              <w:rPr>
                <w:sz w:val="20"/>
                <w:szCs w:val="20"/>
                <w:color w:val="auto"/>
              </w:rPr>
            </w:pPr>
            <w:r>
              <w:rPr>
                <w:rFonts w:ascii="Arial" w:cs="Arial" w:eastAsia="Arial" w:hAnsi="Arial"/>
                <w:sz w:val="18"/>
                <w:szCs w:val="18"/>
                <w:color w:val="auto"/>
              </w:rPr>
              <w:t>Date: May 8, 2019</w:t>
            </w:r>
          </w:p>
        </w:tc>
        <w:tc>
          <w:tcPr>
            <w:tcW w:w="3640" w:type="dxa"/>
            <w:vAlign w:val="bottom"/>
          </w:tcPr>
          <w:p>
            <w:pPr>
              <w:ind w:left="20"/>
              <w:spacing w:after="0"/>
              <w:rPr>
                <w:sz w:val="20"/>
                <w:szCs w:val="20"/>
                <w:color w:val="auto"/>
              </w:rPr>
            </w:pPr>
            <w:r>
              <w:rPr>
                <w:rFonts w:ascii="Arial" w:cs="Arial" w:eastAsia="Arial" w:hAnsi="Arial"/>
                <w:sz w:val="18"/>
                <w:szCs w:val="18"/>
                <w:color w:val="auto"/>
              </w:rPr>
              <w:t>/s/ Daniel M. Chism</w:t>
            </w:r>
          </w:p>
        </w:tc>
      </w:tr>
      <w:tr>
        <w:trPr>
          <w:trHeight w:val="27"/>
        </w:trPr>
        <w:tc>
          <w:tcPr>
            <w:tcW w:w="75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Daniel M. Chism</w:t>
            </w:r>
          </w:p>
        </w:tc>
      </w:tr>
      <w:tr>
        <w:trPr>
          <w:trHeight w:val="432"/>
        </w:trPr>
        <w:tc>
          <w:tcPr>
            <w:tcW w:w="750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emdash "/>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emdash "/>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Archives/edgar/data/876523/000087652318000057/a2018-q410xk.htm" TargetMode="External"/><Relationship Id="rId13" Type="http://schemas.openxmlformats.org/officeDocument/2006/relationships/hyperlink" Target="http://www.sec.gov/Archives/edgar/data/876523/000087652318000057/a2018-q410xk.htm#sEA90464465EE54E29AA59026CFCB198C" TargetMode="External"/><Relationship Id="rId14" Type="http://schemas.openxmlformats.org/officeDocument/2006/relationships/hyperlink" Target="http://www.sec.gov/Archives/edgar/data/876523/000087652318000057/a2018-q410xk.htm#s75001B228C305B74AC0CDB0ACFB1DF01" TargetMode="External"/><Relationship Id="rId15" Type="http://schemas.openxmlformats.org/officeDocument/2006/relationships/hyperlink" Target="http://www.sec.gov/Archives/edgar/data/876523/000087652318000057/a2018-q410xk.htm#sFAD209181DD35A369CD787842314BE4B" TargetMode="External"/><Relationship Id="rId19" Type="http://schemas.openxmlformats.org/officeDocument/2006/relationships/hyperlink" Target="http://www.sec.gov/Archives/edgar/data/876523/000087652318000057/a2018-q410xk.htm#s8ED3BB57A9CA553A978C2CE8170AB77C" TargetMode="External"/><Relationship Id="rId20" Type="http://schemas.openxmlformats.org/officeDocument/2006/relationships/hyperlink" Target="http://www.sec.gov/Archives/edgar/data/876523/000087652318000057/a2018-q410xk.htm#s153B279C36C05AF7929D251B08CEBA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2019-12-02T22:18:50Z</dcterms:created>
  <dcterms:modified xsi:type="dcterms:W3CDTF">2019-12-02T22:18:50Z</dcterms:modified>
</cp:coreProperties>
</file>