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51418e8vk.htm"/>
      <w:bookmarkStart w:id="1" w:name="ksd51418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CURRENT REPORT</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Pursuant to Section 13 or 15(d) of</w:t>
        <w:br/>
        <w:t>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Date of Report (Date of Earliest Event Reported):</w:t>
        <w:br/>
      </w:r>
      <w:r>
        <w:rPr>
          <w:rFonts w:ascii="Times New Roman;Times;serif" w:hAnsi="Times New Roman;Times;serif"/>
          <w:b/>
          <w:sz w:val="17"/>
        </w:rPr>
        <w:t>November 8, 2007</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DELAWARE</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rPr>
              <w:t>0-19424</w:t>
            </w:r>
            <w:r>
              <w:rPr/>
              <w:t xml:space="preserv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b/>
              </w:rPr>
            </w:pPr>
            <w:r>
              <w:rPr>
                <w:b/>
              </w:rPr>
              <w:t>74-2540145</w:t>
            </w:r>
          </w:p>
        </w:tc>
      </w:tr>
      <w:tr>
        <w:trPr/>
        <w:tc>
          <w:tcPr>
            <w:tcW w:w="3061" w:type="dxa"/>
            <w:tcBorders/>
            <w:shd w:fill="auto" w:val="clear"/>
          </w:tcPr>
          <w:p>
            <w:pPr>
              <w:pStyle w:val="TableContents"/>
              <w:spacing w:before="0" w:after="283"/>
              <w:jc w:val="center"/>
              <w:rPr/>
            </w:pPr>
            <w:r>
              <w:rPr/>
              <w:t xml:space="preserve">(State or other jurisdiction of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(Commission File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(I.R.S. Employer</w:t>
            </w:r>
          </w:p>
        </w:tc>
      </w:tr>
      <w:tr>
        <w:trPr/>
        <w:tc>
          <w:tcPr>
            <w:tcW w:w="3061" w:type="dxa"/>
            <w:tcBorders/>
            <w:shd w:fill="auto" w:val="clear"/>
          </w:tcPr>
          <w:p>
            <w:pPr>
              <w:pStyle w:val="TableContents"/>
              <w:spacing w:before="0" w:after="283"/>
              <w:jc w:val="center"/>
              <w:rPr/>
            </w:pPr>
            <w:r>
              <w:rPr/>
              <w:t xml:space="preserve">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 xml:space="preserve">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Identification No.)</w:t>
            </w:r>
          </w:p>
        </w:tc>
      </w:tr>
    </w:tbl>
    <w:tbl>
      <w:tblPr>
        <w:tblW w:w="5000" w:type="pct"/>
        <w:jc w:val="center"/>
        <w:tblInd w:w="0" w:type="dxa"/>
        <w:tblCellMar>
          <w:top w:w="0" w:type="dxa"/>
          <w:left w:w="0" w:type="dxa"/>
          <w:bottom w:w="0" w:type="dxa"/>
          <w:right w:w="0" w:type="dxa"/>
        </w:tblCellMar>
      </w:tblPr>
      <w:tblGrid>
        <w:gridCol w:w="4845"/>
        <w:gridCol w:w="514"/>
        <w:gridCol w:w="4846"/>
      </w:tblGrid>
      <w:tr>
        <w:trPr/>
        <w:tc>
          <w:tcPr>
            <w:tcW w:w="4845" w:type="dxa"/>
            <w:tcBorders/>
            <w:shd w:fill="auto" w:val="clear"/>
            <w:vAlign w:val="bottom"/>
          </w:tcPr>
          <w:p>
            <w:pPr>
              <w:pStyle w:val="TableContents"/>
              <w:spacing w:before="0" w:after="283"/>
              <w:rPr/>
            </w:pPr>
            <w:r>
              <w:rPr/>
              <w:t> </w:t>
            </w:r>
          </w:p>
        </w:tc>
        <w:tc>
          <w:tcPr>
            <w:tcW w:w="514" w:type="dxa"/>
            <w:tcBorders/>
            <w:shd w:fill="auto" w:val="clear"/>
            <w:vAlign w:val="bottom"/>
          </w:tcPr>
          <w:p>
            <w:pPr>
              <w:pStyle w:val="TableContents"/>
              <w:spacing w:before="0" w:after="283"/>
              <w:rPr/>
            </w:pPr>
            <w:r>
              <w:rPr/>
              <w:t> </w:t>
            </w:r>
          </w:p>
        </w:tc>
        <w:tc>
          <w:tcPr>
            <w:tcW w:w="4846" w:type="dxa"/>
            <w:tcBorders/>
            <w:shd w:fill="auto" w:val="clear"/>
            <w:vAlign w:val="bottom"/>
          </w:tcPr>
          <w:p>
            <w:pPr>
              <w:pStyle w:val="TableContents"/>
              <w:spacing w:before="0" w:after="283"/>
              <w:rPr/>
            </w:pPr>
            <w:r>
              <w:rPr/>
              <w:t> </w:t>
            </w:r>
          </w:p>
        </w:tc>
      </w:tr>
      <w:tr>
        <w:trPr/>
        <w:tc>
          <w:tcPr>
            <w:tcW w:w="4845" w:type="dxa"/>
            <w:tcBorders/>
            <w:shd w:fill="auto" w:val="clear"/>
          </w:tcPr>
          <w:p>
            <w:pPr>
              <w:pStyle w:val="TableContents"/>
              <w:spacing w:before="0" w:after="283"/>
              <w:jc w:val="center"/>
              <w:rPr>
                <w:b/>
              </w:rPr>
            </w:pPr>
            <w:r>
              <w:rPr>
                <w:b/>
              </w:rPr>
              <w:t>1901 CAPITAL PARKWAY</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pPr>
            <w:r>
              <w:rPr/>
              <w:t> </w:t>
            </w:r>
          </w:p>
        </w:tc>
      </w:tr>
      <w:tr>
        <w:trPr/>
        <w:tc>
          <w:tcPr>
            <w:tcW w:w="4845" w:type="dxa"/>
            <w:tcBorders/>
            <w:shd w:fill="auto" w:val="clear"/>
          </w:tcPr>
          <w:p>
            <w:pPr>
              <w:pStyle w:val="TableContents"/>
              <w:spacing w:before="0" w:after="283"/>
              <w:jc w:val="center"/>
              <w:rPr/>
            </w:pPr>
            <w:r>
              <w:rPr>
                <w:b/>
              </w:rPr>
              <w:t>AUSTIN, TEXAS</w:t>
            </w:r>
            <w:r>
              <w:rPr/>
              <w:t xml:space="preserve">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b/>
              </w:rPr>
            </w:pPr>
            <w:r>
              <w:rPr>
                <w:b/>
              </w:rPr>
              <w:t>78746</w:t>
            </w:r>
          </w:p>
        </w:tc>
      </w:tr>
      <w:tr>
        <w:trPr/>
        <w:tc>
          <w:tcPr>
            <w:tcW w:w="4845" w:type="dxa"/>
            <w:tcBorders/>
            <w:shd w:fill="auto" w:val="clear"/>
          </w:tcPr>
          <w:p>
            <w:pPr>
              <w:pStyle w:val="TableContents"/>
              <w:spacing w:before="0" w:after="283"/>
              <w:jc w:val="center"/>
              <w:rPr/>
            </w:pPr>
            <w:r>
              <w:rPr/>
              <w:t xml:space="preserve">(Address of principal executive offices) </w:t>
            </w:r>
          </w:p>
        </w:tc>
        <w:tc>
          <w:tcPr>
            <w:tcW w:w="514" w:type="dxa"/>
            <w:tcBorders/>
            <w:shd w:fill="auto" w:val="clear"/>
            <w:vAlign w:val="bottom"/>
          </w:tcPr>
          <w:p>
            <w:pPr>
              <w:pStyle w:val="TableContents"/>
              <w:spacing w:before="0" w:after="283"/>
              <w:rPr/>
            </w:pPr>
            <w:r>
              <w:rPr/>
              <w:t> </w:t>
            </w:r>
          </w:p>
        </w:tc>
        <w:tc>
          <w:tcPr>
            <w:tcW w:w="4846" w:type="dxa"/>
            <w:tcBorders/>
            <w:shd w:fill="auto" w:val="clear"/>
          </w:tcPr>
          <w:p>
            <w:pPr>
              <w:pStyle w:val="TableContents"/>
              <w:spacing w:before="0" w:after="283"/>
              <w:jc w:val="center"/>
              <w:rPr/>
            </w:pPr>
            <w:r>
              <w:rPr/>
              <w:t>(Zip Code)</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(512) 314-3400</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Written communications pursuant to Rule 425 under the Securities Act (17 CFR 230.425)</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Soliciting material pursuant to Rule 14a-12 under the Exchange Act (17 CFR 240.14a-12)</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Pre-commencement communications pursuant to Rule 14d-2(b) under the Exchange Act (17 CFR 240.14d-2(b))</w:t>
            </w:r>
          </w:p>
        </w:tc>
      </w:tr>
      <w:tr>
        <w:trPr/>
        <w:tc>
          <w:tcPr>
            <w:tcW w:w="305" w:type="dxa"/>
            <w:tcBorders/>
            <w:shd w:fill="auto" w:val="clear"/>
            <w:vAlign w:val="center"/>
          </w:tcPr>
          <w:p>
            <w:pPr>
              <w:pStyle w:val="TableContents"/>
              <w:spacing w:before="0" w:after="283"/>
              <w:rPr/>
            </w:pPr>
            <w:r>
              <w:rPr/>
              <w:t> </w:t>
            </w:r>
          </w:p>
        </w:tc>
        <w:tc>
          <w:tcPr>
            <w:tcW w:w="9900" w:type="dxa"/>
            <w:gridSpan w:val="2"/>
            <w:tcBorders/>
            <w:shd w:fill="auto" w:val="clear"/>
          </w:tcPr>
          <w:p>
            <w:pPr>
              <w:pStyle w:val="TableContents"/>
              <w:spacing w:before="0" w:after="283"/>
              <w:rPr>
                <w:sz w:val="4"/>
                <w:szCs w:val="4"/>
              </w:rPr>
            </w:pPr>
            <w:r>
              <w:rPr>
                <w:sz w:val="4"/>
                <w:szCs w:val="4"/>
              </w:rPr>
            </w:r>
          </w:p>
        </w:tc>
      </w:tr>
      <w:tr>
        <w:trPr/>
        <w:tc>
          <w:tcPr>
            <w:tcW w:w="305"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2.02. RESULTS OF OPERATIONS AND FINANCIAL CONDITION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information set forth under Item 2.02. Results Of Operations And Financial Condition, including the Exhibit attached hereto, shall not be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November 8, 2007, EZCORP, Inc. issued a press release announcing its results of operations and financial condition for the quarter and fiscal year ended September 30, 2007. A copy of the press release is attached hereto as Exhibit 99.1.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9"/>
        <w:gridCol w:w="204"/>
        <w:gridCol w:w="9492"/>
      </w:tblGrid>
      <w:tr>
        <w:trPr/>
        <w:tc>
          <w:tcPr>
            <w:tcW w:w="5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492"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0"/>
              <w:ind w:left="0" w:right="0" w:hanging="0"/>
              <w:rPr/>
            </w:pPr>
            <w:r>
              <w:rPr/>
              <w:t xml:space="preserve">99.1 </w:t>
            </w:r>
          </w:p>
        </w:tc>
        <w:tc>
          <w:tcPr>
            <w:tcW w:w="204" w:type="dxa"/>
            <w:tcBorders/>
            <w:shd w:fill="auto" w:val="clear"/>
            <w:vAlign w:val="bottom"/>
          </w:tcPr>
          <w:p>
            <w:pPr>
              <w:pStyle w:val="TableContents"/>
              <w:spacing w:before="0" w:after="283"/>
              <w:rPr/>
            </w:pPr>
            <w:r>
              <w:rPr/>
              <w:t> </w:t>
            </w:r>
          </w:p>
        </w:tc>
        <w:tc>
          <w:tcPr>
            <w:tcW w:w="9492" w:type="dxa"/>
            <w:tcBorders/>
            <w:shd w:fill="auto" w:val="clear"/>
          </w:tcPr>
          <w:p>
            <w:pPr>
              <w:pStyle w:val="TableContents"/>
              <w:spacing w:before="0" w:after="283"/>
              <w:jc w:val="left"/>
              <w:rPr/>
            </w:pPr>
            <w:r>
              <w:rPr/>
              <w:t>Press release dated November 8, 2007, issued by EZCORP, Inc.</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r>
      <w:r>
        <w:rPr>
          <w:rFonts w:ascii="Times New Roman;Times;serif" w:hAnsi="Times New Roman;Times;serif"/>
          <w:sz w:val="17"/>
        </w:rPr>
        <w:br/>
        <w:t xml:space="preserve">(Registrant) </w:t>
      </w:r>
    </w:p>
    <w:tbl>
      <w:tblPr>
        <w:tblW w:w="5000" w:type="pct"/>
        <w:jc w:val="left"/>
        <w:tblInd w:w="0" w:type="dxa"/>
        <w:tblCellMar>
          <w:top w:w="0" w:type="dxa"/>
          <w:left w:w="0" w:type="dxa"/>
          <w:bottom w:w="0" w:type="dxa"/>
          <w:right w:w="0" w:type="dxa"/>
        </w:tblCellMar>
      </w:tblPr>
      <w:tblGrid>
        <w:gridCol w:w="4564"/>
        <w:gridCol w:w="349"/>
        <w:gridCol w:w="587"/>
        <w:gridCol w:w="3366"/>
        <w:gridCol w:w="1339"/>
      </w:tblGrid>
      <w:tr>
        <w:trPr/>
        <w:tc>
          <w:tcPr>
            <w:tcW w:w="4564" w:type="dxa"/>
            <w:tcBorders/>
            <w:shd w:fill="auto" w:val="clear"/>
            <w:vAlign w:val="center"/>
          </w:tcPr>
          <w:p>
            <w:pPr>
              <w:pStyle w:val="TableContents"/>
              <w:spacing w:before="0" w:after="283"/>
              <w:rPr/>
            </w:pPr>
            <w:r>
              <w:rPr/>
              <w:t> </w:t>
            </w:r>
          </w:p>
        </w:tc>
        <w:tc>
          <w:tcPr>
            <w:tcW w:w="349" w:type="dxa"/>
            <w:tcBorders/>
            <w:shd w:fill="auto" w:val="clear"/>
            <w:vAlign w:val="center"/>
          </w:tcPr>
          <w:p>
            <w:pPr>
              <w:pStyle w:val="TableContents"/>
              <w:spacing w:before="0" w:after="283"/>
              <w:rPr/>
            </w:pPr>
            <w:r>
              <w:rPr/>
              <w:t> </w:t>
            </w:r>
          </w:p>
        </w:tc>
        <w:tc>
          <w:tcPr>
            <w:tcW w:w="587" w:type="dxa"/>
            <w:tcBorders/>
            <w:shd w:fill="auto" w:val="clear"/>
            <w:vAlign w:val="center"/>
          </w:tcPr>
          <w:p>
            <w:pPr>
              <w:pStyle w:val="TableContents"/>
              <w:spacing w:before="0" w:after="283"/>
              <w:rPr/>
            </w:pPr>
            <w:r>
              <w:rPr/>
              <w:t> </w:t>
            </w:r>
          </w:p>
        </w:tc>
        <w:tc>
          <w:tcPr>
            <w:tcW w:w="3366" w:type="dxa"/>
            <w:tcBorders/>
            <w:shd w:fill="auto" w:val="clear"/>
            <w:vAlign w:val="center"/>
          </w:tcPr>
          <w:p>
            <w:pPr>
              <w:pStyle w:val="TableContents"/>
              <w:spacing w:before="0" w:after="283"/>
              <w:rPr/>
            </w:pPr>
            <w:r>
              <w:rPr/>
              <w:t> </w:t>
            </w:r>
          </w:p>
        </w:tc>
        <w:tc>
          <w:tcPr>
            <w:tcW w:w="1339" w:type="dxa"/>
            <w:tcBorders/>
            <w:shd w:fill="auto" w:val="clear"/>
            <w:vAlign w:val="center"/>
          </w:tcPr>
          <w:p>
            <w:pPr>
              <w:pStyle w:val="TableContents"/>
              <w:spacing w:before="0" w:after="283"/>
              <w:rPr/>
            </w:pPr>
            <w:r>
              <w:rPr/>
              <w:t> </w:t>
            </w:r>
          </w:p>
        </w:tc>
      </w:tr>
      <w:tr>
        <w:trPr/>
        <w:tc>
          <w:tcPr>
            <w:tcW w:w="4564" w:type="dxa"/>
            <w:tcBorders/>
            <w:shd w:fill="auto" w:val="clear"/>
          </w:tcPr>
          <w:p>
            <w:pPr>
              <w:pStyle w:val="TableContents"/>
              <w:spacing w:before="0" w:after="283"/>
              <w:jc w:val="left"/>
              <w:rPr/>
            </w:pPr>
            <w:r>
              <w:rPr/>
              <w:t> </w:t>
            </w:r>
          </w:p>
        </w:tc>
        <w:tc>
          <w:tcPr>
            <w:tcW w:w="4302" w:type="dxa"/>
            <w:gridSpan w:val="3"/>
            <w:tcBorders/>
            <w:shd w:fill="auto" w:val="clear"/>
            <w:vAlign w:val="center"/>
          </w:tcPr>
          <w:p>
            <w:pPr>
              <w:pStyle w:val="TableContents"/>
              <w:spacing w:before="0" w:after="283"/>
              <w:jc w:val="left"/>
              <w:rPr/>
            </w:pPr>
            <w:r>
              <w:rPr/>
              <w:t> </w:t>
            </w:r>
          </w:p>
        </w:tc>
        <w:tc>
          <w:tcPr>
            <w:tcW w:w="1339" w:type="dxa"/>
            <w:tcBorders/>
            <w:shd w:fill="auto" w:val="clear"/>
            <w:vAlign w:val="center"/>
          </w:tcPr>
          <w:p>
            <w:pPr>
              <w:pStyle w:val="TableContents"/>
              <w:spacing w:before="0" w:after="283"/>
              <w:rPr/>
            </w:pPr>
            <w:r>
              <w:rPr/>
              <w:t> </w:t>
            </w:r>
          </w:p>
        </w:tc>
      </w:tr>
      <w:tr>
        <w:trPr/>
        <w:tc>
          <w:tcPr>
            <w:tcW w:w="4564" w:type="dxa"/>
            <w:tcBorders/>
            <w:shd w:fill="auto" w:val="clear"/>
            <w:vAlign w:val="center"/>
          </w:tcPr>
          <w:p>
            <w:pPr>
              <w:pStyle w:val="TableContents"/>
              <w:spacing w:before="0" w:after="283"/>
              <w:jc w:val="left"/>
              <w:rPr/>
            </w:pPr>
            <w:r>
              <w:rPr/>
              <w:t>Date: November 8, 2007 </w:t>
            </w:r>
          </w:p>
        </w:tc>
        <w:tc>
          <w:tcPr>
            <w:tcW w:w="349" w:type="dxa"/>
            <w:tcBorders/>
            <w:shd w:fill="auto" w:val="clear"/>
          </w:tcPr>
          <w:p>
            <w:pPr>
              <w:pStyle w:val="TableContents"/>
              <w:spacing w:before="0" w:after="283"/>
              <w:rPr/>
            </w:pPr>
            <w:r>
              <w:rPr/>
              <w:t>By:  </w:t>
            </w:r>
          </w:p>
        </w:tc>
        <w:tc>
          <w:tcPr>
            <w:tcW w:w="3953" w:type="dxa"/>
            <w:gridSpan w:val="2"/>
            <w:tcBorders>
              <w:bottom w:val="single" w:sz="2" w:space="0" w:color="000000"/>
            </w:tcBorders>
            <w:shd w:fill="auto" w:val="clear"/>
            <w:tcMar>
              <w:bottom w:w="28" w:type="dxa"/>
            </w:tcMar>
            <w:vAlign w:val="center"/>
          </w:tcPr>
          <w:p>
            <w:pPr>
              <w:pStyle w:val="TableContents"/>
              <w:spacing w:before="0" w:after="283"/>
              <w:jc w:val="left"/>
              <w:rPr/>
            </w:pPr>
            <w:r>
              <w:rPr>
                <w:i/>
              </w:rPr>
              <w:t>/s/ Daniel N. Tonissen</w:t>
            </w:r>
            <w:r>
              <w:rPr/>
              <w:t xml:space="preserve">  </w:t>
            </w:r>
          </w:p>
        </w:tc>
        <w:tc>
          <w:tcPr>
            <w:tcW w:w="1339" w:type="dxa"/>
            <w:tcBorders/>
            <w:shd w:fill="auto" w:val="clear"/>
            <w:vAlign w:val="center"/>
          </w:tcPr>
          <w:p>
            <w:pPr>
              <w:pStyle w:val="TableContents"/>
              <w:spacing w:before="0" w:after="283"/>
              <w:rPr/>
            </w:pPr>
            <w:r>
              <w:rPr/>
              <w:t> </w:t>
            </w:r>
          </w:p>
        </w:tc>
      </w:tr>
      <w:tr>
        <w:trPr/>
        <w:tc>
          <w:tcPr>
            <w:tcW w:w="4564" w:type="dxa"/>
            <w:tcBorders/>
            <w:shd w:fill="auto" w:val="clear"/>
            <w:vAlign w:val="center"/>
          </w:tcPr>
          <w:p>
            <w:pPr>
              <w:pStyle w:val="TableContents"/>
              <w:spacing w:before="0" w:after="283"/>
              <w:jc w:val="left"/>
              <w:rPr/>
            </w:pPr>
            <w:r>
              <w:rPr/>
              <w:t> </w:t>
            </w:r>
          </w:p>
        </w:tc>
        <w:tc>
          <w:tcPr>
            <w:tcW w:w="349" w:type="dxa"/>
            <w:tcBorders/>
            <w:shd w:fill="auto" w:val="clear"/>
            <w:vAlign w:val="center"/>
          </w:tcPr>
          <w:p>
            <w:pPr>
              <w:pStyle w:val="TableContents"/>
              <w:spacing w:before="0" w:after="283"/>
              <w:rPr/>
            </w:pPr>
            <w:r>
              <w:rPr/>
              <w:t> </w:t>
            </w:r>
          </w:p>
        </w:tc>
        <w:tc>
          <w:tcPr>
            <w:tcW w:w="3953" w:type="dxa"/>
            <w:gridSpan w:val="2"/>
            <w:tcBorders/>
            <w:shd w:fill="auto" w:val="clear"/>
            <w:vAlign w:val="center"/>
          </w:tcPr>
          <w:p>
            <w:pPr>
              <w:pStyle w:val="TableContents"/>
              <w:spacing w:before="0" w:after="283"/>
              <w:jc w:val="left"/>
              <w:rPr/>
            </w:pPr>
            <w:r>
              <w:rPr>
                <w:i/>
              </w:rPr>
              <w:t>(Signature)</w:t>
            </w:r>
            <w:r>
              <w:rPr/>
              <w:t xml:space="preserve">  </w:t>
            </w:r>
          </w:p>
        </w:tc>
        <w:tc>
          <w:tcPr>
            <w:tcW w:w="1339" w:type="dxa"/>
            <w:tcBorders/>
            <w:shd w:fill="auto" w:val="clear"/>
            <w:vAlign w:val="center"/>
          </w:tcPr>
          <w:p>
            <w:pPr>
              <w:pStyle w:val="TableContents"/>
              <w:spacing w:before="0" w:after="283"/>
              <w:rPr/>
            </w:pPr>
            <w:r>
              <w:rPr/>
              <w:t> </w:t>
            </w:r>
          </w:p>
        </w:tc>
      </w:tr>
      <w:tr>
        <w:trPr/>
        <w:tc>
          <w:tcPr>
            <w:tcW w:w="4564" w:type="dxa"/>
            <w:tcBorders/>
            <w:shd w:fill="auto" w:val="clear"/>
            <w:vAlign w:val="center"/>
          </w:tcPr>
          <w:p>
            <w:pPr>
              <w:pStyle w:val="TableContents"/>
              <w:spacing w:before="0" w:after="283"/>
              <w:jc w:val="left"/>
              <w:rPr/>
            </w:pPr>
            <w:r>
              <w:rPr/>
              <w:t> </w:t>
            </w:r>
          </w:p>
        </w:tc>
        <w:tc>
          <w:tcPr>
            <w:tcW w:w="349" w:type="dxa"/>
            <w:tcBorders/>
            <w:shd w:fill="auto" w:val="clear"/>
            <w:vAlign w:val="center"/>
          </w:tcPr>
          <w:p>
            <w:pPr>
              <w:pStyle w:val="TableContents"/>
              <w:spacing w:before="0" w:after="283"/>
              <w:rPr/>
            </w:pPr>
            <w:r>
              <w:rPr/>
              <w:t> </w:t>
            </w:r>
          </w:p>
        </w:tc>
        <w:tc>
          <w:tcPr>
            <w:tcW w:w="3953" w:type="dxa"/>
            <w:gridSpan w:val="2"/>
            <w:tcBorders/>
            <w:shd w:fill="auto" w:val="clear"/>
            <w:vAlign w:val="center"/>
          </w:tcPr>
          <w:p>
            <w:pPr>
              <w:pStyle w:val="TableContents"/>
              <w:spacing w:before="0" w:after="283"/>
              <w:jc w:val="left"/>
              <w:rPr/>
            </w:pPr>
            <w:r>
              <w:rPr/>
              <w:t>Senior Vice President, Chief Financial Officer, and Director </w:t>
            </w:r>
          </w:p>
        </w:tc>
        <w:tc>
          <w:tcPr>
            <w:tcW w:w="133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INDEX</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509"/>
        <w:gridCol w:w="204"/>
        <w:gridCol w:w="9492"/>
      </w:tblGrid>
      <w:tr>
        <w:trPr/>
        <w:tc>
          <w:tcPr>
            <w:tcW w:w="509"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9492" w:type="dxa"/>
            <w:tcBorders/>
            <w:shd w:fill="auto" w:val="clear"/>
            <w:vAlign w:val="bottom"/>
          </w:tcPr>
          <w:p>
            <w:pPr>
              <w:pStyle w:val="TableContents"/>
              <w:spacing w:before="0" w:after="283"/>
              <w:rPr/>
            </w:pPr>
            <w:r>
              <w:rPr/>
              <w:t> </w:t>
            </w:r>
          </w:p>
        </w:tc>
      </w:tr>
      <w:tr>
        <w:trPr/>
        <w:tc>
          <w:tcPr>
            <w:tcW w:w="509" w:type="dxa"/>
            <w:tcBorders/>
            <w:shd w:fill="auto" w:val="clear"/>
          </w:tcPr>
          <w:p>
            <w:pPr>
              <w:pStyle w:val="TableContents"/>
              <w:spacing w:before="0" w:after="0"/>
              <w:ind w:left="0" w:right="0" w:hanging="0"/>
              <w:rPr/>
            </w:pPr>
            <w:r>
              <w:rPr/>
              <w:t xml:space="preserve">99.1 </w:t>
            </w:r>
          </w:p>
        </w:tc>
        <w:tc>
          <w:tcPr>
            <w:tcW w:w="204" w:type="dxa"/>
            <w:tcBorders/>
            <w:shd w:fill="auto" w:val="clear"/>
            <w:vAlign w:val="bottom"/>
          </w:tcPr>
          <w:p>
            <w:pPr>
              <w:pStyle w:val="TableContents"/>
              <w:spacing w:before="0" w:after="283"/>
              <w:rPr/>
            </w:pPr>
            <w:r>
              <w:rPr/>
              <w:t> </w:t>
            </w:r>
          </w:p>
        </w:tc>
        <w:tc>
          <w:tcPr>
            <w:tcW w:w="9492" w:type="dxa"/>
            <w:tcBorders/>
            <w:shd w:fill="auto" w:val="clear"/>
          </w:tcPr>
          <w:p>
            <w:pPr>
              <w:pStyle w:val="TableContents"/>
              <w:spacing w:before="0" w:after="283"/>
              <w:jc w:val="left"/>
              <w:rPr/>
            </w:pPr>
            <w:r>
              <w:rPr/>
              <w:t>Press release dated November 8, 2007, issued by EZCORP, Inc.</w:t>
            </w:r>
          </w:p>
        </w:tc>
      </w:tr>
    </w:tbl>
    <w:p>
      <w:pPr>
        <w:pStyle w:val="TextBody"/>
        <w:jc w:val="center"/>
        <w:rPr/>
      </w:pPr>
      <w:r>
        <w:rPr/>
        <w:t xml:space="preserve">  </w:t>
      </w:r>
      <w:r>
        <w:br w:type="page"/>
      </w:r>
    </w:p>
    <w:p>
      <w:pPr>
        <w:pStyle w:val="Heading5"/>
        <w:jc w:val="left"/>
        <w:rPr/>
      </w:pPr>
      <w:bookmarkStart w:id="2" w:name="d51418exv99w1.htm"/>
      <w:bookmarkStart w:id="3" w:name="ksd51418exv99w1"/>
      <w:bookmarkEnd w:id="2"/>
      <w:bookmarkEnd w:id="3"/>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EXHIBIT 99.1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ANNOUNCES YEAREND RESULTS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b/>
          <w:sz w:val="17"/>
        </w:rPr>
        <w:t xml:space="preserve">AUSTIN, Texas (November 8, 2007) </w:t>
      </w:r>
      <w:r>
        <w:rPr>
          <w:rFonts w:ascii="Times New Roman;Times;serif" w:hAnsi="Times New Roman;Times;serif"/>
          <w:sz w:val="17"/>
        </w:rPr>
        <w:t xml:space="preserve"> EZCORP, Inc. (Nasdaq: EZPW) announced today results for its fourth fiscal quarter and 2007 fiscal year, which ended September 30,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quarter ended September 30, 2007, EZCORPs net income increased 22% to $11,155,000 ($0.26 per share) compared to $9,168,000 ($0.21 per share) for the quarter ended September 30, 2006. Total revenues for the quarter increased 19% to $103,892,000 while operating income improved 28% to $16,727,000.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the twelve months ended September 30, 2007, net income increased 29% to $37,874,000 ($0.88 per share) compared to $29,259,000 ($0.69 per share) for the prior year twelve month period. Total revenues grew 18% to $372,215,000 while operating income increased 29% to $55,537,000.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Commenting on these results, President and Chief Executive Officer, Joe Rotunda, stated, It has been a busy quarter and year for us. In June, we completed the largest acquisition in our history with the acquisition of the 15 Jumping Jack Cash pawnshop locations in Colorado. In August, we entered into an agreement for our most strategic acquisition in our history, the acquisition of the 20 Mister Money pawnshop locations in Mexico. On October 22nd, we closed on that acquisition and we now operate 24 pawnshops in Mexico. During the year we continued the expansion of our EZMONEY locations adding a net 99 stores and expanded into four new states.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Rotunda continued, In our fourth quarter we saw exceptionally strong performance in our pawn business and continued strong performance in our signature loan business. Our pawn net revenues increased almost 14% in the quarter resulting from 3% same store sales growth, 9% same store pawn service charge growth and the addition of net revenues from the Jumping Jack Cash locations. Our signature loan contribution, or fees less bad debt, increased approximately 30% from the prior year quarter. Our bad debt, measured as a percent of fees of 31% was up approximately five percentage points from the prior year quarter but improved roughly seven percentage points from the June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Rotunda concluded, Looking forward, we will maintain our intensity on growing the business, improving profitability and strengthening our balance sheet. For our fiscal 2008 that began on October 1st, we expect to deliver earnings per share of approximately $1.12. For our first fiscal 2008 quarter, we expect to generate earnings per share of approximately $0.28. In fiscal 2008, we plan to open approximately 100 EZMONEY locations and seven to ten Mexico pawnshop locations.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EZCORP is primarily a lender or provider of credit services to individuals who do not have cash resources or access to credit to meet their short-term cash needs. The Company offers non-recourse loans collateralized by tangible personal property, commonly known as pawn loans, in 294 U.S. and four Mexico EZPAWN locations and 20 Mister Money Mexico locations open on November 7, 2007. At these locations, the Company also sells merchandise, primarily collateral forfeited from its pawn lending operations, to consumers looking for good value. In 434 EZMONEY locations and 75 EZPAWN locations open on November 7, 2007, the Company offers short-term non-collateralized loans, often referred to as payday loans, or fee based credit services to customers seeking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announcement contains certain forward-looking statements regarding the Companys expected performance for future periods including, but not limited to, new store expansion, anticipated benefits of acquisitions and investments and expected future earnings. Actual results for these periods may materially differ from these statements. Such forward-looking statements involve risks and uncertainties such as changing market conditions in the overall economy and the industry, consumer demand for the Companys services and merchandise, changes in the regulatory environment, and other factors periodically discussed in the Companys annual, quarterly and other reports filed with the Securities and Exchange Commission.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You are invited to listen to a conference call discussing these results on November 8, 2007 at 3:30pm Central Time. The conference call can be accessed over the Internet or replayed at your convenience at the following address.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http://www.videonewswire.com/event.asp?id=43414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For additional information, contact Dan Tonissen at (512) 314-2289.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Highlights of Consolidated Statements of Operations (Unaudited)</w:t>
      </w:r>
      <w:r>
        <w:rPr>
          <w:rFonts w:ascii="Times New Roman;Times;serif" w:hAnsi="Times New Roman;Times;serif"/>
          <w:sz w:val="17"/>
        </w:rPr>
        <w:br/>
      </w:r>
      <w:r>
        <w:rPr>
          <w:rFonts w:ascii="Times New Roman;Times;serif" w:hAnsi="Times New Roman;Times;serif"/>
          <w:i/>
          <w:sz w:val="17"/>
        </w:rPr>
        <w:t>(in thousands, except per share data)</w:t>
      </w:r>
      <w:r>
        <w:rPr>
          <w:rFonts w:ascii="Times New Roman;Times;serif" w:hAnsi="Times New Roman;Times;serif"/>
          <w:sz w:val="17"/>
        </w:rPr>
        <w:t xml:space="preserve"> </w:t>
      </w:r>
    </w:p>
    <w:p>
      <w:pPr>
        <w:pStyle w:val="TextBody"/>
        <w:spacing w:before="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92"/>
        <w:gridCol w:w="154"/>
        <w:gridCol w:w="4046"/>
        <w:gridCol w:w="154"/>
        <w:gridCol w:w="684"/>
        <w:gridCol w:w="1491"/>
        <w:gridCol w:w="603"/>
        <w:gridCol w:w="204"/>
        <w:gridCol w:w="684"/>
        <w:gridCol w:w="1274"/>
        <w:gridCol w:w="419"/>
      </w:tblGrid>
      <w:tr>
        <w:trPr/>
        <w:tc>
          <w:tcPr>
            <w:tcW w:w="49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1491" w:type="dxa"/>
            <w:tcBorders/>
            <w:shd w:fill="auto" w:val="clear"/>
            <w:vAlign w:val="bottom"/>
          </w:tcPr>
          <w:p>
            <w:pPr>
              <w:pStyle w:val="TableContents"/>
              <w:spacing w:before="0" w:after="283"/>
              <w:rPr/>
            </w:pPr>
            <w:r>
              <w:rPr/>
              <w:t> </w:t>
            </w:r>
          </w:p>
        </w:tc>
        <w:tc>
          <w:tcPr>
            <w:tcW w:w="603"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vAlign w:val="bottom"/>
          </w:tcPr>
          <w:p>
            <w:pPr>
              <w:pStyle w:val="TableContents"/>
              <w:spacing w:before="0" w:after="283"/>
              <w:rPr/>
            </w:pPr>
            <w:r>
              <w:rPr/>
              <w:t> </w:t>
            </w:r>
          </w:p>
        </w:tc>
        <w:tc>
          <w:tcPr>
            <w:tcW w:w="1274"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r>
      <w:tr>
        <w:trPr/>
        <w:tc>
          <w:tcPr>
            <w:tcW w:w="49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5359"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Three Months Ended September 30,</w:t>
            </w:r>
          </w:p>
        </w:tc>
      </w:tr>
      <w:tr>
        <w:trPr/>
        <w:tc>
          <w:tcPr>
            <w:tcW w:w="492"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4046"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before="0" w:after="283"/>
              <w:rPr/>
            </w:pPr>
            <w:r>
              <w:rPr/>
              <w:t> </w:t>
            </w:r>
          </w:p>
        </w:tc>
        <w:tc>
          <w:tcPr>
            <w:tcW w:w="277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204" w:type="dxa"/>
            <w:tcBorders/>
            <w:shd w:fill="auto" w:val="clear"/>
            <w:vAlign w:val="bottom"/>
          </w:tcPr>
          <w:p>
            <w:pPr>
              <w:pStyle w:val="TableContents"/>
              <w:spacing w:before="0" w:after="283"/>
              <w:rPr/>
            </w:pPr>
            <w:r>
              <w:rPr/>
              <w:t> </w:t>
            </w:r>
          </w:p>
        </w:tc>
        <w:tc>
          <w:tcPr>
            <w:tcW w:w="237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492" w:type="dxa"/>
            <w:tcBorders/>
            <w:shd w:fill="auto" w:val="clear"/>
          </w:tcPr>
          <w:p>
            <w:pPr>
              <w:pStyle w:val="TableContents"/>
              <w:spacing w:before="0" w:after="0"/>
              <w:ind w:left="0" w:right="0" w:hanging="0"/>
              <w:rPr/>
            </w:pPr>
            <w:r>
              <w:rPr/>
              <w:t xml:space="preserve">1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Revenues:</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2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Merchandise sales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w:t>
            </w:r>
          </w:p>
        </w:tc>
        <w:tc>
          <w:tcPr>
            <w:tcW w:w="1491" w:type="dxa"/>
            <w:tcBorders/>
            <w:shd w:fill="auto" w:val="clear"/>
          </w:tcPr>
          <w:p>
            <w:pPr>
              <w:pStyle w:val="TableContents"/>
              <w:spacing w:before="0" w:after="283"/>
              <w:jc w:val="right"/>
              <w:rPr/>
            </w:pPr>
            <w:r>
              <w:rPr/>
              <w:t>33,101</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w:t>
            </w:r>
          </w:p>
        </w:tc>
        <w:tc>
          <w:tcPr>
            <w:tcW w:w="1274" w:type="dxa"/>
            <w:tcBorders/>
            <w:shd w:fill="auto" w:val="clear"/>
          </w:tcPr>
          <w:p>
            <w:pPr>
              <w:pStyle w:val="TableContents"/>
              <w:spacing w:before="0" w:after="283"/>
              <w:jc w:val="right"/>
              <w:rPr/>
            </w:pPr>
            <w:r>
              <w:rPr/>
              <w:t>30,022</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3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Jewelry scrapping sales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18,198</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16,804</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4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Pawn service charges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22,055</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18,337</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5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Signature loan fees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30,215</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21,891</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6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Other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323</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301</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top w:val="single" w:sz="2" w:space="0" w:color="000000"/>
            </w:tcBorders>
            <w:shd w:fill="auto" w:val="clear"/>
            <w:tcMar>
              <w:top w:w="28" w:type="dxa"/>
            </w:tcM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7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Total revenues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103,892</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87,355</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8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Cost of goods sold:</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9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Cost of merchandise sales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19,598</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18,044</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10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Cost of jewelry scrapping sales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12,791</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11,133</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top w:val="single" w:sz="2" w:space="0" w:color="000000"/>
            </w:tcBorders>
            <w:shd w:fill="auto" w:val="clear"/>
            <w:tcMar>
              <w:top w:w="28" w:type="dxa"/>
            </w:tcM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11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Total cost of goods sold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32,389</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29,177</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top w:val="single" w:sz="2" w:space="0" w:color="000000"/>
            </w:tcBorders>
            <w:shd w:fill="auto" w:val="clear"/>
            <w:tcMar>
              <w:top w:w="28" w:type="dxa"/>
            </w:tcM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12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Net revenues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71,503</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58,178</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13</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14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Operations expense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34,515</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29,643</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15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Signature loan bad debt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9,422</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5,835</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16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Administrative expense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8,221</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7,402</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17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Depreciation and amortization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2,618</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2,208</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top w:val="single" w:sz="2" w:space="0" w:color="000000"/>
            </w:tcBorders>
            <w:shd w:fill="auto" w:val="clear"/>
            <w:tcMar>
              <w:top w:w="28" w:type="dxa"/>
            </w:tcM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18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Operating income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16,727</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13,090</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19</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20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Interest income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(155</w:t>
            </w:r>
          </w:p>
        </w:tc>
        <w:tc>
          <w:tcPr>
            <w:tcW w:w="603" w:type="dxa"/>
            <w:tcBorders/>
            <w:shd w:fill="auto" w:val="clear"/>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(237</w:t>
            </w:r>
          </w:p>
        </w:tc>
        <w:tc>
          <w:tcPr>
            <w:tcW w:w="419" w:type="dxa"/>
            <w:tcBorders/>
            <w:shd w:fill="auto" w:val="clear"/>
          </w:tcPr>
          <w:p>
            <w:pPr>
              <w:pStyle w:val="TableContents"/>
              <w:spacing w:before="0" w:after="283"/>
              <w:rPr/>
            </w:pPr>
            <w:r>
              <w:rPr/>
              <w:t>)</w:t>
            </w:r>
          </w:p>
        </w:tc>
      </w:tr>
      <w:tr>
        <w:trPr/>
        <w:tc>
          <w:tcPr>
            <w:tcW w:w="492" w:type="dxa"/>
            <w:tcBorders/>
            <w:shd w:fill="auto" w:val="clear"/>
          </w:tcPr>
          <w:p>
            <w:pPr>
              <w:pStyle w:val="TableContents"/>
              <w:spacing w:before="0" w:after="0"/>
              <w:ind w:left="0" w:right="0" w:hanging="0"/>
              <w:rPr/>
            </w:pPr>
            <w:r>
              <w:rPr/>
              <w:t xml:space="preserve">21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Interest expense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67</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45</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22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Equity in net income of unconsolidated affiliate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(760</w:t>
            </w:r>
          </w:p>
        </w:tc>
        <w:tc>
          <w:tcPr>
            <w:tcW w:w="603" w:type="dxa"/>
            <w:tcBorders/>
            <w:shd w:fill="auto" w:val="clear"/>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(688</w:t>
            </w:r>
          </w:p>
        </w:tc>
        <w:tc>
          <w:tcPr>
            <w:tcW w:w="419" w:type="dxa"/>
            <w:tcBorders/>
            <w:shd w:fill="auto" w:val="clear"/>
          </w:tcPr>
          <w:p>
            <w:pPr>
              <w:pStyle w:val="TableContents"/>
              <w:spacing w:before="0" w:after="283"/>
              <w:rPr/>
            </w:pPr>
            <w:r>
              <w:rPr/>
              <w:t>)</w:t>
            </w:r>
          </w:p>
        </w:tc>
      </w:tr>
      <w:tr>
        <w:trPr/>
        <w:tc>
          <w:tcPr>
            <w:tcW w:w="492" w:type="dxa"/>
            <w:tcBorders/>
            <w:shd w:fill="auto" w:val="clear"/>
          </w:tcPr>
          <w:p>
            <w:pPr>
              <w:pStyle w:val="TableContents"/>
              <w:spacing w:before="0" w:after="0"/>
              <w:ind w:left="0" w:right="0" w:hanging="0"/>
              <w:rPr/>
            </w:pPr>
            <w:r>
              <w:rPr/>
              <w:t xml:space="preserve">23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Loss on sale/disposal of assets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59</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55</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top w:val="single" w:sz="2" w:space="0" w:color="000000"/>
            </w:tcBorders>
            <w:shd w:fill="auto" w:val="clear"/>
            <w:tcMar>
              <w:top w:w="28" w:type="dxa"/>
            </w:tcM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24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Income before income taxes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17,516</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13,915</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25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Income tax expense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6,361</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4,747</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top w:val="single" w:sz="2" w:space="0" w:color="000000"/>
            </w:tcBorders>
            <w:shd w:fill="auto" w:val="clear"/>
            <w:tcMar>
              <w:top w:w="28" w:type="dxa"/>
            </w:tcM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26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Net income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w:t>
            </w:r>
          </w:p>
        </w:tc>
        <w:tc>
          <w:tcPr>
            <w:tcW w:w="1491" w:type="dxa"/>
            <w:tcBorders/>
            <w:shd w:fill="auto" w:val="clear"/>
          </w:tcPr>
          <w:p>
            <w:pPr>
              <w:pStyle w:val="TableContents"/>
              <w:spacing w:before="0" w:after="283"/>
              <w:jc w:val="right"/>
              <w:rPr/>
            </w:pPr>
            <w:r>
              <w:rPr/>
              <w:t>11,155</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w:t>
            </w:r>
          </w:p>
        </w:tc>
        <w:tc>
          <w:tcPr>
            <w:tcW w:w="1274" w:type="dxa"/>
            <w:tcBorders/>
            <w:shd w:fill="auto" w:val="clear"/>
          </w:tcPr>
          <w:p>
            <w:pPr>
              <w:pStyle w:val="TableContents"/>
              <w:spacing w:before="0" w:after="283"/>
              <w:jc w:val="right"/>
              <w:rPr/>
            </w:pPr>
            <w:r>
              <w:rPr/>
              <w:t>9,168</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top w:val="double" w:sz="6" w:space="0" w:color="000000"/>
            </w:tcBorders>
            <w:shd w:fill="auto" w:val="clear"/>
            <w:tcMar>
              <w:top w:w="28" w:type="dxa"/>
            </w:tcM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top w:val="double" w:sz="6"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27</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28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Net income per share, diluted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w:t>
            </w:r>
          </w:p>
        </w:tc>
        <w:tc>
          <w:tcPr>
            <w:tcW w:w="1491" w:type="dxa"/>
            <w:tcBorders/>
            <w:shd w:fill="auto" w:val="clear"/>
          </w:tcPr>
          <w:p>
            <w:pPr>
              <w:pStyle w:val="TableContents"/>
              <w:spacing w:before="0" w:after="283"/>
              <w:jc w:val="right"/>
              <w:rPr/>
            </w:pPr>
            <w:r>
              <w:rPr/>
              <w:t>0.26</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w:t>
            </w:r>
          </w:p>
        </w:tc>
        <w:tc>
          <w:tcPr>
            <w:tcW w:w="1274" w:type="dxa"/>
            <w:tcBorders/>
            <w:shd w:fill="auto" w:val="clear"/>
          </w:tcPr>
          <w:p>
            <w:pPr>
              <w:pStyle w:val="TableContents"/>
              <w:spacing w:before="0" w:after="283"/>
              <w:jc w:val="right"/>
              <w:rPr/>
            </w:pPr>
            <w:r>
              <w:rPr/>
              <w:t>0.21</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  </w:t>
            </w:r>
          </w:p>
        </w:tc>
        <w:tc>
          <w:tcPr>
            <w:tcW w:w="154" w:type="dxa"/>
            <w:tcBorders/>
            <w:shd w:fill="auto" w:val="clear"/>
            <w:vAlign w:val="center"/>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top w:val="double" w:sz="6" w:space="0" w:color="000000"/>
            </w:tcBorders>
            <w:shd w:fill="auto" w:val="clear"/>
            <w:tcMar>
              <w:top w:w="28" w:type="dxa"/>
            </w:tcM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center"/>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top w:val="double" w:sz="6"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29</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 </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492" w:type="dxa"/>
            <w:tcBorders/>
            <w:shd w:fill="auto" w:val="clear"/>
          </w:tcPr>
          <w:p>
            <w:pPr>
              <w:pStyle w:val="TableContents"/>
              <w:spacing w:before="0" w:after="0"/>
              <w:ind w:left="0" w:right="0" w:hanging="0"/>
              <w:rPr/>
            </w:pPr>
            <w:r>
              <w:rPr/>
              <w:t xml:space="preserve">30 </w:t>
            </w:r>
          </w:p>
        </w:tc>
        <w:tc>
          <w:tcPr>
            <w:tcW w:w="154" w:type="dxa"/>
            <w:tcBorders/>
            <w:shd w:fill="auto" w:val="clear"/>
            <w:vAlign w:val="bottom"/>
          </w:tcPr>
          <w:p>
            <w:pPr>
              <w:pStyle w:val="TableContents"/>
              <w:spacing w:before="0" w:after="283"/>
              <w:rPr/>
            </w:pPr>
            <w:r>
              <w:rPr/>
              <w:t> </w:t>
            </w:r>
          </w:p>
        </w:tc>
        <w:tc>
          <w:tcPr>
            <w:tcW w:w="4046" w:type="dxa"/>
            <w:tcBorders/>
            <w:shd w:fill="auto" w:val="clear"/>
          </w:tcPr>
          <w:p>
            <w:pPr>
              <w:pStyle w:val="TableContents"/>
              <w:spacing w:before="0" w:after="283"/>
              <w:jc w:val="left"/>
              <w:rPr/>
            </w:pPr>
            <w:r>
              <w:rPr/>
              <w:t xml:space="preserve">Weighted average shares, diluted </w:t>
            </w:r>
          </w:p>
        </w:tc>
        <w:tc>
          <w:tcPr>
            <w:tcW w:w="15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491" w:type="dxa"/>
            <w:tcBorders/>
            <w:shd w:fill="auto" w:val="clear"/>
          </w:tcPr>
          <w:p>
            <w:pPr>
              <w:pStyle w:val="TableContents"/>
              <w:spacing w:before="0" w:after="283"/>
              <w:jc w:val="right"/>
              <w:rPr/>
            </w:pPr>
            <w:r>
              <w:rPr/>
              <w:t>43,215</w:t>
            </w:r>
          </w:p>
        </w:tc>
        <w:tc>
          <w:tcPr>
            <w:tcW w:w="603" w:type="dxa"/>
            <w:tcBorders/>
            <w:shd w:fill="auto" w:val="clear"/>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684" w:type="dxa"/>
            <w:tcBorders/>
            <w:shd w:fill="auto" w:val="clear"/>
          </w:tcPr>
          <w:p>
            <w:pPr>
              <w:pStyle w:val="TableContents"/>
              <w:spacing w:before="0" w:after="283"/>
              <w:jc w:val="right"/>
              <w:rPr/>
            </w:pPr>
            <w:r>
              <w:rPr/>
              <w:t> </w:t>
            </w:r>
          </w:p>
        </w:tc>
        <w:tc>
          <w:tcPr>
            <w:tcW w:w="1274" w:type="dxa"/>
            <w:tcBorders/>
            <w:shd w:fill="auto" w:val="clear"/>
          </w:tcPr>
          <w:p>
            <w:pPr>
              <w:pStyle w:val="TableContents"/>
              <w:spacing w:before="0" w:after="283"/>
              <w:jc w:val="right"/>
              <w:rPr/>
            </w:pPr>
            <w:r>
              <w:rPr/>
              <w:t>42,909</w:t>
            </w:r>
          </w:p>
        </w:tc>
        <w:tc>
          <w:tcPr>
            <w:tcW w:w="419" w:type="dxa"/>
            <w:tcBorders/>
            <w:shd w:fill="auto" w:val="clea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Highlights of Consolidated Statements of Operations (Unaudited)</w:t>
      </w:r>
      <w:r>
        <w:rPr>
          <w:rFonts w:ascii="Times New Roman;Times;serif" w:hAnsi="Times New Roman;Times;serif"/>
          <w:sz w:val="17"/>
        </w:rPr>
        <w:br/>
      </w:r>
      <w:r>
        <w:rPr>
          <w:rFonts w:ascii="Times New Roman;Times;serif" w:hAnsi="Times New Roman;Times;serif"/>
          <w:i/>
          <w:sz w:val="17"/>
        </w:rPr>
        <w:t>(in thousands, except per share data)</w:t>
      </w:r>
      <w:r>
        <w:rPr>
          <w:rFonts w:ascii="Times New Roman;Times;serif" w:hAnsi="Times New Roman;Times;serif"/>
          <w:sz w:val="17"/>
        </w:rPr>
        <w:t xml:space="preserve"> </w:t>
      </w:r>
    </w:p>
    <w:p>
      <w:pPr>
        <w:pStyle w:val="TextBody"/>
        <w:spacing w:before="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537"/>
        <w:gridCol w:w="173"/>
        <w:gridCol w:w="4580"/>
        <w:gridCol w:w="173"/>
        <w:gridCol w:w="697"/>
        <w:gridCol w:w="1049"/>
        <w:gridCol w:w="641"/>
        <w:gridCol w:w="190"/>
        <w:gridCol w:w="697"/>
        <w:gridCol w:w="1049"/>
        <w:gridCol w:w="419"/>
      </w:tblGrid>
      <w:tr>
        <w:trPr/>
        <w:tc>
          <w:tcPr>
            <w:tcW w:w="53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58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64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rPr/>
            </w:pPr>
            <w:r>
              <w:rPr/>
              <w:t> </w:t>
            </w:r>
          </w:p>
        </w:tc>
        <w:tc>
          <w:tcPr>
            <w:tcW w:w="1049" w:type="dxa"/>
            <w:tcBorders/>
            <w:shd w:fill="auto" w:val="clear"/>
            <w:vAlign w:val="bottom"/>
          </w:tcPr>
          <w:p>
            <w:pPr>
              <w:pStyle w:val="TableContents"/>
              <w:spacing w:before="0" w:after="283"/>
              <w:rPr/>
            </w:pPr>
            <w:r>
              <w:rPr/>
              <w:t> </w:t>
            </w:r>
          </w:p>
        </w:tc>
        <w:tc>
          <w:tcPr>
            <w:tcW w:w="419" w:type="dxa"/>
            <w:tcBorders/>
            <w:shd w:fill="auto" w:val="clear"/>
            <w:vAlign w:val="bottom"/>
          </w:tcPr>
          <w:p>
            <w:pPr>
              <w:pStyle w:val="TableContents"/>
              <w:spacing w:before="0" w:after="283"/>
              <w:rPr/>
            </w:pPr>
            <w:r>
              <w:rPr/>
              <w:t> </w:t>
            </w:r>
          </w:p>
        </w:tc>
      </w:tr>
      <w:tr>
        <w:trPr/>
        <w:tc>
          <w:tcPr>
            <w:tcW w:w="53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58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742"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Year Ended September 30,</w:t>
            </w:r>
          </w:p>
        </w:tc>
      </w:tr>
      <w:tr>
        <w:trPr/>
        <w:tc>
          <w:tcPr>
            <w:tcW w:w="537"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458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2387"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90" w:type="dxa"/>
            <w:tcBorders/>
            <w:shd w:fill="auto" w:val="clear"/>
            <w:vAlign w:val="bottom"/>
          </w:tcPr>
          <w:p>
            <w:pPr>
              <w:pStyle w:val="TableContents"/>
              <w:spacing w:before="0" w:after="283"/>
              <w:rPr/>
            </w:pPr>
            <w:r>
              <w:rPr/>
              <w:t> </w:t>
            </w:r>
          </w:p>
        </w:tc>
        <w:tc>
          <w:tcPr>
            <w:tcW w:w="216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537" w:type="dxa"/>
            <w:tcBorders/>
            <w:shd w:fill="auto" w:val="clear"/>
          </w:tcPr>
          <w:p>
            <w:pPr>
              <w:pStyle w:val="TableContents"/>
              <w:spacing w:before="0" w:after="0"/>
              <w:ind w:left="0" w:right="0" w:hanging="0"/>
              <w:rPr/>
            </w:pPr>
            <w:r>
              <w:rPr/>
              <w:t xml:space="preserve">1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Revenues:</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2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Merchandise sales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w:t>
            </w:r>
          </w:p>
        </w:tc>
        <w:tc>
          <w:tcPr>
            <w:tcW w:w="1049" w:type="dxa"/>
            <w:tcBorders/>
            <w:shd w:fill="auto" w:val="clear"/>
          </w:tcPr>
          <w:p>
            <w:pPr>
              <w:pStyle w:val="TableContents"/>
              <w:spacing w:before="0" w:after="283"/>
              <w:jc w:val="right"/>
              <w:rPr/>
            </w:pPr>
            <w:r>
              <w:rPr/>
              <w:t>141,094</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w:t>
            </w:r>
          </w:p>
        </w:tc>
        <w:tc>
          <w:tcPr>
            <w:tcW w:w="1049" w:type="dxa"/>
            <w:tcBorders/>
            <w:shd w:fill="auto" w:val="clear"/>
          </w:tcPr>
          <w:p>
            <w:pPr>
              <w:pStyle w:val="TableContents"/>
              <w:spacing w:before="0" w:after="283"/>
              <w:jc w:val="right"/>
              <w:rPr/>
            </w:pPr>
            <w:r>
              <w:rPr/>
              <w:t>134,326</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3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Jewelry scrapping sales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51,893</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43,098</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4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Pawn service charges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73,551</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65,325</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5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Signature loan fees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104,347</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71,840</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6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Other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1,330</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1,263</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  </w:t>
            </w:r>
          </w:p>
        </w:tc>
        <w:tc>
          <w:tcPr>
            <w:tcW w:w="173" w:type="dxa"/>
            <w:tcBorders/>
            <w:shd w:fill="auto" w:val="clear"/>
            <w:vAlign w:val="center"/>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7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Total revenues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372,215</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315,852</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8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Cost of goods sold:</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9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Cost of merchandise sales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83,501</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78,459</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10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Cost of jewelry scrapping sales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34,506</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28,414</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  </w:t>
            </w:r>
          </w:p>
        </w:tc>
        <w:tc>
          <w:tcPr>
            <w:tcW w:w="173" w:type="dxa"/>
            <w:tcBorders/>
            <w:shd w:fill="auto" w:val="clear"/>
            <w:vAlign w:val="center"/>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11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Total cost of goods sold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118,007</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106,873</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  </w:t>
            </w:r>
          </w:p>
        </w:tc>
        <w:tc>
          <w:tcPr>
            <w:tcW w:w="173" w:type="dxa"/>
            <w:tcBorders/>
            <w:shd w:fill="auto" w:val="clear"/>
            <w:vAlign w:val="center"/>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12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Net revenues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254,208</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208,979</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13</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14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Operations expense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128,602</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111,738</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15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Signature loan bad debt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28,508</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17,897</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16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Administrative expense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31,749</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27,749</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17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Depreciation and amortization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9,812</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8,610</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  </w:t>
            </w:r>
          </w:p>
        </w:tc>
        <w:tc>
          <w:tcPr>
            <w:tcW w:w="173" w:type="dxa"/>
            <w:tcBorders/>
            <w:shd w:fill="auto" w:val="clear"/>
            <w:vAlign w:val="center"/>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18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Operating income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55,537</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42,985</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19</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20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Interest income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(1,654</w:t>
            </w:r>
          </w:p>
        </w:tc>
        <w:tc>
          <w:tcPr>
            <w:tcW w:w="641" w:type="dxa"/>
            <w:tcBorders/>
            <w:shd w:fill="auto" w:val="clear"/>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(520</w:t>
            </w:r>
          </w:p>
        </w:tc>
        <w:tc>
          <w:tcPr>
            <w:tcW w:w="419" w:type="dxa"/>
            <w:tcBorders/>
            <w:shd w:fill="auto" w:val="clear"/>
          </w:tcPr>
          <w:p>
            <w:pPr>
              <w:pStyle w:val="TableContents"/>
              <w:spacing w:before="0" w:after="283"/>
              <w:rPr/>
            </w:pPr>
            <w:r>
              <w:rPr/>
              <w:t>)</w:t>
            </w:r>
          </w:p>
        </w:tc>
      </w:tr>
      <w:tr>
        <w:trPr/>
        <w:tc>
          <w:tcPr>
            <w:tcW w:w="537" w:type="dxa"/>
            <w:tcBorders/>
            <w:shd w:fill="auto" w:val="clear"/>
          </w:tcPr>
          <w:p>
            <w:pPr>
              <w:pStyle w:val="TableContents"/>
              <w:spacing w:before="0" w:after="0"/>
              <w:ind w:left="0" w:right="0" w:hanging="0"/>
              <w:rPr/>
            </w:pPr>
            <w:r>
              <w:rPr/>
              <w:t xml:space="preserve">21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Interest expense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281</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441</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22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Equity in net income of unconsolidated affiliate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(2,945</w:t>
            </w:r>
          </w:p>
        </w:tc>
        <w:tc>
          <w:tcPr>
            <w:tcW w:w="641" w:type="dxa"/>
            <w:tcBorders/>
            <w:shd w:fill="auto" w:val="clear"/>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(2,433</w:t>
            </w:r>
          </w:p>
        </w:tc>
        <w:tc>
          <w:tcPr>
            <w:tcW w:w="419" w:type="dxa"/>
            <w:tcBorders/>
            <w:shd w:fill="auto" w:val="clear"/>
          </w:tcPr>
          <w:p>
            <w:pPr>
              <w:pStyle w:val="TableContents"/>
              <w:spacing w:before="0" w:after="283"/>
              <w:rPr/>
            </w:pPr>
            <w:r>
              <w:rPr/>
              <w:t>)</w:t>
            </w:r>
          </w:p>
        </w:tc>
      </w:tr>
      <w:tr>
        <w:trPr/>
        <w:tc>
          <w:tcPr>
            <w:tcW w:w="537" w:type="dxa"/>
            <w:tcBorders/>
            <w:shd w:fill="auto" w:val="clear"/>
          </w:tcPr>
          <w:p>
            <w:pPr>
              <w:pStyle w:val="TableContents"/>
              <w:spacing w:before="0" w:after="0"/>
              <w:ind w:left="0" w:right="0" w:hanging="0"/>
              <w:rPr/>
            </w:pPr>
            <w:r>
              <w:rPr/>
              <w:t xml:space="preserve">23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Gain on sale/disposal of assets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(72</w:t>
            </w:r>
          </w:p>
        </w:tc>
        <w:tc>
          <w:tcPr>
            <w:tcW w:w="641" w:type="dxa"/>
            <w:tcBorders/>
            <w:shd w:fill="auto" w:val="clear"/>
          </w:tcPr>
          <w:p>
            <w:pPr>
              <w:pStyle w:val="TableContents"/>
              <w:spacing w:before="0" w:after="283"/>
              <w:rPr/>
            </w:pPr>
            <w:r>
              <w:rPr/>
              <w:t>)</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(7</w:t>
            </w:r>
          </w:p>
        </w:tc>
        <w:tc>
          <w:tcPr>
            <w:tcW w:w="419" w:type="dxa"/>
            <w:tcBorders/>
            <w:shd w:fill="auto" w:val="clear"/>
          </w:tcPr>
          <w:p>
            <w:pPr>
              <w:pStyle w:val="TableContents"/>
              <w:spacing w:before="0" w:after="283"/>
              <w:rPr/>
            </w:pPr>
            <w:r>
              <w:rPr/>
              <w:t>)</w:t>
            </w:r>
          </w:p>
        </w:tc>
      </w:tr>
      <w:tr>
        <w:trPr/>
        <w:tc>
          <w:tcPr>
            <w:tcW w:w="537" w:type="dxa"/>
            <w:tcBorders/>
            <w:shd w:fill="auto" w:val="clear"/>
          </w:tcPr>
          <w:p>
            <w:pPr>
              <w:pStyle w:val="TableContents"/>
              <w:spacing w:before="0" w:after="0"/>
              <w:ind w:left="0" w:right="0" w:hanging="0"/>
              <w:rPr/>
            </w:pPr>
            <w:r>
              <w:rPr/>
              <w:t xml:space="preserve">  </w:t>
            </w:r>
          </w:p>
        </w:tc>
        <w:tc>
          <w:tcPr>
            <w:tcW w:w="173" w:type="dxa"/>
            <w:tcBorders/>
            <w:shd w:fill="auto" w:val="clear"/>
            <w:vAlign w:val="center"/>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24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Income before income taxes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59,927</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45,504</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25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Income tax expense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22,053</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16,245</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  </w:t>
            </w:r>
          </w:p>
        </w:tc>
        <w:tc>
          <w:tcPr>
            <w:tcW w:w="173" w:type="dxa"/>
            <w:tcBorders/>
            <w:shd w:fill="auto" w:val="clear"/>
            <w:vAlign w:val="center"/>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single" w:sz="2"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26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Net income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w:t>
            </w:r>
          </w:p>
        </w:tc>
        <w:tc>
          <w:tcPr>
            <w:tcW w:w="1049" w:type="dxa"/>
            <w:tcBorders/>
            <w:shd w:fill="auto" w:val="clear"/>
          </w:tcPr>
          <w:p>
            <w:pPr>
              <w:pStyle w:val="TableContents"/>
              <w:spacing w:before="0" w:after="283"/>
              <w:jc w:val="right"/>
              <w:rPr/>
            </w:pPr>
            <w:r>
              <w:rPr/>
              <w:t>37,874</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w:t>
            </w:r>
          </w:p>
        </w:tc>
        <w:tc>
          <w:tcPr>
            <w:tcW w:w="1049" w:type="dxa"/>
            <w:tcBorders/>
            <w:shd w:fill="auto" w:val="clear"/>
          </w:tcPr>
          <w:p>
            <w:pPr>
              <w:pStyle w:val="TableContents"/>
              <w:spacing w:before="0" w:after="283"/>
              <w:jc w:val="right"/>
              <w:rPr/>
            </w:pPr>
            <w:r>
              <w:rPr/>
              <w:t>29,259</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  </w:t>
            </w:r>
          </w:p>
        </w:tc>
        <w:tc>
          <w:tcPr>
            <w:tcW w:w="173" w:type="dxa"/>
            <w:tcBorders/>
            <w:shd w:fill="auto" w:val="clear"/>
            <w:vAlign w:val="center"/>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double" w:sz="6" w:space="0" w:color="000000"/>
            </w:tcBorders>
            <w:shd w:fill="auto" w:val="clear"/>
            <w:tcMar>
              <w:top w:w="28" w:type="dxa"/>
            </w:tcM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double" w:sz="6"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27</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28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Net income per share, diluted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w:t>
            </w:r>
          </w:p>
        </w:tc>
        <w:tc>
          <w:tcPr>
            <w:tcW w:w="1049" w:type="dxa"/>
            <w:tcBorders/>
            <w:shd w:fill="auto" w:val="clear"/>
          </w:tcPr>
          <w:p>
            <w:pPr>
              <w:pStyle w:val="TableContents"/>
              <w:spacing w:before="0" w:after="283"/>
              <w:jc w:val="right"/>
              <w:rPr/>
            </w:pPr>
            <w:r>
              <w:rPr/>
              <w:t>0.88</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w:t>
            </w:r>
          </w:p>
        </w:tc>
        <w:tc>
          <w:tcPr>
            <w:tcW w:w="1049" w:type="dxa"/>
            <w:tcBorders/>
            <w:shd w:fill="auto" w:val="clear"/>
          </w:tcPr>
          <w:p>
            <w:pPr>
              <w:pStyle w:val="TableContents"/>
              <w:spacing w:before="0" w:after="283"/>
              <w:jc w:val="right"/>
              <w:rPr/>
            </w:pPr>
            <w:r>
              <w:rPr/>
              <w:t>0.69</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  </w:t>
            </w:r>
          </w:p>
        </w:tc>
        <w:tc>
          <w:tcPr>
            <w:tcW w:w="173" w:type="dxa"/>
            <w:tcBorders/>
            <w:shd w:fill="auto" w:val="clear"/>
            <w:vAlign w:val="center"/>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double" w:sz="6" w:space="0" w:color="000000"/>
            </w:tcBorders>
            <w:shd w:fill="auto" w:val="clear"/>
            <w:tcMar>
              <w:top w:w="28" w:type="dxa"/>
            </w:tcM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center"/>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top w:val="double" w:sz="6" w:space="0" w:color="000000"/>
            </w:tcBorders>
            <w:shd w:fill="auto" w:val="clear"/>
            <w:tcMar>
              <w:top w:w="28" w:type="dxa"/>
            </w:tcM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29</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 </w:t>
            </w:r>
          </w:p>
        </w:tc>
        <w:tc>
          <w:tcPr>
            <w:tcW w:w="419" w:type="dxa"/>
            <w:tcBorders/>
            <w:shd w:fill="auto" w:val="clear"/>
          </w:tcPr>
          <w:p>
            <w:pPr>
              <w:pStyle w:val="TableContents"/>
              <w:spacing w:before="0" w:after="283"/>
              <w:rPr/>
            </w:pPr>
            <w:r>
              <w:rPr/>
              <w:t> </w:t>
            </w:r>
          </w:p>
        </w:tc>
      </w:tr>
      <w:tr>
        <w:trPr/>
        <w:tc>
          <w:tcPr>
            <w:tcW w:w="537" w:type="dxa"/>
            <w:tcBorders/>
            <w:shd w:fill="auto" w:val="clear"/>
          </w:tcPr>
          <w:p>
            <w:pPr>
              <w:pStyle w:val="TableContents"/>
              <w:spacing w:before="0" w:after="0"/>
              <w:ind w:left="0" w:right="0" w:hanging="0"/>
              <w:rPr/>
            </w:pPr>
            <w:r>
              <w:rPr/>
              <w:t xml:space="preserve">30 </w:t>
            </w:r>
          </w:p>
        </w:tc>
        <w:tc>
          <w:tcPr>
            <w:tcW w:w="173" w:type="dxa"/>
            <w:tcBorders/>
            <w:shd w:fill="auto" w:val="clear"/>
            <w:vAlign w:val="bottom"/>
          </w:tcPr>
          <w:p>
            <w:pPr>
              <w:pStyle w:val="TableContents"/>
              <w:spacing w:before="0" w:after="283"/>
              <w:rPr/>
            </w:pPr>
            <w:r>
              <w:rPr/>
              <w:t> </w:t>
            </w:r>
          </w:p>
        </w:tc>
        <w:tc>
          <w:tcPr>
            <w:tcW w:w="4580" w:type="dxa"/>
            <w:tcBorders/>
            <w:shd w:fill="auto" w:val="clear"/>
          </w:tcPr>
          <w:p>
            <w:pPr>
              <w:pStyle w:val="TableContents"/>
              <w:spacing w:before="0" w:after="283"/>
              <w:jc w:val="left"/>
              <w:rPr/>
            </w:pPr>
            <w:r>
              <w:rPr/>
              <w:t xml:space="preserve">Weighted average shares, diluted </w:t>
            </w:r>
          </w:p>
        </w:tc>
        <w:tc>
          <w:tcPr>
            <w:tcW w:w="173"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43,230</w:t>
            </w:r>
          </w:p>
        </w:tc>
        <w:tc>
          <w:tcPr>
            <w:tcW w:w="641" w:type="dxa"/>
            <w:tcBorders/>
            <w:shd w:fill="auto" w:val="clear"/>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697" w:type="dxa"/>
            <w:tcBorders/>
            <w:shd w:fill="auto" w:val="clear"/>
          </w:tcPr>
          <w:p>
            <w:pPr>
              <w:pStyle w:val="TableContents"/>
              <w:spacing w:before="0" w:after="283"/>
              <w:jc w:val="right"/>
              <w:rPr/>
            </w:pPr>
            <w:r>
              <w:rPr/>
              <w:t> </w:t>
            </w:r>
          </w:p>
        </w:tc>
        <w:tc>
          <w:tcPr>
            <w:tcW w:w="1049" w:type="dxa"/>
            <w:tcBorders/>
            <w:shd w:fill="auto" w:val="clear"/>
          </w:tcPr>
          <w:p>
            <w:pPr>
              <w:pStyle w:val="TableContents"/>
              <w:spacing w:before="0" w:after="283"/>
              <w:jc w:val="right"/>
              <w:rPr/>
            </w:pPr>
            <w:r>
              <w:rPr/>
              <w:t>42,264</w:t>
            </w:r>
          </w:p>
        </w:tc>
        <w:tc>
          <w:tcPr>
            <w:tcW w:w="419" w:type="dxa"/>
            <w:tcBorders/>
            <w:shd w:fill="auto" w:val="clea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Highlights of Consolidated Balance Sheets (Unaudited)</w:t>
      </w:r>
      <w:r>
        <w:rPr>
          <w:rFonts w:ascii="Times New Roman;Times;serif" w:hAnsi="Times New Roman;Times;serif"/>
          <w:sz w:val="17"/>
        </w:rPr>
        <w:br/>
      </w:r>
      <w:r>
        <w:rPr>
          <w:rFonts w:ascii="Times New Roman;Times;serif" w:hAnsi="Times New Roman;Times;serif"/>
          <w:i/>
          <w:sz w:val="17"/>
        </w:rPr>
        <w:t>(in thousands, except per share data and store counts)</w:t>
      </w:r>
      <w:r>
        <w:rPr>
          <w:rFonts w:ascii="Times New Roman;Times;serif" w:hAnsi="Times New Roman;Times;serif"/>
          <w:sz w:val="17"/>
        </w:rPr>
        <w:t xml:space="preserve"> </w:t>
      </w:r>
    </w:p>
    <w:p>
      <w:pPr>
        <w:pStyle w:val="TextBody"/>
        <w:spacing w:before="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570"/>
        <w:gridCol w:w="187"/>
        <w:gridCol w:w="4967"/>
        <w:gridCol w:w="187"/>
        <w:gridCol w:w="723"/>
        <w:gridCol w:w="811"/>
        <w:gridCol w:w="648"/>
        <w:gridCol w:w="187"/>
        <w:gridCol w:w="723"/>
        <w:gridCol w:w="810"/>
        <w:gridCol w:w="392"/>
      </w:tblGrid>
      <w:tr>
        <w:trPr/>
        <w:tc>
          <w:tcPr>
            <w:tcW w:w="57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648"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rPr/>
            </w:pPr>
            <w:r>
              <w:rPr/>
              <w:t> </w:t>
            </w:r>
          </w:p>
        </w:tc>
        <w:tc>
          <w:tcPr>
            <w:tcW w:w="810"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r>
      <w:tr>
        <w:trPr/>
        <w:tc>
          <w:tcPr>
            <w:tcW w:w="57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4294" w:type="dxa"/>
            <w:gridSpan w:val="7"/>
            <w:tcBorders>
              <w:bottom w:val="single" w:sz="2" w:space="0" w:color="000000"/>
            </w:tcBorders>
            <w:shd w:fill="auto" w:val="clear"/>
            <w:tcMar>
              <w:bottom w:w="28" w:type="dxa"/>
            </w:tcMar>
            <w:vAlign w:val="bottom"/>
          </w:tcPr>
          <w:p>
            <w:pPr>
              <w:pStyle w:val="TableContents"/>
              <w:spacing w:before="0" w:after="283"/>
              <w:jc w:val="center"/>
              <w:rPr>
                <w:b/>
              </w:rPr>
            </w:pPr>
            <w:r>
              <w:rPr>
                <w:b/>
              </w:rPr>
              <w:t>As of September 30,</w:t>
            </w:r>
          </w:p>
        </w:tc>
      </w:tr>
      <w:tr>
        <w:trPr/>
        <w:tc>
          <w:tcPr>
            <w:tcW w:w="57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4967"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2182"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2007</w:t>
            </w:r>
          </w:p>
        </w:tc>
        <w:tc>
          <w:tcPr>
            <w:tcW w:w="187" w:type="dxa"/>
            <w:tcBorders/>
            <w:shd w:fill="auto" w:val="clear"/>
            <w:vAlign w:val="bottom"/>
          </w:tcPr>
          <w:p>
            <w:pPr>
              <w:pStyle w:val="TableContents"/>
              <w:spacing w:before="0" w:after="283"/>
              <w:rPr/>
            </w:pPr>
            <w:r>
              <w:rPr/>
              <w:t> </w:t>
            </w:r>
          </w:p>
        </w:tc>
        <w:tc>
          <w:tcPr>
            <w:tcW w:w="1925"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2006</w:t>
            </w:r>
          </w:p>
        </w:tc>
      </w:tr>
      <w:tr>
        <w:trPr/>
        <w:tc>
          <w:tcPr>
            <w:tcW w:w="570" w:type="dxa"/>
            <w:tcBorders/>
            <w:shd w:fill="auto" w:val="clear"/>
          </w:tcPr>
          <w:p>
            <w:pPr>
              <w:pStyle w:val="TableContents"/>
              <w:spacing w:before="0" w:after="0"/>
              <w:ind w:left="0" w:right="0" w:hanging="0"/>
              <w:rPr/>
            </w:pPr>
            <w:r>
              <w:rPr/>
              <w:t xml:space="preserve">1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Assets:</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Current assets:</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3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Cash and cash equivalents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1" w:type="dxa"/>
            <w:tcBorders/>
            <w:shd w:fill="auto" w:val="clear"/>
          </w:tcPr>
          <w:p>
            <w:pPr>
              <w:pStyle w:val="TableContents"/>
              <w:spacing w:before="0" w:after="283"/>
              <w:jc w:val="right"/>
              <w:rPr/>
            </w:pPr>
            <w:r>
              <w:rPr/>
              <w:t>22,533</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0" w:type="dxa"/>
            <w:tcBorders/>
            <w:shd w:fill="auto" w:val="clear"/>
          </w:tcPr>
          <w:p>
            <w:pPr>
              <w:pStyle w:val="TableContents"/>
              <w:spacing w:before="0" w:after="283"/>
              <w:jc w:val="right"/>
              <w:rPr/>
            </w:pPr>
            <w:r>
              <w:rPr/>
              <w:t>29,939</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4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Pawn loans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60,742</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50,304</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5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Payday loans, net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4,814</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2,443</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6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Pawn service charges receivable, net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10,113</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8,234</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7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Signature loan fees receivable, net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5,992</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4,380</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8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Inventory, net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37,942</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35,616</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9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Deferred tax asset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8,964</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7,150</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10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Federal income taxes receivable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35</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11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Prepaid expenses and other assets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6,146</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3,907</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283"/>
              <w:rPr/>
            </w:pPr>
            <w:r>
              <w:rPr/>
              <w:t> </w:t>
            </w:r>
          </w:p>
        </w:tc>
        <w:tc>
          <w:tcPr>
            <w:tcW w:w="4967" w:type="dxa"/>
            <w:tcBorders/>
            <w:shd w:fill="auto" w:val="clear"/>
          </w:tcPr>
          <w:p>
            <w:pPr>
              <w:pStyle w:val="TableContents"/>
              <w:spacing w:before="0" w:after="283"/>
              <w:jc w:val="left"/>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top w:val="single" w:sz="2" w:space="0" w:color="000000"/>
            </w:tcBorders>
            <w:shd w:fill="auto" w:val="clear"/>
            <w:tcMar>
              <w:top w:w="28" w:type="dxa"/>
            </w:tcM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top w:val="single" w:sz="2" w:space="0" w:color="000000"/>
            </w:tcBorders>
            <w:shd w:fill="auto" w:val="clear"/>
            <w:tcMar>
              <w:top w:w="28" w:type="dxa"/>
            </w:tcM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12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Total current assets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157,246</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142,008</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13</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14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Investment in unconsolidated affiliate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35,746</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19,275</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15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Property and equipment, net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33,806</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29,447</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16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Deferred tax asset, non-current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4,765</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3,749</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17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Goodwill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16,211</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768</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18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Other assets, net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3,412</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2,611</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283"/>
              <w:rPr/>
            </w:pPr>
            <w:r>
              <w:rPr/>
              <w:t> </w:t>
            </w:r>
          </w:p>
        </w:tc>
        <w:tc>
          <w:tcPr>
            <w:tcW w:w="4967" w:type="dxa"/>
            <w:tcBorders/>
            <w:shd w:fill="auto" w:val="clear"/>
          </w:tcPr>
          <w:p>
            <w:pPr>
              <w:pStyle w:val="TableContents"/>
              <w:spacing w:before="0" w:after="283"/>
              <w:jc w:val="left"/>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top w:val="single" w:sz="2" w:space="0" w:color="000000"/>
            </w:tcBorders>
            <w:shd w:fill="auto" w:val="clear"/>
            <w:tcMar>
              <w:top w:w="28" w:type="dxa"/>
            </w:tcM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top w:val="single" w:sz="2" w:space="0" w:color="000000"/>
            </w:tcBorders>
            <w:shd w:fill="auto" w:val="clear"/>
            <w:tcMar>
              <w:top w:w="28" w:type="dxa"/>
            </w:tcM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19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Total assets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1" w:type="dxa"/>
            <w:tcBorders/>
            <w:shd w:fill="auto" w:val="clear"/>
          </w:tcPr>
          <w:p>
            <w:pPr>
              <w:pStyle w:val="TableContents"/>
              <w:spacing w:before="0" w:after="283"/>
              <w:jc w:val="right"/>
              <w:rPr/>
            </w:pPr>
            <w:r>
              <w:rPr/>
              <w:t>251,186</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0" w:type="dxa"/>
            <w:tcBorders/>
            <w:shd w:fill="auto" w:val="clear"/>
          </w:tcPr>
          <w:p>
            <w:pPr>
              <w:pStyle w:val="TableContents"/>
              <w:spacing w:before="0" w:after="283"/>
              <w:jc w:val="right"/>
              <w:rPr/>
            </w:pPr>
            <w:r>
              <w:rPr/>
              <w:t>197,858</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283"/>
              <w:rPr/>
            </w:pPr>
            <w:r>
              <w:rPr/>
              <w:t> </w:t>
            </w:r>
          </w:p>
        </w:tc>
        <w:tc>
          <w:tcPr>
            <w:tcW w:w="4967" w:type="dxa"/>
            <w:tcBorders/>
            <w:shd w:fill="auto" w:val="clear"/>
          </w:tcPr>
          <w:p>
            <w:pPr>
              <w:pStyle w:val="TableContents"/>
              <w:spacing w:before="0" w:after="283"/>
              <w:jc w:val="left"/>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top w:val="double" w:sz="6" w:space="0" w:color="000000"/>
            </w:tcBorders>
            <w:shd w:fill="auto" w:val="clear"/>
            <w:tcMar>
              <w:top w:w="28" w:type="dxa"/>
            </w:tcM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top w:val="double" w:sz="6" w:space="0" w:color="000000"/>
            </w:tcBorders>
            <w:shd w:fill="auto" w:val="clear"/>
            <w:tcMar>
              <w:top w:w="28" w:type="dxa"/>
            </w:tcM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20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Liabilities and stockholders equity:</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21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Current liabilities:</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22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Accounts payable and other accrued expenses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1" w:type="dxa"/>
            <w:tcBorders/>
            <w:shd w:fill="auto" w:val="clear"/>
          </w:tcPr>
          <w:p>
            <w:pPr>
              <w:pStyle w:val="TableContents"/>
              <w:spacing w:before="0" w:after="283"/>
              <w:jc w:val="right"/>
              <w:rPr/>
            </w:pPr>
            <w:r>
              <w:rPr/>
              <w:t>25,592</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0" w:type="dxa"/>
            <w:tcBorders/>
            <w:shd w:fill="auto" w:val="clear"/>
          </w:tcPr>
          <w:p>
            <w:pPr>
              <w:pStyle w:val="TableContents"/>
              <w:spacing w:before="0" w:after="283"/>
              <w:jc w:val="right"/>
              <w:rPr/>
            </w:pPr>
            <w:r>
              <w:rPr/>
              <w:t>22,579</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23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Customer layaway deposits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1,988</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1,890</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24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Federal income taxes payable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4,795</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1925" w:type="dxa"/>
            <w:gridSpan w:val="3"/>
            <w:tcBorders/>
            <w:shd w:fill="auto" w:val="clear"/>
          </w:tcPr>
          <w:p>
            <w:pPr>
              <w:pStyle w:val="TableContents"/>
              <w:spacing w:before="0" w:after="283"/>
              <w:jc w:val="center"/>
              <w:rPr/>
            </w:pPr>
            <w:r>
              <w:rPr/>
              <w:t xml:space="preserve"> </w:t>
            </w:r>
          </w:p>
        </w:tc>
      </w:tr>
      <w:tr>
        <w:trPr/>
        <w:tc>
          <w:tcPr>
            <w:tcW w:w="570" w:type="dxa"/>
            <w:tcBorders/>
            <w:shd w:fill="auto" w:val="clea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283"/>
              <w:rPr/>
            </w:pPr>
            <w:r>
              <w:rPr/>
              <w:t> </w:t>
            </w:r>
          </w:p>
        </w:tc>
        <w:tc>
          <w:tcPr>
            <w:tcW w:w="4967" w:type="dxa"/>
            <w:tcBorders/>
            <w:shd w:fill="auto" w:val="clear"/>
          </w:tcPr>
          <w:p>
            <w:pPr>
              <w:pStyle w:val="TableContents"/>
              <w:spacing w:before="0" w:after="283"/>
              <w:jc w:val="left"/>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top w:val="single" w:sz="2" w:space="0" w:color="000000"/>
            </w:tcBorders>
            <w:shd w:fill="auto" w:val="clear"/>
            <w:tcMar>
              <w:top w:w="28" w:type="dxa"/>
            </w:tcM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top w:val="single" w:sz="2" w:space="0" w:color="000000"/>
            </w:tcBorders>
            <w:shd w:fill="auto" w:val="clear"/>
            <w:tcMar>
              <w:top w:w="28" w:type="dxa"/>
            </w:tcM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25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Total current liabilities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32,375</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24,469</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26</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27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Deferred gains and other long-term liabilities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2,886</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3,249</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28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Total stockholders equity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215,925</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170,140</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283"/>
              <w:rPr/>
            </w:pPr>
            <w:r>
              <w:rPr/>
              <w:t> </w:t>
            </w:r>
          </w:p>
        </w:tc>
        <w:tc>
          <w:tcPr>
            <w:tcW w:w="4967" w:type="dxa"/>
            <w:tcBorders/>
            <w:shd w:fill="auto" w:val="clear"/>
          </w:tcPr>
          <w:p>
            <w:pPr>
              <w:pStyle w:val="TableContents"/>
              <w:spacing w:before="0" w:after="283"/>
              <w:jc w:val="left"/>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top w:val="single" w:sz="2" w:space="0" w:color="000000"/>
            </w:tcBorders>
            <w:shd w:fill="auto" w:val="clear"/>
            <w:tcMar>
              <w:top w:w="28" w:type="dxa"/>
            </w:tcM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top w:val="single" w:sz="2" w:space="0" w:color="000000"/>
            </w:tcBorders>
            <w:shd w:fill="auto" w:val="clear"/>
            <w:tcMar>
              <w:top w:w="28" w:type="dxa"/>
            </w:tcM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29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Total liabilities and stockholders equity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1" w:type="dxa"/>
            <w:tcBorders/>
            <w:shd w:fill="auto" w:val="clear"/>
          </w:tcPr>
          <w:p>
            <w:pPr>
              <w:pStyle w:val="TableContents"/>
              <w:spacing w:before="0" w:after="283"/>
              <w:jc w:val="right"/>
              <w:rPr/>
            </w:pPr>
            <w:r>
              <w:rPr/>
              <w:t>251,186</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0" w:type="dxa"/>
            <w:tcBorders/>
            <w:shd w:fill="auto" w:val="clear"/>
          </w:tcPr>
          <w:p>
            <w:pPr>
              <w:pStyle w:val="TableContents"/>
              <w:spacing w:before="0" w:after="283"/>
              <w:jc w:val="right"/>
              <w:rPr/>
            </w:pPr>
            <w:r>
              <w:rPr/>
              <w:t>197,858</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  </w:t>
            </w:r>
          </w:p>
        </w:tc>
        <w:tc>
          <w:tcPr>
            <w:tcW w:w="187" w:type="dxa"/>
            <w:tcBorders/>
            <w:shd w:fill="auto" w:val="clear"/>
            <w:vAlign w:val="center"/>
          </w:tcPr>
          <w:p>
            <w:pPr>
              <w:pStyle w:val="TableContents"/>
              <w:spacing w:before="0" w:after="283"/>
              <w:rPr/>
            </w:pPr>
            <w:r>
              <w:rPr/>
              <w:t> </w:t>
            </w:r>
          </w:p>
        </w:tc>
        <w:tc>
          <w:tcPr>
            <w:tcW w:w="4967" w:type="dxa"/>
            <w:tcBorders/>
            <w:shd w:fill="auto" w:val="clear"/>
          </w:tcPr>
          <w:p>
            <w:pPr>
              <w:pStyle w:val="TableContents"/>
              <w:spacing w:before="0" w:after="283"/>
              <w:jc w:val="left"/>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top w:val="double" w:sz="6" w:space="0" w:color="000000"/>
            </w:tcBorders>
            <w:shd w:fill="auto" w:val="clear"/>
            <w:tcMar>
              <w:top w:w="28" w:type="dxa"/>
            </w:tcM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center"/>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top w:val="double" w:sz="6" w:space="0" w:color="000000"/>
            </w:tcBorders>
            <w:shd w:fill="auto" w:val="clear"/>
            <w:tcMar>
              <w:top w:w="28" w:type="dxa"/>
            </w:tcM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30</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 </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 </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31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Pawn loan balance per ending pawn store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1" w:type="dxa"/>
            <w:tcBorders/>
            <w:shd w:fill="auto" w:val="clear"/>
          </w:tcPr>
          <w:p>
            <w:pPr>
              <w:pStyle w:val="TableContents"/>
              <w:spacing w:before="0" w:after="283"/>
              <w:jc w:val="right"/>
              <w:rPr/>
            </w:pPr>
            <w:r>
              <w:rPr/>
              <w:t>204</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0" w:type="dxa"/>
            <w:tcBorders/>
            <w:shd w:fill="auto" w:val="clear"/>
          </w:tcPr>
          <w:p>
            <w:pPr>
              <w:pStyle w:val="TableContents"/>
              <w:spacing w:before="0" w:after="283"/>
              <w:jc w:val="right"/>
              <w:rPr/>
            </w:pPr>
            <w:r>
              <w:rPr/>
              <w:t>180</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32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Inventory per ending pawn store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1" w:type="dxa"/>
            <w:tcBorders/>
            <w:shd w:fill="auto" w:val="clear"/>
          </w:tcPr>
          <w:p>
            <w:pPr>
              <w:pStyle w:val="TableContents"/>
              <w:spacing w:before="0" w:after="283"/>
              <w:jc w:val="right"/>
              <w:rPr/>
            </w:pPr>
            <w:r>
              <w:rPr/>
              <w:t>127</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0" w:type="dxa"/>
            <w:tcBorders/>
            <w:shd w:fill="auto" w:val="clear"/>
          </w:tcPr>
          <w:p>
            <w:pPr>
              <w:pStyle w:val="TableContents"/>
              <w:spacing w:before="0" w:after="283"/>
              <w:jc w:val="right"/>
              <w:rPr/>
            </w:pPr>
            <w:r>
              <w:rPr/>
              <w:t>127</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33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Book value per share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1" w:type="dxa"/>
            <w:tcBorders/>
            <w:shd w:fill="auto" w:val="clear"/>
          </w:tcPr>
          <w:p>
            <w:pPr>
              <w:pStyle w:val="TableContents"/>
              <w:spacing w:before="0" w:after="283"/>
              <w:jc w:val="right"/>
              <w:rPr/>
            </w:pPr>
            <w:r>
              <w:rPr/>
              <w:t>5.23</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0" w:type="dxa"/>
            <w:tcBorders/>
            <w:shd w:fill="auto" w:val="clear"/>
          </w:tcPr>
          <w:p>
            <w:pPr>
              <w:pStyle w:val="TableContents"/>
              <w:spacing w:before="0" w:after="283"/>
              <w:jc w:val="right"/>
              <w:rPr/>
            </w:pPr>
            <w:r>
              <w:rPr/>
              <w:t>4.20</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34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Tangible book value per share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1" w:type="dxa"/>
            <w:tcBorders/>
            <w:shd w:fill="auto" w:val="clear"/>
          </w:tcPr>
          <w:p>
            <w:pPr>
              <w:pStyle w:val="TableContents"/>
              <w:spacing w:before="0" w:after="283"/>
              <w:jc w:val="right"/>
              <w:rPr/>
            </w:pPr>
            <w:r>
              <w:rPr/>
              <w:t>4.77</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w:t>
            </w:r>
          </w:p>
        </w:tc>
        <w:tc>
          <w:tcPr>
            <w:tcW w:w="810" w:type="dxa"/>
            <w:tcBorders/>
            <w:shd w:fill="auto" w:val="clear"/>
          </w:tcPr>
          <w:p>
            <w:pPr>
              <w:pStyle w:val="TableContents"/>
              <w:spacing w:before="0" w:after="283"/>
              <w:jc w:val="right"/>
              <w:rPr/>
            </w:pPr>
            <w:r>
              <w:rPr/>
              <w:t>4.13</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35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EZPAWN store count  end of period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298</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280</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36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EZMoney signature loan store count  end of period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433</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334</w:t>
            </w:r>
          </w:p>
        </w:tc>
        <w:tc>
          <w:tcPr>
            <w:tcW w:w="392" w:type="dxa"/>
            <w:tcBorders/>
            <w:shd w:fill="auto" w:val="clear"/>
          </w:tcPr>
          <w:p>
            <w:pPr>
              <w:pStyle w:val="TableContents"/>
              <w:spacing w:before="0" w:after="283"/>
              <w:rPr/>
            </w:pPr>
            <w:r>
              <w:rPr/>
              <w:t> </w:t>
            </w:r>
          </w:p>
        </w:tc>
      </w:tr>
      <w:tr>
        <w:trPr/>
        <w:tc>
          <w:tcPr>
            <w:tcW w:w="570" w:type="dxa"/>
            <w:tcBorders/>
            <w:shd w:fill="auto" w:val="clear"/>
          </w:tcPr>
          <w:p>
            <w:pPr>
              <w:pStyle w:val="TableContents"/>
              <w:spacing w:before="0" w:after="0"/>
              <w:ind w:left="0" w:right="0" w:hanging="0"/>
              <w:rPr/>
            </w:pPr>
            <w:r>
              <w:rPr/>
              <w:t xml:space="preserve">37 </w:t>
            </w:r>
          </w:p>
        </w:tc>
        <w:tc>
          <w:tcPr>
            <w:tcW w:w="187" w:type="dxa"/>
            <w:tcBorders/>
            <w:shd w:fill="auto" w:val="clear"/>
            <w:vAlign w:val="bottom"/>
          </w:tcPr>
          <w:p>
            <w:pPr>
              <w:pStyle w:val="TableContents"/>
              <w:spacing w:before="0" w:after="283"/>
              <w:rPr/>
            </w:pPr>
            <w:r>
              <w:rPr/>
              <w:t> </w:t>
            </w:r>
          </w:p>
        </w:tc>
        <w:tc>
          <w:tcPr>
            <w:tcW w:w="4967" w:type="dxa"/>
            <w:tcBorders/>
            <w:shd w:fill="auto" w:val="clear"/>
          </w:tcPr>
          <w:p>
            <w:pPr>
              <w:pStyle w:val="TableContents"/>
              <w:spacing w:before="0" w:after="283"/>
              <w:jc w:val="left"/>
              <w:rPr/>
            </w:pPr>
            <w:r>
              <w:rPr/>
              <w:t xml:space="preserve">Shares outstanding  end of period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1" w:type="dxa"/>
            <w:tcBorders/>
            <w:shd w:fill="auto" w:val="clear"/>
          </w:tcPr>
          <w:p>
            <w:pPr>
              <w:pStyle w:val="TableContents"/>
              <w:spacing w:before="0" w:after="283"/>
              <w:jc w:val="right"/>
              <w:rPr/>
            </w:pPr>
            <w:r>
              <w:rPr/>
              <w:t>41,306</w:t>
            </w:r>
          </w:p>
        </w:tc>
        <w:tc>
          <w:tcPr>
            <w:tcW w:w="648" w:type="dxa"/>
            <w:tcBorders/>
            <w:shd w:fill="auto" w:val="clear"/>
          </w:tcPr>
          <w:p>
            <w:pPr>
              <w:pStyle w:val="TableContents"/>
              <w:spacing w:before="0" w:after="283"/>
              <w:rPr/>
            </w:pPr>
            <w:r>
              <w:rPr/>
              <w:t> </w:t>
            </w:r>
          </w:p>
        </w:tc>
        <w:tc>
          <w:tcPr>
            <w:tcW w:w="187" w:type="dxa"/>
            <w:tcBorders/>
            <w:shd w:fill="auto" w:val="clear"/>
            <w:vAlign w:val="bottom"/>
          </w:tcPr>
          <w:p>
            <w:pPr>
              <w:pStyle w:val="TableContents"/>
              <w:spacing w:before="0" w:after="283"/>
              <w:rPr/>
            </w:pPr>
            <w:r>
              <w:rPr/>
              <w:t> </w:t>
            </w:r>
          </w:p>
        </w:tc>
        <w:tc>
          <w:tcPr>
            <w:tcW w:w="723" w:type="dxa"/>
            <w:tcBorders/>
            <w:shd w:fill="auto" w:val="clear"/>
          </w:tcPr>
          <w:p>
            <w:pPr>
              <w:pStyle w:val="TableContents"/>
              <w:spacing w:before="0" w:after="283"/>
              <w:jc w:val="right"/>
              <w:rPr/>
            </w:pPr>
            <w:r>
              <w:rPr/>
              <w:t> </w:t>
            </w:r>
          </w:p>
        </w:tc>
        <w:tc>
          <w:tcPr>
            <w:tcW w:w="810" w:type="dxa"/>
            <w:tcBorders/>
            <w:shd w:fill="auto" w:val="clear"/>
          </w:tcPr>
          <w:p>
            <w:pPr>
              <w:pStyle w:val="TableContents"/>
              <w:spacing w:before="0" w:after="283"/>
              <w:jc w:val="right"/>
              <w:rPr/>
            </w:pPr>
            <w:r>
              <w:rPr/>
              <w:t>40,485</w:t>
            </w:r>
          </w:p>
        </w:tc>
        <w:tc>
          <w:tcPr>
            <w:tcW w:w="392" w:type="dxa"/>
            <w:tcBorders/>
            <w:shd w:fill="auto" w:val="clea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Operating Segment Results (Unaudited)</w:t>
      </w:r>
      <w:r>
        <w:rPr>
          <w:rFonts w:ascii="Times New Roman;Times;serif" w:hAnsi="Times New Roman;Times;serif"/>
          <w:sz w:val="17"/>
        </w:rPr>
        <w:br/>
      </w:r>
      <w:r>
        <w:rPr>
          <w:rFonts w:ascii="Times New Roman;Times;serif" w:hAnsi="Times New Roman;Times;serif"/>
          <w:i/>
          <w:sz w:val="17"/>
        </w:rPr>
        <w:t>(in thousands, except store counts)</w:t>
      </w:r>
      <w:r>
        <w:rPr>
          <w:rFonts w:ascii="Times New Roman;Times;serif" w:hAnsi="Times New Roman;Times;serif"/>
          <w:sz w:val="17"/>
        </w:rPr>
        <w:t xml:space="preserve"> </w:t>
      </w:r>
    </w:p>
    <w:p>
      <w:pPr>
        <w:pStyle w:val="TextBody"/>
        <w:spacing w:before="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82"/>
        <w:gridCol w:w="151"/>
        <w:gridCol w:w="3522"/>
        <w:gridCol w:w="151"/>
        <w:gridCol w:w="549"/>
        <w:gridCol w:w="894"/>
        <w:gridCol w:w="450"/>
        <w:gridCol w:w="151"/>
        <w:gridCol w:w="522"/>
        <w:gridCol w:w="995"/>
        <w:gridCol w:w="411"/>
        <w:gridCol w:w="151"/>
        <w:gridCol w:w="509"/>
        <w:gridCol w:w="1086"/>
        <w:gridCol w:w="181"/>
      </w:tblGrid>
      <w:tr>
        <w:trPr/>
        <w:tc>
          <w:tcPr>
            <w:tcW w:w="4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rPr/>
            </w:pPr>
            <w:r>
              <w:rPr/>
              <w:t> </w:t>
            </w:r>
          </w:p>
        </w:tc>
        <w:tc>
          <w:tcPr>
            <w:tcW w:w="894" w:type="dxa"/>
            <w:tcBorders/>
            <w:shd w:fill="auto" w:val="clear"/>
            <w:vAlign w:val="bottom"/>
          </w:tcPr>
          <w:p>
            <w:pPr>
              <w:pStyle w:val="TableContents"/>
              <w:spacing w:before="0" w:after="283"/>
              <w:rPr/>
            </w:pPr>
            <w:r>
              <w:rPr/>
              <w:t> </w:t>
            </w:r>
          </w:p>
        </w:tc>
        <w:tc>
          <w:tcPr>
            <w:tcW w:w="45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rPr/>
            </w:pPr>
            <w:r>
              <w:rPr/>
              <w:t> </w:t>
            </w:r>
          </w:p>
        </w:tc>
        <w:tc>
          <w:tcPr>
            <w:tcW w:w="411"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r>
      <w:tr>
        <w:trPr/>
        <w:tc>
          <w:tcPr>
            <w:tcW w:w="4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893" w:type="dxa"/>
            <w:gridSpan w:val="3"/>
            <w:tcBorders/>
            <w:shd w:fill="auto" w:val="clear"/>
            <w:vAlign w:val="bottom"/>
          </w:tcPr>
          <w:p>
            <w:pPr>
              <w:pStyle w:val="TableContents"/>
              <w:spacing w:before="0" w:after="283"/>
              <w:jc w:val="center"/>
              <w:rPr>
                <w:b/>
              </w:rPr>
            </w:pPr>
            <w:r>
              <w:rPr>
                <w:b/>
              </w:rPr>
              <w:t>EZPAWN</w:t>
            </w:r>
          </w:p>
        </w:tc>
        <w:tc>
          <w:tcPr>
            <w:tcW w:w="151" w:type="dxa"/>
            <w:tcBorders/>
            <w:shd w:fill="auto" w:val="clear"/>
            <w:vAlign w:val="bottom"/>
          </w:tcPr>
          <w:p>
            <w:pPr>
              <w:pStyle w:val="TableContents"/>
              <w:spacing w:before="0" w:after="283"/>
              <w:rPr/>
            </w:pPr>
            <w:r>
              <w:rPr/>
              <w:t> </w:t>
            </w:r>
          </w:p>
        </w:tc>
        <w:tc>
          <w:tcPr>
            <w:tcW w:w="1928" w:type="dxa"/>
            <w:gridSpan w:val="3"/>
            <w:tcBorders/>
            <w:shd w:fill="auto" w:val="clear"/>
            <w:vAlign w:val="bottom"/>
          </w:tcPr>
          <w:p>
            <w:pPr>
              <w:pStyle w:val="TableContents"/>
              <w:spacing w:before="0" w:after="283"/>
              <w:jc w:val="center"/>
              <w:rPr>
                <w:b/>
              </w:rPr>
            </w:pPr>
            <w:r>
              <w:rPr>
                <w:b/>
              </w:rPr>
              <w:t>EZMONEY</w:t>
            </w:r>
          </w:p>
        </w:tc>
        <w:tc>
          <w:tcPr>
            <w:tcW w:w="151" w:type="dxa"/>
            <w:tcBorders/>
            <w:shd w:fill="auto" w:val="clear"/>
            <w:vAlign w:val="bottom"/>
          </w:tcPr>
          <w:p>
            <w:pPr>
              <w:pStyle w:val="TableContents"/>
              <w:spacing w:before="0" w:after="283"/>
              <w:rPr/>
            </w:pPr>
            <w:r>
              <w:rPr/>
              <w:t> </w:t>
            </w:r>
          </w:p>
        </w:tc>
        <w:tc>
          <w:tcPr>
            <w:tcW w:w="1776" w:type="dxa"/>
            <w:gridSpan w:val="3"/>
            <w:tcBorders/>
            <w:shd w:fill="auto" w:val="clear"/>
            <w:vAlign w:val="bottom"/>
          </w:tcPr>
          <w:p>
            <w:pPr>
              <w:pStyle w:val="TableContents"/>
              <w:spacing w:before="0" w:after="283"/>
              <w:jc w:val="center"/>
              <w:rPr/>
            </w:pPr>
            <w:r>
              <w:rPr/>
              <w:t> </w:t>
            </w:r>
          </w:p>
        </w:tc>
      </w:tr>
      <w:tr>
        <w:trPr/>
        <w:tc>
          <w:tcPr>
            <w:tcW w:w="4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89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51" w:type="dxa"/>
            <w:tcBorders/>
            <w:shd w:fill="auto" w:val="clear"/>
            <w:vAlign w:val="bottom"/>
          </w:tcPr>
          <w:p>
            <w:pPr>
              <w:pStyle w:val="TableContents"/>
              <w:spacing w:before="0" w:after="283"/>
              <w:rPr/>
            </w:pPr>
            <w:r>
              <w:rPr/>
              <w:t> </w:t>
            </w:r>
          </w:p>
        </w:tc>
        <w:tc>
          <w:tcPr>
            <w:tcW w:w="1928"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51" w:type="dxa"/>
            <w:tcBorders/>
            <w:shd w:fill="auto" w:val="clear"/>
            <w:vAlign w:val="bottom"/>
          </w:tcPr>
          <w:p>
            <w:pPr>
              <w:pStyle w:val="TableContents"/>
              <w:spacing w:before="0" w:after="283"/>
              <w:rPr/>
            </w:pPr>
            <w:r>
              <w:rPr/>
              <w:t> </w:t>
            </w:r>
          </w:p>
        </w:tc>
        <w:tc>
          <w:tcPr>
            <w:tcW w:w="177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b/>
              </w:rPr>
            </w:pPr>
            <w:r>
              <w:rPr>
                <w:b/>
              </w:rPr>
              <w:t>Three months ended September 30, 2007:</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Revenues:</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Sales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w:t>
            </w:r>
          </w:p>
        </w:tc>
        <w:tc>
          <w:tcPr>
            <w:tcW w:w="894" w:type="dxa"/>
            <w:tcBorders/>
            <w:shd w:fill="auto" w:val="clear"/>
          </w:tcPr>
          <w:p>
            <w:pPr>
              <w:pStyle w:val="TableContents"/>
              <w:spacing w:before="0" w:after="283"/>
              <w:jc w:val="right"/>
              <w:rPr/>
            </w:pPr>
            <w:r>
              <w:rPr/>
              <w:t>51,299</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w:t>
            </w:r>
          </w:p>
        </w:tc>
        <w:tc>
          <w:tcPr>
            <w:tcW w:w="1086" w:type="dxa"/>
            <w:tcBorders/>
            <w:shd w:fill="auto" w:val="clear"/>
          </w:tcPr>
          <w:p>
            <w:pPr>
              <w:pStyle w:val="TableContents"/>
              <w:spacing w:before="0" w:after="283"/>
              <w:jc w:val="right"/>
              <w:rPr/>
            </w:pPr>
            <w:r>
              <w:rPr/>
              <w:t>51,299</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Pawn service charges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22,055</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22,055</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4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Signature loan fees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828</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29,387</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30,215</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5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Other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323</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323</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single" w:sz="2"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single" w:sz="2"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single" w:sz="2"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6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Total revenues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74,505</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29,387</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103,892</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7</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8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Cost of goods sold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32,389</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32,389</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single" w:sz="2"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single" w:sz="2"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single" w:sz="2"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9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Net revenues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42,116</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29,387</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71,503</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10</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11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Operating expenses:</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12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Operations expense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22,671</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11,844</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34,515</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13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Signature loan bad debt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347</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9,075</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9,422</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single" w:sz="2"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single" w:sz="2"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single" w:sz="2"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14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Total direct expenses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23,018</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20,919</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43,937</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single" w:sz="2"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single" w:sz="2"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single" w:sz="2"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15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Store operating income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w:t>
            </w:r>
          </w:p>
        </w:tc>
        <w:tc>
          <w:tcPr>
            <w:tcW w:w="894" w:type="dxa"/>
            <w:tcBorders/>
            <w:shd w:fill="auto" w:val="clear"/>
          </w:tcPr>
          <w:p>
            <w:pPr>
              <w:pStyle w:val="TableContents"/>
              <w:spacing w:before="0" w:after="283"/>
              <w:jc w:val="right"/>
              <w:rPr/>
            </w:pPr>
            <w:r>
              <w:rPr/>
              <w:t>19,098</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w:t>
            </w:r>
          </w:p>
        </w:tc>
        <w:tc>
          <w:tcPr>
            <w:tcW w:w="995" w:type="dxa"/>
            <w:tcBorders/>
            <w:shd w:fill="auto" w:val="clear"/>
          </w:tcPr>
          <w:p>
            <w:pPr>
              <w:pStyle w:val="TableContents"/>
              <w:spacing w:before="0" w:after="283"/>
              <w:jc w:val="right"/>
              <w:rPr/>
            </w:pPr>
            <w:r>
              <w:rPr/>
              <w:t>8,468</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w:t>
            </w:r>
          </w:p>
        </w:tc>
        <w:tc>
          <w:tcPr>
            <w:tcW w:w="1086" w:type="dxa"/>
            <w:tcBorders/>
            <w:shd w:fill="auto" w:val="clear"/>
          </w:tcPr>
          <w:p>
            <w:pPr>
              <w:pStyle w:val="TableContents"/>
              <w:spacing w:before="0" w:after="283"/>
              <w:jc w:val="right"/>
              <w:rPr/>
            </w:pPr>
            <w:r>
              <w:rPr/>
              <w:t>27,566</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double" w:sz="6"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double" w:sz="6"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double" w:sz="6"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16</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17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EZPAWN store count  end of period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298</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298</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18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EZMoney signature loan store count  end of period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6</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427</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433</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19</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20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b/>
              </w:rPr>
            </w:pPr>
            <w:r>
              <w:rPr>
                <w:b/>
              </w:rPr>
              <w:t>Three months ended September 30, 2006:</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21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Revenues:</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22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Sales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w:t>
            </w:r>
          </w:p>
        </w:tc>
        <w:tc>
          <w:tcPr>
            <w:tcW w:w="894" w:type="dxa"/>
            <w:tcBorders/>
            <w:shd w:fill="auto" w:val="clear"/>
          </w:tcPr>
          <w:p>
            <w:pPr>
              <w:pStyle w:val="TableContents"/>
              <w:spacing w:before="0" w:after="283"/>
              <w:jc w:val="right"/>
              <w:rPr/>
            </w:pPr>
            <w:r>
              <w:rPr/>
              <w:t>46,826</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w:t>
            </w:r>
          </w:p>
        </w:tc>
        <w:tc>
          <w:tcPr>
            <w:tcW w:w="1086" w:type="dxa"/>
            <w:tcBorders/>
            <w:shd w:fill="auto" w:val="clear"/>
          </w:tcPr>
          <w:p>
            <w:pPr>
              <w:pStyle w:val="TableContents"/>
              <w:spacing w:before="0" w:after="283"/>
              <w:jc w:val="right"/>
              <w:rPr/>
            </w:pPr>
            <w:r>
              <w:rPr/>
              <w:t>46,826</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23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Pawn service charges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18,337</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18,337</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24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Signature loan fees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971</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20,920</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21,891</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25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Other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301</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301</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single" w:sz="2"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single" w:sz="2"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single" w:sz="2"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26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Total revenues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66,435</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20,920</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87,355</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27</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28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Cost of goods sold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29,177</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29,177</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single" w:sz="2"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single" w:sz="2"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29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Net revenues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37,258</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20,920</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58,178</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30</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31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Operating expenses:</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32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Operations expense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21,453</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8,190</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29,643</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33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Signature loan bad debt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387</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5,448</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5,835</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single" w:sz="2"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single" w:sz="2"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single" w:sz="2"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34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Total direct expenses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21,840</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13,638</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35,478</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single" w:sz="2"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single" w:sz="2"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single" w:sz="2"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35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Store operating income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w:t>
            </w:r>
          </w:p>
        </w:tc>
        <w:tc>
          <w:tcPr>
            <w:tcW w:w="894" w:type="dxa"/>
            <w:tcBorders/>
            <w:shd w:fill="auto" w:val="clear"/>
          </w:tcPr>
          <w:p>
            <w:pPr>
              <w:pStyle w:val="TableContents"/>
              <w:spacing w:before="0" w:after="283"/>
              <w:jc w:val="right"/>
              <w:rPr/>
            </w:pPr>
            <w:r>
              <w:rPr/>
              <w:t>15,418</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w:t>
            </w:r>
          </w:p>
        </w:tc>
        <w:tc>
          <w:tcPr>
            <w:tcW w:w="995" w:type="dxa"/>
            <w:tcBorders/>
            <w:shd w:fill="auto" w:val="clear"/>
          </w:tcPr>
          <w:p>
            <w:pPr>
              <w:pStyle w:val="TableContents"/>
              <w:spacing w:before="0" w:after="283"/>
              <w:jc w:val="right"/>
              <w:rPr/>
            </w:pPr>
            <w:r>
              <w:rPr/>
              <w:t>7,282</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w:t>
            </w:r>
          </w:p>
        </w:tc>
        <w:tc>
          <w:tcPr>
            <w:tcW w:w="1086" w:type="dxa"/>
            <w:tcBorders/>
            <w:shd w:fill="auto" w:val="clear"/>
          </w:tcPr>
          <w:p>
            <w:pPr>
              <w:pStyle w:val="TableContents"/>
              <w:spacing w:before="0" w:after="283"/>
              <w:jc w:val="right"/>
              <w:rPr/>
            </w:pPr>
            <w:r>
              <w:rPr/>
              <w:t>22,700</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top w:val="double" w:sz="6" w:space="0" w:color="000000"/>
            </w:tcBorders>
            <w:shd w:fill="auto" w:val="clear"/>
            <w:tcMar>
              <w:top w:w="28" w:type="dxa"/>
            </w:tcM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top w:val="double" w:sz="6" w:space="0" w:color="000000"/>
            </w:tcBorders>
            <w:shd w:fill="auto" w:val="clear"/>
            <w:tcMar>
              <w:top w:w="28" w:type="dxa"/>
            </w:tcM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double" w:sz="6"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36</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 </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 </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37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EZPAWN store count  end of period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280</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280</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38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EZMoney signature loan store count  end of period </w:t>
            </w:r>
          </w:p>
        </w:tc>
        <w:tc>
          <w:tcPr>
            <w:tcW w:w="151" w:type="dxa"/>
            <w:tcBorders/>
            <w:shd w:fill="auto" w:val="clear"/>
            <w:vAlign w:val="bottom"/>
          </w:tcPr>
          <w:p>
            <w:pPr>
              <w:pStyle w:val="TableContents"/>
              <w:spacing w:before="0" w:after="283"/>
              <w:rPr/>
            </w:pPr>
            <w:r>
              <w:rPr/>
              <w:t> </w:t>
            </w:r>
          </w:p>
        </w:tc>
        <w:tc>
          <w:tcPr>
            <w:tcW w:w="549" w:type="dxa"/>
            <w:tcBorders/>
            <w:shd w:fill="auto" w:val="clear"/>
          </w:tcPr>
          <w:p>
            <w:pPr>
              <w:pStyle w:val="TableContents"/>
              <w:spacing w:before="0" w:after="283"/>
              <w:jc w:val="right"/>
              <w:rPr/>
            </w:pPr>
            <w:r>
              <w:rPr/>
              <w:t> </w:t>
            </w:r>
          </w:p>
        </w:tc>
        <w:tc>
          <w:tcPr>
            <w:tcW w:w="894" w:type="dxa"/>
            <w:tcBorders/>
            <w:shd w:fill="auto" w:val="clear"/>
          </w:tcPr>
          <w:p>
            <w:pPr>
              <w:pStyle w:val="TableContents"/>
              <w:spacing w:before="0" w:after="283"/>
              <w:jc w:val="right"/>
              <w:rPr/>
            </w:pPr>
            <w:r>
              <w:rPr/>
              <w:t>6</w:t>
            </w:r>
          </w:p>
        </w:tc>
        <w:tc>
          <w:tcPr>
            <w:tcW w:w="45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2" w:type="dxa"/>
            <w:tcBorders/>
            <w:shd w:fill="auto" w:val="clear"/>
          </w:tcPr>
          <w:p>
            <w:pPr>
              <w:pStyle w:val="TableContents"/>
              <w:spacing w:before="0" w:after="283"/>
              <w:jc w:val="right"/>
              <w:rPr/>
            </w:pPr>
            <w:r>
              <w:rPr/>
              <w:t> </w:t>
            </w:r>
          </w:p>
        </w:tc>
        <w:tc>
          <w:tcPr>
            <w:tcW w:w="995" w:type="dxa"/>
            <w:tcBorders/>
            <w:shd w:fill="auto" w:val="clear"/>
          </w:tcPr>
          <w:p>
            <w:pPr>
              <w:pStyle w:val="TableContents"/>
              <w:spacing w:before="0" w:after="283"/>
              <w:jc w:val="right"/>
              <w:rPr/>
            </w:pPr>
            <w:r>
              <w:rPr/>
              <w:t>328</w:t>
            </w:r>
          </w:p>
        </w:tc>
        <w:tc>
          <w:tcPr>
            <w:tcW w:w="411"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334</w:t>
            </w:r>
          </w:p>
        </w:tc>
        <w:tc>
          <w:tcPr>
            <w:tcW w:w="181" w:type="dxa"/>
            <w:tcBorders/>
            <w:shd w:fill="auto" w:val="clea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EZCORP, Inc.</w:t>
        <w:br/>
        <w:t>Operating Segment Results (Unaudited)</w:t>
      </w:r>
      <w:r>
        <w:rPr>
          <w:rFonts w:ascii="Times New Roman;Times;serif" w:hAnsi="Times New Roman;Times;serif"/>
          <w:sz w:val="17"/>
        </w:rPr>
        <w:br/>
      </w:r>
      <w:r>
        <w:rPr>
          <w:rFonts w:ascii="Times New Roman;Times;serif" w:hAnsi="Times New Roman;Times;serif"/>
          <w:i/>
          <w:sz w:val="17"/>
        </w:rPr>
        <w:t>(in thousands, except store counts)</w:t>
      </w:r>
      <w:r>
        <w:rPr>
          <w:rFonts w:ascii="Times New Roman;Times;serif" w:hAnsi="Times New Roman;Times;serif"/>
          <w:sz w:val="17"/>
        </w:rPr>
        <w:t xml:space="preserve"> </w:t>
      </w:r>
    </w:p>
    <w:p>
      <w:pPr>
        <w:pStyle w:val="TextBody"/>
        <w:spacing w:before="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482"/>
        <w:gridCol w:w="151"/>
        <w:gridCol w:w="3522"/>
        <w:gridCol w:w="151"/>
        <w:gridCol w:w="528"/>
        <w:gridCol w:w="925"/>
        <w:gridCol w:w="440"/>
        <w:gridCol w:w="151"/>
        <w:gridCol w:w="499"/>
        <w:gridCol w:w="1029"/>
        <w:gridCol w:w="401"/>
        <w:gridCol w:w="150"/>
        <w:gridCol w:w="509"/>
        <w:gridCol w:w="1086"/>
        <w:gridCol w:w="181"/>
      </w:tblGrid>
      <w:tr>
        <w:trPr/>
        <w:tc>
          <w:tcPr>
            <w:tcW w:w="4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528" w:type="dxa"/>
            <w:tcBorders/>
            <w:shd w:fill="auto" w:val="clear"/>
            <w:vAlign w:val="bottom"/>
          </w:tcPr>
          <w:p>
            <w:pPr>
              <w:pStyle w:val="TableContents"/>
              <w:spacing w:before="0" w:after="283"/>
              <w:rPr/>
            </w:pPr>
            <w:r>
              <w:rPr/>
              <w:t> </w:t>
            </w:r>
          </w:p>
        </w:tc>
        <w:tc>
          <w:tcPr>
            <w:tcW w:w="925"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vAlign w:val="bottom"/>
          </w:tcPr>
          <w:p>
            <w:pPr>
              <w:pStyle w:val="TableContents"/>
              <w:spacing w:before="0" w:after="283"/>
              <w:rPr/>
            </w:pPr>
            <w:r>
              <w:rPr/>
              <w:t> </w:t>
            </w:r>
          </w:p>
        </w:tc>
        <w:tc>
          <w:tcPr>
            <w:tcW w:w="1029" w:type="dxa"/>
            <w:tcBorders/>
            <w:shd w:fill="auto" w:val="clear"/>
            <w:vAlign w:val="bottom"/>
          </w:tcPr>
          <w:p>
            <w:pPr>
              <w:pStyle w:val="TableContents"/>
              <w:spacing w:before="0" w:after="283"/>
              <w:rPr/>
            </w:pPr>
            <w:r>
              <w:rPr/>
              <w:t> </w:t>
            </w:r>
          </w:p>
        </w:tc>
        <w:tc>
          <w:tcPr>
            <w:tcW w:w="401"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108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r>
      <w:tr>
        <w:trPr/>
        <w:tc>
          <w:tcPr>
            <w:tcW w:w="4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893" w:type="dxa"/>
            <w:gridSpan w:val="3"/>
            <w:tcBorders/>
            <w:shd w:fill="auto" w:val="clear"/>
            <w:vAlign w:val="bottom"/>
          </w:tcPr>
          <w:p>
            <w:pPr>
              <w:pStyle w:val="TableContents"/>
              <w:spacing w:before="0" w:after="283"/>
              <w:jc w:val="center"/>
              <w:rPr>
                <w:b/>
              </w:rPr>
            </w:pPr>
            <w:r>
              <w:rPr>
                <w:b/>
              </w:rPr>
              <w:t>EZPAWN</w:t>
            </w:r>
          </w:p>
        </w:tc>
        <w:tc>
          <w:tcPr>
            <w:tcW w:w="151" w:type="dxa"/>
            <w:tcBorders/>
            <w:shd w:fill="auto" w:val="clear"/>
            <w:vAlign w:val="bottom"/>
          </w:tcPr>
          <w:p>
            <w:pPr>
              <w:pStyle w:val="TableContents"/>
              <w:spacing w:before="0" w:after="283"/>
              <w:rPr/>
            </w:pPr>
            <w:r>
              <w:rPr/>
              <w:t> </w:t>
            </w:r>
          </w:p>
        </w:tc>
        <w:tc>
          <w:tcPr>
            <w:tcW w:w="1929" w:type="dxa"/>
            <w:gridSpan w:val="3"/>
            <w:tcBorders/>
            <w:shd w:fill="auto" w:val="clear"/>
            <w:vAlign w:val="bottom"/>
          </w:tcPr>
          <w:p>
            <w:pPr>
              <w:pStyle w:val="TableContents"/>
              <w:spacing w:before="0" w:after="283"/>
              <w:jc w:val="center"/>
              <w:rPr>
                <w:b/>
              </w:rPr>
            </w:pPr>
            <w:r>
              <w:rPr>
                <w:b/>
              </w:rPr>
              <w:t>EZMONEY</w:t>
            </w:r>
          </w:p>
        </w:tc>
        <w:tc>
          <w:tcPr>
            <w:tcW w:w="150" w:type="dxa"/>
            <w:tcBorders/>
            <w:shd w:fill="auto" w:val="clear"/>
            <w:vAlign w:val="bottom"/>
          </w:tcPr>
          <w:p>
            <w:pPr>
              <w:pStyle w:val="TableContents"/>
              <w:spacing w:before="0" w:after="283"/>
              <w:rPr/>
            </w:pPr>
            <w:r>
              <w:rPr/>
              <w:t> </w:t>
            </w:r>
          </w:p>
        </w:tc>
        <w:tc>
          <w:tcPr>
            <w:tcW w:w="1776" w:type="dxa"/>
            <w:gridSpan w:val="3"/>
            <w:tcBorders/>
            <w:shd w:fill="auto" w:val="clear"/>
            <w:vAlign w:val="bottom"/>
          </w:tcPr>
          <w:p>
            <w:pPr>
              <w:pStyle w:val="TableContents"/>
              <w:spacing w:before="0" w:after="283"/>
              <w:jc w:val="center"/>
              <w:rPr/>
            </w:pPr>
            <w:r>
              <w:rPr/>
              <w:t> </w:t>
            </w:r>
          </w:p>
        </w:tc>
      </w:tr>
      <w:tr>
        <w:trPr/>
        <w:tc>
          <w:tcPr>
            <w:tcW w:w="48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3522"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1893"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51" w:type="dxa"/>
            <w:tcBorders/>
            <w:shd w:fill="auto" w:val="clear"/>
            <w:vAlign w:val="bottom"/>
          </w:tcPr>
          <w:p>
            <w:pPr>
              <w:pStyle w:val="TableContents"/>
              <w:spacing w:before="0" w:after="283"/>
              <w:rPr/>
            </w:pPr>
            <w:r>
              <w:rPr/>
              <w:t> </w:t>
            </w:r>
          </w:p>
        </w:tc>
        <w:tc>
          <w:tcPr>
            <w:tcW w:w="1929"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Operations</w:t>
            </w:r>
          </w:p>
        </w:tc>
        <w:tc>
          <w:tcPr>
            <w:tcW w:w="150" w:type="dxa"/>
            <w:tcBorders/>
            <w:shd w:fill="auto" w:val="clear"/>
            <w:vAlign w:val="bottom"/>
          </w:tcPr>
          <w:p>
            <w:pPr>
              <w:pStyle w:val="TableContents"/>
              <w:spacing w:before="0" w:after="283"/>
              <w:rPr/>
            </w:pPr>
            <w:r>
              <w:rPr/>
              <w:t> </w:t>
            </w:r>
          </w:p>
        </w:tc>
        <w:tc>
          <w:tcPr>
            <w:tcW w:w="1776" w:type="dxa"/>
            <w:gridSpan w:val="3"/>
            <w:tcBorders>
              <w:bottom w:val="single" w:sz="2" w:space="0" w:color="000000"/>
            </w:tcBorders>
            <w:shd w:fill="auto" w:val="clear"/>
            <w:tcMar>
              <w:bottom w:w="28" w:type="dxa"/>
            </w:tcMar>
            <w:vAlign w:val="bottom"/>
          </w:tcPr>
          <w:p>
            <w:pPr>
              <w:pStyle w:val="TableContents"/>
              <w:spacing w:before="0" w:after="283"/>
              <w:jc w:val="center"/>
              <w:rPr>
                <w:b/>
              </w:rPr>
            </w:pPr>
            <w:r>
              <w:rPr>
                <w:b/>
              </w:rPr>
              <w:t>Consolidated</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b/>
              </w:rPr>
            </w:pPr>
            <w:r>
              <w:rPr>
                <w:b/>
              </w:rPr>
              <w:t>Year ended September 30, 2007:</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Revenues:</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Sales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w:t>
            </w:r>
          </w:p>
        </w:tc>
        <w:tc>
          <w:tcPr>
            <w:tcW w:w="925" w:type="dxa"/>
            <w:tcBorders/>
            <w:shd w:fill="auto" w:val="clear"/>
          </w:tcPr>
          <w:p>
            <w:pPr>
              <w:pStyle w:val="TableContents"/>
              <w:spacing w:before="0" w:after="283"/>
              <w:jc w:val="right"/>
              <w:rPr/>
            </w:pPr>
            <w:r>
              <w:rPr/>
              <w:t>192,987</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w:t>
            </w:r>
          </w:p>
        </w:tc>
        <w:tc>
          <w:tcPr>
            <w:tcW w:w="1086" w:type="dxa"/>
            <w:tcBorders/>
            <w:shd w:fill="auto" w:val="clear"/>
          </w:tcPr>
          <w:p>
            <w:pPr>
              <w:pStyle w:val="TableContents"/>
              <w:spacing w:before="0" w:after="283"/>
              <w:jc w:val="right"/>
              <w:rPr/>
            </w:pPr>
            <w:r>
              <w:rPr/>
              <w:t>192,987</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Pawn service charges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73,551</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73,551</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4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Signature loan fees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3,314</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101,033</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104,347</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5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Other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1,330</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1,330</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6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Total revenues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271,182</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101,033</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372,215</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7</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8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Cost of goods sold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118,007</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118,007</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top w:val="single" w:sz="2" w:space="0" w:color="000000"/>
            </w:tcBorders>
            <w:shd w:fill="auto" w:val="clear"/>
            <w:tcMar>
              <w:top w:w="28" w:type="dxa"/>
            </w:tcM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top w:val="single" w:sz="2" w:space="0" w:color="000000"/>
            </w:tcBorders>
            <w:shd w:fill="auto" w:val="clear"/>
            <w:tcMar>
              <w:top w:w="28" w:type="dxa"/>
            </w:tcM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9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Net revenues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153,175</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101,033</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254,208</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10</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11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Operating expenses:</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12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Operations expense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87,555</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41,047</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128,602</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13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Signature loan bad debt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1,390</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27,118</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28,508</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14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Total direct expenses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88,945</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68,165</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157,110</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15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Store operating income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w:t>
            </w:r>
          </w:p>
        </w:tc>
        <w:tc>
          <w:tcPr>
            <w:tcW w:w="925" w:type="dxa"/>
            <w:tcBorders/>
            <w:shd w:fill="auto" w:val="clear"/>
          </w:tcPr>
          <w:p>
            <w:pPr>
              <w:pStyle w:val="TableContents"/>
              <w:spacing w:before="0" w:after="283"/>
              <w:jc w:val="right"/>
              <w:rPr/>
            </w:pPr>
            <w:r>
              <w:rPr/>
              <w:t>64,230</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w:t>
            </w:r>
          </w:p>
        </w:tc>
        <w:tc>
          <w:tcPr>
            <w:tcW w:w="1029" w:type="dxa"/>
            <w:tcBorders/>
            <w:shd w:fill="auto" w:val="clear"/>
          </w:tcPr>
          <w:p>
            <w:pPr>
              <w:pStyle w:val="TableContents"/>
              <w:spacing w:before="0" w:after="283"/>
              <w:jc w:val="right"/>
              <w:rPr/>
            </w:pPr>
            <w:r>
              <w:rPr/>
              <w:t>32,868</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w:t>
            </w:r>
          </w:p>
        </w:tc>
        <w:tc>
          <w:tcPr>
            <w:tcW w:w="1086" w:type="dxa"/>
            <w:tcBorders/>
            <w:shd w:fill="auto" w:val="clear"/>
          </w:tcPr>
          <w:p>
            <w:pPr>
              <w:pStyle w:val="TableContents"/>
              <w:spacing w:before="0" w:after="283"/>
              <w:jc w:val="right"/>
              <w:rPr/>
            </w:pPr>
            <w:r>
              <w:rPr/>
              <w:t>97,098</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top w:val="double" w:sz="6" w:space="0" w:color="000000"/>
            </w:tcBorders>
            <w:shd w:fill="auto" w:val="clear"/>
            <w:tcMar>
              <w:top w:w="28" w:type="dxa"/>
            </w:tcM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top w:val="double" w:sz="6" w:space="0" w:color="000000"/>
            </w:tcBorders>
            <w:shd w:fill="auto" w:val="clear"/>
            <w:tcMar>
              <w:top w:w="28" w:type="dxa"/>
            </w:tcM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double" w:sz="6"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16</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17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EZPAWN store count  end of period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298</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298</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18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EZMoney signature loan store count  end of period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6</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427</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433</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19</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20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b/>
              </w:rPr>
            </w:pPr>
            <w:r>
              <w:rPr>
                <w:b/>
              </w:rPr>
              <w:t>Year ended September 30, 2006:</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21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Revenues:</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22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Sales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w:t>
            </w:r>
          </w:p>
        </w:tc>
        <w:tc>
          <w:tcPr>
            <w:tcW w:w="925" w:type="dxa"/>
            <w:tcBorders/>
            <w:shd w:fill="auto" w:val="clear"/>
          </w:tcPr>
          <w:p>
            <w:pPr>
              <w:pStyle w:val="TableContents"/>
              <w:spacing w:before="0" w:after="283"/>
              <w:jc w:val="right"/>
              <w:rPr/>
            </w:pPr>
            <w:r>
              <w:rPr/>
              <w:t>177,424</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w:t>
            </w:r>
          </w:p>
        </w:tc>
        <w:tc>
          <w:tcPr>
            <w:tcW w:w="1086" w:type="dxa"/>
            <w:tcBorders/>
            <w:shd w:fill="auto" w:val="clear"/>
          </w:tcPr>
          <w:p>
            <w:pPr>
              <w:pStyle w:val="TableContents"/>
              <w:spacing w:before="0" w:after="283"/>
              <w:jc w:val="right"/>
              <w:rPr/>
            </w:pPr>
            <w:r>
              <w:rPr/>
              <w:t>177,424</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23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Pawn service charges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65,325</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65,325</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24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Signature loan fees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3,155</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68,685</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71,840</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25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Other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1,263</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1,263</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26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Total revenues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247,167</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68,685</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315,852</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27</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28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Cost of goods sold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106,873</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106,873</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top w:val="single" w:sz="2" w:space="0" w:color="000000"/>
            </w:tcBorders>
            <w:shd w:fill="auto" w:val="clear"/>
            <w:tcMar>
              <w:top w:w="28" w:type="dxa"/>
            </w:tcM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top w:val="single" w:sz="2" w:space="0" w:color="000000"/>
            </w:tcBorders>
            <w:shd w:fill="auto" w:val="clear"/>
            <w:tcMar>
              <w:top w:w="28" w:type="dxa"/>
            </w:tcM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29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Net revenues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140,294</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68,685</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208,979</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30</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31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Operating expenses:</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32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Operations expense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84,830</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26,908</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111,738</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33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Signature loan bad debt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1,286</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16,611</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17,897</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34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Total direct expenses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86,116</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43,519</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129,635</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35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Store operating income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w:t>
            </w:r>
          </w:p>
        </w:tc>
        <w:tc>
          <w:tcPr>
            <w:tcW w:w="925" w:type="dxa"/>
            <w:tcBorders/>
            <w:shd w:fill="auto" w:val="clear"/>
          </w:tcPr>
          <w:p>
            <w:pPr>
              <w:pStyle w:val="TableContents"/>
              <w:spacing w:before="0" w:after="283"/>
              <w:jc w:val="right"/>
              <w:rPr/>
            </w:pPr>
            <w:r>
              <w:rPr/>
              <w:t>54,178</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w:t>
            </w:r>
          </w:p>
        </w:tc>
        <w:tc>
          <w:tcPr>
            <w:tcW w:w="1029" w:type="dxa"/>
            <w:tcBorders/>
            <w:shd w:fill="auto" w:val="clear"/>
          </w:tcPr>
          <w:p>
            <w:pPr>
              <w:pStyle w:val="TableContents"/>
              <w:spacing w:before="0" w:after="283"/>
              <w:jc w:val="right"/>
              <w:rPr/>
            </w:pPr>
            <w:r>
              <w:rPr/>
              <w:t>25,166</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w:t>
            </w:r>
          </w:p>
        </w:tc>
        <w:tc>
          <w:tcPr>
            <w:tcW w:w="1086" w:type="dxa"/>
            <w:tcBorders/>
            <w:shd w:fill="auto" w:val="clear"/>
          </w:tcPr>
          <w:p>
            <w:pPr>
              <w:pStyle w:val="TableContents"/>
              <w:spacing w:before="0" w:after="283"/>
              <w:jc w:val="right"/>
              <w:rPr/>
            </w:pPr>
            <w:r>
              <w:rPr/>
              <w:t>79,344</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  </w:t>
            </w:r>
          </w:p>
        </w:tc>
        <w:tc>
          <w:tcPr>
            <w:tcW w:w="151" w:type="dxa"/>
            <w:tcBorders/>
            <w:shd w:fill="auto" w:val="clear"/>
            <w:vAlign w:val="center"/>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center"/>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top w:val="double" w:sz="6" w:space="0" w:color="000000"/>
            </w:tcBorders>
            <w:shd w:fill="auto" w:val="clear"/>
            <w:tcMar>
              <w:top w:w="28" w:type="dxa"/>
            </w:tcM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center"/>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top w:val="double" w:sz="6" w:space="0" w:color="000000"/>
            </w:tcBorders>
            <w:shd w:fill="auto" w:val="clear"/>
            <w:tcMar>
              <w:top w:w="28" w:type="dxa"/>
            </w:tcM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top w:val="double" w:sz="6" w:space="0" w:color="000000"/>
            </w:tcBorders>
            <w:shd w:fill="auto" w:val="clear"/>
            <w:tcMar>
              <w:top w:w="28" w:type="dxa"/>
            </w:tcM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36</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 </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 </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 </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37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EZPAWN store count  end of period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280</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280</w:t>
            </w:r>
          </w:p>
        </w:tc>
        <w:tc>
          <w:tcPr>
            <w:tcW w:w="181" w:type="dxa"/>
            <w:tcBorders/>
            <w:shd w:fill="auto" w:val="clear"/>
          </w:tcPr>
          <w:p>
            <w:pPr>
              <w:pStyle w:val="TableContents"/>
              <w:spacing w:before="0" w:after="283"/>
              <w:rPr/>
            </w:pPr>
            <w:r>
              <w:rPr/>
              <w:t> </w:t>
            </w:r>
          </w:p>
        </w:tc>
      </w:tr>
      <w:tr>
        <w:trPr/>
        <w:tc>
          <w:tcPr>
            <w:tcW w:w="482" w:type="dxa"/>
            <w:tcBorders/>
            <w:shd w:fill="auto" w:val="clear"/>
          </w:tcPr>
          <w:p>
            <w:pPr>
              <w:pStyle w:val="TableContents"/>
              <w:spacing w:before="0" w:after="0"/>
              <w:ind w:left="0" w:right="0" w:hanging="0"/>
              <w:rPr/>
            </w:pPr>
            <w:r>
              <w:rPr/>
              <w:t xml:space="preserve">38 </w:t>
            </w:r>
          </w:p>
        </w:tc>
        <w:tc>
          <w:tcPr>
            <w:tcW w:w="151" w:type="dxa"/>
            <w:tcBorders/>
            <w:shd w:fill="auto" w:val="clear"/>
            <w:vAlign w:val="bottom"/>
          </w:tcPr>
          <w:p>
            <w:pPr>
              <w:pStyle w:val="TableContents"/>
              <w:spacing w:before="0" w:after="283"/>
              <w:rPr/>
            </w:pPr>
            <w:r>
              <w:rPr/>
              <w:t> </w:t>
            </w:r>
          </w:p>
        </w:tc>
        <w:tc>
          <w:tcPr>
            <w:tcW w:w="3522" w:type="dxa"/>
            <w:tcBorders/>
            <w:shd w:fill="auto" w:val="clear"/>
          </w:tcPr>
          <w:p>
            <w:pPr>
              <w:pStyle w:val="TableContents"/>
              <w:spacing w:before="0" w:after="283"/>
              <w:jc w:val="left"/>
              <w:rPr/>
            </w:pPr>
            <w:r>
              <w:rPr/>
              <w:t xml:space="preserve">EZMoney signature loan store count  end of period </w:t>
            </w:r>
          </w:p>
        </w:tc>
        <w:tc>
          <w:tcPr>
            <w:tcW w:w="151" w:type="dxa"/>
            <w:tcBorders/>
            <w:shd w:fill="auto" w:val="clear"/>
            <w:vAlign w:val="bottom"/>
          </w:tcPr>
          <w:p>
            <w:pPr>
              <w:pStyle w:val="TableContents"/>
              <w:spacing w:before="0" w:after="283"/>
              <w:rPr/>
            </w:pPr>
            <w:r>
              <w:rPr/>
              <w:t> </w:t>
            </w:r>
          </w:p>
        </w:tc>
        <w:tc>
          <w:tcPr>
            <w:tcW w:w="528" w:type="dxa"/>
            <w:tcBorders/>
            <w:shd w:fill="auto" w:val="clear"/>
          </w:tcPr>
          <w:p>
            <w:pPr>
              <w:pStyle w:val="TableContents"/>
              <w:spacing w:before="0" w:after="283"/>
              <w:jc w:val="right"/>
              <w:rPr/>
            </w:pPr>
            <w:r>
              <w:rPr/>
              <w:t> </w:t>
            </w:r>
          </w:p>
        </w:tc>
        <w:tc>
          <w:tcPr>
            <w:tcW w:w="925" w:type="dxa"/>
            <w:tcBorders/>
            <w:shd w:fill="auto" w:val="clear"/>
          </w:tcPr>
          <w:p>
            <w:pPr>
              <w:pStyle w:val="TableContents"/>
              <w:spacing w:before="0" w:after="283"/>
              <w:jc w:val="right"/>
              <w:rPr/>
            </w:pPr>
            <w:r>
              <w:rPr/>
              <w:t>6</w:t>
            </w:r>
          </w:p>
        </w:tc>
        <w:tc>
          <w:tcPr>
            <w:tcW w:w="440" w:type="dxa"/>
            <w:tcBorders/>
            <w:shd w:fill="auto" w:val="clear"/>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99" w:type="dxa"/>
            <w:tcBorders/>
            <w:shd w:fill="auto" w:val="clear"/>
          </w:tcPr>
          <w:p>
            <w:pPr>
              <w:pStyle w:val="TableContents"/>
              <w:spacing w:before="0" w:after="283"/>
              <w:jc w:val="right"/>
              <w:rPr/>
            </w:pPr>
            <w:r>
              <w:rPr/>
              <w:t> </w:t>
            </w:r>
          </w:p>
        </w:tc>
        <w:tc>
          <w:tcPr>
            <w:tcW w:w="1029" w:type="dxa"/>
            <w:tcBorders/>
            <w:shd w:fill="auto" w:val="clear"/>
          </w:tcPr>
          <w:p>
            <w:pPr>
              <w:pStyle w:val="TableContents"/>
              <w:spacing w:before="0" w:after="283"/>
              <w:jc w:val="right"/>
              <w:rPr/>
            </w:pPr>
            <w:r>
              <w:rPr/>
              <w:t>328</w:t>
            </w:r>
          </w:p>
        </w:tc>
        <w:tc>
          <w:tcPr>
            <w:tcW w:w="401" w:type="dxa"/>
            <w:tcBorders/>
            <w:shd w:fill="auto" w:val="clear"/>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509" w:type="dxa"/>
            <w:tcBorders/>
            <w:shd w:fill="auto" w:val="clear"/>
          </w:tcPr>
          <w:p>
            <w:pPr>
              <w:pStyle w:val="TableContents"/>
              <w:spacing w:before="0" w:after="283"/>
              <w:jc w:val="right"/>
              <w:rPr/>
            </w:pPr>
            <w:r>
              <w:rPr/>
              <w:t> </w:t>
            </w:r>
          </w:p>
        </w:tc>
        <w:tc>
          <w:tcPr>
            <w:tcW w:w="1086" w:type="dxa"/>
            <w:tcBorders/>
            <w:shd w:fill="auto" w:val="clear"/>
          </w:tcPr>
          <w:p>
            <w:pPr>
              <w:pStyle w:val="TableContents"/>
              <w:spacing w:before="0" w:after="283"/>
              <w:jc w:val="right"/>
              <w:rPr/>
            </w:pPr>
            <w:r>
              <w:rPr/>
              <w:t>334</w:t>
            </w:r>
          </w:p>
        </w:tc>
        <w:tc>
          <w:tcPr>
            <w:tcW w:w="181" w:type="dxa"/>
            <w:tcBorders/>
            <w:shd w:fill="auto" w:val="clea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2231</Words>
  <CharactersWithSpaces>15403</CharactersWithSpaces>
  <Paragraphs>2970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