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left"/>
        <w:rPr>
          <w:rFonts w:ascii="inherit" w:hAnsi="inherit"/>
          <w:sz w:val="17"/>
        </w:rPr>
      </w:pPr>
      <w:r>
        <w:rPr>
          <w:rFonts w:ascii="inherit" w:hAnsi="inherit"/>
          <w:sz w:val="17"/>
        </w:rPr>
      </w:r>
      <w:bookmarkStart w:id="0" w:name="s0A6C0DE7A9439C98D4204EC6F4B14BE2"/>
      <w:bookmarkStart w:id="1" w:name="auditorchange11-29x1210x30.htm"/>
      <w:bookmarkStart w:id="2" w:name="ksauditorchange1129x1210x30"/>
      <w:bookmarkStart w:id="3" w:name="s0A6C0DE7A9439C98D4204EC6F4B14BE2"/>
      <w:bookmarkStart w:id="4" w:name="auditorchange11-29x1210x30.htm"/>
      <w:bookmarkStart w:id="5" w:name="ksauditorchange1129x1210x30"/>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 xml:space="preserve">Date of Report (Date of earliest event reported): November 29, 2012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p>
      <w:pPr>
        <w:pStyle w:val="TextBody"/>
        <w:spacing w:lineRule="auto" w:line="240" w:before="0" w:after="0"/>
        <w:jc w:val="center"/>
        <w:rPr>
          <w:rFonts w:ascii="inherit" w:hAnsi="inherit"/>
          <w:sz w:val="17"/>
        </w:rPr>
      </w:pPr>
      <w:r>
        <w:rPr>
          <w:rFonts w:ascii="inherit" w:hAnsi="inherit"/>
          <w:sz w:val="17"/>
        </w:rPr>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jc w:val="left"/>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p>
      <w:pPr>
        <w:pStyle w:val="TextBody"/>
        <w:spacing w:lineRule="auto" w:line="240"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p>
      <w:pPr>
        <w:pStyle w:val="TextBody"/>
        <w:spacing w:lineRule="auto" w:line="240" w:before="0" w:after="0"/>
        <w:jc w:val="center"/>
        <w:rPr>
          <w:rFonts w:ascii="inherit" w:hAnsi="inherit"/>
          <w:sz w:val="17"/>
        </w:rPr>
      </w:pPr>
      <w:r>
        <w:rPr>
          <w:rFonts w:ascii="inherit" w:hAnsi="inherit"/>
          <w:sz w:val="17"/>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bookmarkStart w:id="6" w:name="sE0AC389DEF89E048F8094EC6F6DA526A"/>
      <w:bookmarkStart w:id="7" w:name="sE0AC389DEF89E048F8094EC6F6DA526A"/>
      <w:bookmarkEnd w:id="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4.01 – Changes in Registrant’s Certifying Accountant.</w:t>
      </w:r>
    </w:p>
    <w:tbl>
      <w:tblPr>
        <w:tblW w:w="10205" w:type="dxa"/>
        <w:jc w:val="left"/>
        <w:tblInd w:w="0" w:type="dxa"/>
        <w:tblCellMar>
          <w:top w:w="0" w:type="dxa"/>
          <w:left w:w="0" w:type="dxa"/>
          <w:bottom w:w="0" w:type="dxa"/>
          <w:right w:w="0" w:type="dxa"/>
        </w:tblCellMar>
      </w:tblPr>
      <w:tblGrid>
        <w:gridCol w:w="400"/>
        <w:gridCol w:w="9805"/>
      </w:tblGrid>
      <w:tr>
        <w:trPr/>
        <w:tc>
          <w:tcPr>
            <w:tcW w:w="400" w:type="dxa"/>
            <w:tcBorders/>
            <w:shd w:fill="auto" w:val="clear"/>
            <w:vAlign w:val="center"/>
          </w:tcPr>
          <w:p>
            <w:pPr>
              <w:pStyle w:val="TableContents"/>
              <w:spacing w:before="0" w:after="283"/>
              <w:rPr>
                <w:sz w:val="4"/>
                <w:szCs w:val="4"/>
              </w:rPr>
            </w:pPr>
            <w:r>
              <w:rPr>
                <w:sz w:val="4"/>
                <w:szCs w:val="4"/>
              </w:rPr>
            </w:r>
          </w:p>
        </w:tc>
        <w:tc>
          <w:tcPr>
            <w:tcW w:w="9805"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 (b)</w:t>
            </w:r>
          </w:p>
        </w:tc>
        <w:tc>
          <w:tcPr>
            <w:tcW w:w="98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Audit Committee of the Board of Directors (the “Audit Committee”) of EZCORP, Inc. (the “Company”) has completed a competitive process to review the appointment of the Company’s independent registered public accounting firm for the fiscal year ending September 30, 2013.</w:t>
            </w:r>
          </w:p>
        </w:tc>
      </w:tr>
    </w:tbl>
    <w:p>
      <w:pPr>
        <w:pStyle w:val="TextBody"/>
        <w:spacing w:lineRule="auto" w:line="288" w:before="0" w:after="0"/>
        <w:ind w:left="0" w:right="0" w:firstLine="720"/>
        <w:jc w:val="left"/>
        <w:rPr>
          <w:rFonts w:ascii="inherit" w:hAnsi="inherit"/>
          <w:sz w:val="17"/>
        </w:rPr>
      </w:pPr>
      <w:r>
        <w:rPr>
          <w:rFonts w:ascii="inherit" w:hAnsi="inherit"/>
          <w:sz w:val="17"/>
        </w:rPr>
        <w:t>As a result of this process, the Audit Committee selected Deloitte &amp; Touche LLP (“Deloitte”) as the Company’s independent registered public accounting firm for the fiscal year ending September 30, 2013. On November 29, 2012, the Audit Committee dismissed BDO USA, LLP (“BDO”) from that role, and on December 3, 2012 the Audit Committee formalized its engagement of Deloitte.</w:t>
      </w:r>
    </w:p>
    <w:p>
      <w:pPr>
        <w:pStyle w:val="TextBody"/>
        <w:spacing w:lineRule="auto" w:line="288" w:before="0" w:after="0"/>
        <w:ind w:left="0" w:right="0" w:firstLine="720"/>
        <w:jc w:val="left"/>
        <w:rPr>
          <w:rFonts w:ascii="inherit" w:hAnsi="inherit"/>
          <w:sz w:val="17"/>
        </w:rPr>
      </w:pPr>
      <w:r>
        <w:rPr>
          <w:rFonts w:ascii="inherit" w:hAnsi="inherit"/>
          <w:sz w:val="17"/>
        </w:rPr>
        <w:t xml:space="preserve">BDO’s reports on the Company’s consolidated financial statements as of and for the fiscal years ended September 30, 2012 and September 30, 2011 did not contain an adverse opinion or a disclaimer of opinion and were not qualified or modified as to uncertainty, audit scope or accounting principles. The audit reports of BDO on the effectiveness of the Company’s internal control over financial reporting as of September 30, 2012 and September 30, 2011 did not contain any adverse opinion, nor were they qualified or modified as to uncertainty, audit scope or accounting principles. </w:t>
      </w:r>
    </w:p>
    <w:p>
      <w:pPr>
        <w:pStyle w:val="TextBody"/>
        <w:spacing w:lineRule="auto" w:line="288" w:before="0" w:after="0"/>
        <w:ind w:left="0" w:right="0" w:firstLine="720"/>
        <w:jc w:val="left"/>
        <w:rPr>
          <w:rFonts w:ascii="inherit" w:hAnsi="inherit"/>
          <w:sz w:val="17"/>
        </w:rPr>
      </w:pPr>
      <w:r>
        <w:rPr>
          <w:rFonts w:ascii="inherit" w:hAnsi="inherit"/>
          <w:sz w:val="17"/>
        </w:rPr>
        <w:t>During the fiscal years ended September 30, 2012 and September 30, 2011, and the subsequent interim period through November 29, 2012, there were (i) no “disagreements” (as that term is defined in Item 304(a)(1)(iv) of Regulation S-K) between the Company and BDO on any matter of accounting principles or practices, financial statement disclosure or auditing scope or procedure, which disagreements, if not resolved to the satisfaction of BDO, would have caused BDO to make reference to the subject matter of the disagreement in their reports on the financial statements for such fiscal years, and (ii) no “reportable events” (as that term is defined in Item 304(a)(1)(v) of Regulation S-K).</w:t>
      </w:r>
    </w:p>
    <w:p>
      <w:pPr>
        <w:pStyle w:val="TextBody"/>
        <w:spacing w:lineRule="auto" w:line="288" w:before="0" w:after="0"/>
        <w:ind w:left="0" w:right="0" w:firstLine="720"/>
        <w:jc w:val="left"/>
        <w:rPr>
          <w:rFonts w:ascii="inherit" w:hAnsi="inherit"/>
          <w:sz w:val="17"/>
        </w:rPr>
      </w:pPr>
      <w:r>
        <w:rPr>
          <w:rFonts w:ascii="inherit" w:hAnsi="inherit"/>
          <w:sz w:val="17"/>
        </w:rPr>
        <w:t xml:space="preserve">The Company provided BDO with a copy of the disclosures it is making in this report. The Company requested that BDO furnish a letter, addressed to the Securities and Exchange Commission, stating whether or not it agrees with the statements made herein. A copy of BDO’s letter dated, December 3, 2012, is attached to this report as Exhibit 16.1. </w:t>
      </w:r>
    </w:p>
    <w:p>
      <w:pPr>
        <w:pStyle w:val="TextBody"/>
        <w:spacing w:lineRule="auto" w:line="288" w:before="0" w:after="0"/>
        <w:ind w:left="0" w:right="0" w:firstLine="720"/>
        <w:jc w:val="left"/>
        <w:rPr>
          <w:rFonts w:ascii="inherit" w:hAnsi="inherit"/>
          <w:sz w:val="17"/>
        </w:rPr>
      </w:pPr>
      <w:r>
        <w:rPr>
          <w:rFonts w:ascii="inherit" w:hAnsi="inherit"/>
          <w:sz w:val="17"/>
        </w:rPr>
        <w:t>During the fiscal years ended September 30, 2012 and September 30, 2011, and the subsequent interim period through December 3, 2012, neither the Company nor anyone acting on its behalf has consulted with Deloitte with respect to (i) the application of accounting principles to a specified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or (ii) any matter that was either the subject of a “disagreement” or “reportable event” (as those terms are defined in Item 304(a)(1) of Regulation S-K).</w:t>
      </w:r>
    </w:p>
    <w:p>
      <w:pPr>
        <w:pStyle w:val="TextBody"/>
        <w:spacing w:lineRule="auto" w:line="288" w:before="0" w:after="0"/>
        <w:ind w:left="0" w:right="0" w:hanging="720"/>
        <w:jc w:val="left"/>
        <w:rPr>
          <w:rFonts w:ascii="inherit" w:hAnsi="inherit"/>
          <w:b/>
          <w:sz w:val="17"/>
        </w:rPr>
      </w:pPr>
      <w:r>
        <w:rPr>
          <w:rFonts w:ascii="inherit" w:hAnsi="inherit"/>
          <w:b/>
          <w:sz w:val="17"/>
        </w:rPr>
        <w:t>Item 9.01 – Financial Statements and Exhibits.</w:t>
      </w:r>
    </w:p>
    <w:tbl>
      <w:tblPr>
        <w:tblW w:w="1045" w:type="dxa"/>
        <w:jc w:val="left"/>
        <w:tblInd w:w="0" w:type="dxa"/>
        <w:tblCellMar>
          <w:top w:w="0" w:type="dxa"/>
          <w:left w:w="0" w:type="dxa"/>
          <w:bottom w:w="0" w:type="dxa"/>
          <w:right w:w="0" w:type="dxa"/>
        </w:tblCellMar>
      </w:tblPr>
      <w:tblGrid>
        <w:gridCol w:w="305"/>
        <w:gridCol w:w="740"/>
      </w:tblGrid>
      <w:tr>
        <w:trPr/>
        <w:tc>
          <w:tcPr>
            <w:tcW w:w="30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 xml:space="preserve">(d) </w:t>
            </w:r>
          </w:p>
        </w:tc>
        <w:tc>
          <w:tcPr>
            <w:tcW w:w="7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Exhibits.</w:t>
            </w:r>
          </w:p>
        </w:tc>
      </w:tr>
    </w:tbl>
    <w:tbl>
      <w:tblPr>
        <w:tblW w:w="5185" w:type="dxa"/>
        <w:jc w:val="left"/>
        <w:tblInd w:w="0" w:type="dxa"/>
        <w:tblCellMar>
          <w:top w:w="0" w:type="dxa"/>
          <w:left w:w="0" w:type="dxa"/>
          <w:bottom w:w="0" w:type="dxa"/>
          <w:right w:w="0" w:type="dxa"/>
        </w:tblCellMar>
      </w:tblPr>
      <w:tblGrid>
        <w:gridCol w:w="1115"/>
        <w:gridCol w:w="4070"/>
      </w:tblGrid>
      <w:tr>
        <w:trPr/>
        <w:tc>
          <w:tcPr>
            <w:tcW w:w="1115"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16.1</w:t>
            </w:r>
          </w:p>
        </w:tc>
        <w:tc>
          <w:tcPr>
            <w:tcW w:w="40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Letter of BDO USA, LLP dated December 3, 2012.</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22"/>
        <w:gridCol w:w="3692"/>
        <w:gridCol w:w="603"/>
        <w:gridCol w:w="3088"/>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822" w:type="dxa"/>
            <w:tcBorders/>
            <w:shd w:fill="auto" w:val="clear"/>
            <w:vAlign w:val="center"/>
          </w:tcPr>
          <w:p>
            <w:pPr>
              <w:pStyle w:val="TableContents"/>
              <w:spacing w:before="0" w:after="283"/>
              <w:rPr>
                <w:sz w:val="4"/>
                <w:szCs w:val="4"/>
              </w:rPr>
            </w:pPr>
            <w:r>
              <w:rPr>
                <w:sz w:val="4"/>
                <w:szCs w:val="4"/>
              </w:rPr>
            </w:r>
          </w:p>
        </w:tc>
        <w:tc>
          <w:tcPr>
            <w:tcW w:w="3692"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0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22" w:type="dxa"/>
            <w:tcBorders/>
            <w:shd w:fill="auto" w:val="clear"/>
            <w:vAlign w:val="center"/>
          </w:tcPr>
          <w:p>
            <w:pPr>
              <w:pStyle w:val="TableContents"/>
              <w:spacing w:before="0" w:after="0"/>
              <w:ind w:left="0" w:right="0" w:firstLine="30"/>
              <w:rPr/>
            </w:pPr>
            <w:r>
              <w:rPr/>
              <w:t> </w:t>
            </w:r>
          </w:p>
        </w:tc>
        <w:tc>
          <w:tcPr>
            <w:tcW w:w="3692"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
              <w:rPr/>
            </w:pPr>
            <w:r>
              <w:rPr/>
              <w:t> </w:t>
            </w:r>
          </w:p>
        </w:tc>
        <w:tc>
          <w:tcPr>
            <w:tcW w:w="3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2822" w:type="dxa"/>
            <w:tcBorders/>
            <w:shd w:fill="auto" w:val="clear"/>
            <w:vAlign w:val="center"/>
          </w:tcPr>
          <w:p>
            <w:pPr>
              <w:pStyle w:val="TableContents"/>
              <w:spacing w:before="0" w:after="0"/>
              <w:ind w:left="0" w:right="0" w:firstLine="30"/>
              <w:rPr/>
            </w:pPr>
            <w:r>
              <w:rPr/>
              <w:t> </w:t>
            </w:r>
          </w:p>
        </w:tc>
        <w:tc>
          <w:tcPr>
            <w:tcW w:w="3692"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
              <w:rPr/>
            </w:pPr>
            <w:r>
              <w:rPr/>
              <w:t> </w:t>
            </w:r>
          </w:p>
        </w:tc>
        <w:tc>
          <w:tcPr>
            <w:tcW w:w="3088" w:type="dxa"/>
            <w:tcBorders/>
            <w:shd w:fill="auto" w:val="clear"/>
            <w:vAlign w:val="center"/>
          </w:tcPr>
          <w:p>
            <w:pPr>
              <w:pStyle w:val="TableContents"/>
              <w:spacing w:before="0" w:after="0"/>
              <w:ind w:left="0" w:right="0" w:firstLine="30"/>
              <w:rPr/>
            </w:pPr>
            <w:r>
              <w:rPr/>
              <w:t> </w:t>
            </w:r>
          </w:p>
        </w:tc>
      </w:tr>
      <w:tr>
        <w:trPr/>
        <w:tc>
          <w:tcPr>
            <w:tcW w:w="28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 December 4, 2012</w:t>
            </w:r>
          </w:p>
        </w:tc>
        <w:tc>
          <w:tcPr>
            <w:tcW w:w="3692"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By:</w:t>
            </w:r>
          </w:p>
        </w:tc>
        <w:tc>
          <w:tcPr>
            <w:tcW w:w="308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Jeffrey S. Byal</w:t>
            </w:r>
          </w:p>
        </w:tc>
      </w:tr>
      <w:tr>
        <w:trPr/>
        <w:tc>
          <w:tcPr>
            <w:tcW w:w="2822" w:type="dxa"/>
            <w:tcBorders/>
            <w:shd w:fill="auto" w:val="clear"/>
            <w:vAlign w:val="center"/>
          </w:tcPr>
          <w:p>
            <w:pPr>
              <w:pStyle w:val="TableContents"/>
              <w:spacing w:before="0" w:after="0"/>
              <w:ind w:left="0" w:right="0" w:firstLine="30"/>
              <w:rPr/>
            </w:pPr>
            <w:r>
              <w:rPr/>
              <w:t> </w:t>
            </w:r>
          </w:p>
        </w:tc>
        <w:tc>
          <w:tcPr>
            <w:tcW w:w="3692"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0"/>
              <w:rPr/>
            </w:pPr>
            <w:r>
              <w:rPr/>
              <w:t> </w:t>
            </w:r>
          </w:p>
        </w:tc>
        <w:tc>
          <w:tcPr>
            <w:tcW w:w="3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Jeffrey S. Byal,</w:t>
            </w:r>
          </w:p>
        </w:tc>
      </w:tr>
      <w:tr>
        <w:trPr/>
        <w:tc>
          <w:tcPr>
            <w:tcW w:w="2822" w:type="dxa"/>
            <w:tcBorders/>
            <w:shd w:fill="auto" w:val="clear"/>
            <w:vAlign w:val="center"/>
          </w:tcPr>
          <w:p>
            <w:pPr>
              <w:pStyle w:val="TableContents"/>
              <w:spacing w:before="0" w:after="0"/>
              <w:ind w:left="0" w:right="0" w:firstLine="30"/>
              <w:rPr/>
            </w:pPr>
            <w:r>
              <w:rPr/>
              <w:t> </w:t>
            </w:r>
          </w:p>
        </w:tc>
        <w:tc>
          <w:tcPr>
            <w:tcW w:w="3692"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0"/>
              <w:rPr/>
            </w:pPr>
            <w:r>
              <w:rPr/>
              <w:t> </w:t>
            </w:r>
          </w:p>
        </w:tc>
        <w:tc>
          <w:tcPr>
            <w:tcW w:w="3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w:t>
            </w:r>
          </w:p>
        </w:tc>
      </w:tr>
      <w:tr>
        <w:trPr/>
        <w:tc>
          <w:tcPr>
            <w:tcW w:w="2822" w:type="dxa"/>
            <w:tcBorders/>
            <w:shd w:fill="auto" w:val="clear"/>
            <w:vAlign w:val="center"/>
          </w:tcPr>
          <w:p>
            <w:pPr>
              <w:pStyle w:val="TableContents"/>
              <w:spacing w:before="0" w:after="0"/>
              <w:ind w:left="0" w:right="0" w:firstLine="30"/>
              <w:rPr/>
            </w:pPr>
            <w:r>
              <w:rPr/>
              <w:t> </w:t>
            </w:r>
          </w:p>
        </w:tc>
        <w:tc>
          <w:tcPr>
            <w:tcW w:w="3692"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540"/>
              <w:rPr/>
            </w:pPr>
            <w:r>
              <w:rPr/>
              <w:t> </w:t>
            </w:r>
          </w:p>
        </w:tc>
        <w:tc>
          <w:tcPr>
            <w:tcW w:w="3088" w:type="dxa"/>
            <w:tcBorders/>
            <w:shd w:fill="auto" w:val="clear"/>
            <w:vAlign w:val="center"/>
          </w:tcPr>
          <w:p>
            <w:pPr>
              <w:pStyle w:val="TableContents"/>
              <w:spacing w:before="0" w:after="0"/>
              <w:jc w:val="left"/>
              <w:rPr>
                <w:rFonts w:ascii="inherit" w:hAnsi="inherit"/>
                <w:sz w:val="17"/>
              </w:rPr>
            </w:pPr>
            <w:r>
              <w:rPr>
                <w:rFonts w:ascii="inherit" w:hAnsi="inherit"/>
                <w:sz w:val="17"/>
              </w:rPr>
              <w:t>Chief Accounting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8" w:name="sD450FFE447413D10B97B66BAC8D09369"/>
      <w:bookmarkStart w:id="9" w:name="exhibit.htm"/>
      <w:bookmarkStart w:id="10" w:name="ksexhibit"/>
      <w:bookmarkStart w:id="11" w:name="sD450FFE447413D10B97B66BAC8D09369"/>
      <w:bookmarkStart w:id="12" w:name="exhibit.htm"/>
      <w:bookmarkStart w:id="13" w:name="ksexhibit"/>
      <w:bookmarkEnd w:id="11"/>
      <w:bookmarkEnd w:id="12"/>
      <w:bookmarkEnd w:id="13"/>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December 3, 2012</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Securities and Exchange Commission</w:t>
      </w:r>
    </w:p>
    <w:p>
      <w:pPr>
        <w:pStyle w:val="TextBody"/>
        <w:spacing w:lineRule="auto" w:line="288" w:before="0" w:after="0"/>
        <w:rPr>
          <w:rFonts w:ascii="inherit" w:hAnsi="inherit"/>
          <w:sz w:val="17"/>
        </w:rPr>
      </w:pPr>
      <w:r>
        <w:rPr>
          <w:rFonts w:ascii="inherit" w:hAnsi="inherit"/>
          <w:sz w:val="17"/>
        </w:rPr>
        <w:t>100 F Street N.E.</w:t>
      </w:r>
    </w:p>
    <w:p>
      <w:pPr>
        <w:pStyle w:val="TextBody"/>
        <w:spacing w:lineRule="auto" w:line="288" w:before="0" w:after="0"/>
        <w:rPr>
          <w:rFonts w:ascii="inherit" w:hAnsi="inherit"/>
          <w:sz w:val="17"/>
        </w:rPr>
      </w:pPr>
      <w:r>
        <w:rPr>
          <w:rFonts w:ascii="inherit" w:hAnsi="inherit"/>
          <w:sz w:val="17"/>
        </w:rPr>
        <w:t>Washington, D.C. 20549</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We have been furnished with a copy of the response to Item 4.01 of Form 8-K for the event that occurred on November 29, 2012, to be filed by our former client, EZCORP, Inc. We agree with the statements made in response to that Item insofar as they relate to our Firm.</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Very truly yours,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/s/ BDO USA, LLP    </w:t>
      </w:r>
    </w:p>
    <w:p>
      <w:pPr>
        <w:pStyle w:val="TextBody"/>
        <w:spacing w:lineRule="auto" w:line="288" w:before="0" w:after="0"/>
        <w:rPr>
          <w:rFonts w:ascii="inherit" w:hAnsi="inherit"/>
          <w:sz w:val="17"/>
        </w:rPr>
      </w:pPr>
      <w:r>
        <w:rPr>
          <w:rFonts w:ascii="inherit" w:hAnsi="inherit"/>
          <w:sz w:val="17"/>
        </w:rPr>
        <w:t>BDO USA, LLP</w:t>
      </w:r>
    </w:p>
    <w:p>
      <w:pPr>
        <w:pStyle w:val="TextBody"/>
        <w:spacing w:lineRule="auto" w:line="288" w:before="0" w:after="0"/>
        <w:rPr>
          <w:rFonts w:ascii="inherit" w:hAnsi="inherit"/>
          <w:sz w:val="17"/>
        </w:rPr>
      </w:pPr>
      <w:r>
        <w:rPr>
          <w:rFonts w:ascii="inherit" w:hAnsi="inherit"/>
          <w:sz w:val="17"/>
        </w:rPr>
        <w:t>Dallas, Texas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820</Words>
  <CharactersWithSpaces>5415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