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August 4, 2020 (August 4, 2020)</w:t>
      </w:r>
    </w:p>
    <w:p>
      <w:pPr>
        <w:spacing w:after="0" w:line="71"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_______________________________________________</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67" w:lineRule="exact"/>
        <w:rPr>
          <w:sz w:val="24"/>
          <w:szCs w:val="24"/>
          <w:color w:val="auto"/>
        </w:rPr>
      </w:pPr>
    </w:p>
    <w:tbl>
      <w:tblPr>
        <w:tblLayout w:type="fixed"/>
        <w:tblInd w:w="980" w:type="dxa"/>
        <w:tblCellMar>
          <w:top w:w="0" w:type="dxa"/>
          <w:left w:w="0" w:type="dxa"/>
          <w:bottom w:w="0" w:type="dxa"/>
          <w:right w:w="0" w:type="dxa"/>
        </w:tblCellMar>
      </w:tblPr>
      <w:tr>
        <w:trPr>
          <w:trHeight w:val="234"/>
        </w:trPr>
        <w:tc>
          <w:tcPr>
            <w:tcW w:w="1840" w:type="dxa"/>
            <w:vAlign w:val="bottom"/>
          </w:tcPr>
          <w:p>
            <w:pPr>
              <w:jc w:val="center"/>
              <w:ind w:right="102"/>
              <w:spacing w:after="0"/>
              <w:rPr>
                <w:sz w:val="20"/>
                <w:szCs w:val="20"/>
                <w:color w:val="auto"/>
              </w:rPr>
            </w:pPr>
            <w:r>
              <w:rPr>
                <w:rFonts w:ascii="Arial" w:cs="Arial" w:eastAsia="Arial" w:hAnsi="Arial"/>
                <w:sz w:val="18"/>
                <w:szCs w:val="18"/>
                <w:b w:val="1"/>
                <w:bCs w:val="1"/>
                <w:color w:val="auto"/>
                <w:w w:val="93"/>
              </w:rPr>
              <w:t>Delaware</w:t>
            </w:r>
          </w:p>
        </w:tc>
        <w:tc>
          <w:tcPr>
            <w:tcW w:w="5720" w:type="dxa"/>
            <w:vAlign w:val="bottom"/>
          </w:tcPr>
          <w:p>
            <w:pPr>
              <w:jc w:val="center"/>
              <w:ind w:right="118"/>
              <w:spacing w:after="0"/>
              <w:rPr>
                <w:sz w:val="20"/>
                <w:szCs w:val="20"/>
                <w:color w:val="auto"/>
              </w:rPr>
            </w:pPr>
            <w:r>
              <w:rPr>
                <w:rFonts w:ascii="Arial" w:cs="Arial" w:eastAsia="Arial" w:hAnsi="Arial"/>
                <w:sz w:val="18"/>
                <w:szCs w:val="18"/>
                <w:b w:val="1"/>
                <w:bCs w:val="1"/>
                <w:color w:val="auto"/>
                <w:w w:val="90"/>
              </w:rPr>
              <w:t>0-19424</w:t>
            </w:r>
          </w:p>
        </w:tc>
        <w:tc>
          <w:tcPr>
            <w:tcW w:w="1420" w:type="dxa"/>
            <w:vAlign w:val="bottom"/>
          </w:tcPr>
          <w:p>
            <w:pPr>
              <w:jc w:val="center"/>
              <w:ind w:left="202"/>
              <w:spacing w:after="0"/>
              <w:rPr>
                <w:sz w:val="20"/>
                <w:szCs w:val="20"/>
                <w:color w:val="auto"/>
              </w:rPr>
            </w:pPr>
            <w:r>
              <w:rPr>
                <w:rFonts w:ascii="Arial" w:cs="Arial" w:eastAsia="Arial" w:hAnsi="Arial"/>
                <w:sz w:val="18"/>
                <w:szCs w:val="18"/>
                <w:b w:val="1"/>
                <w:bCs w:val="1"/>
                <w:color w:val="auto"/>
                <w:w w:val="89"/>
              </w:rPr>
              <w:t>74-2540145</w:t>
            </w:r>
          </w:p>
        </w:tc>
      </w:tr>
      <w:tr>
        <w:trPr>
          <w:trHeight w:val="180"/>
        </w:trPr>
        <w:tc>
          <w:tcPr>
            <w:tcW w:w="1840" w:type="dxa"/>
            <w:vAlign w:val="bottom"/>
          </w:tcPr>
          <w:p>
            <w:pPr>
              <w:jc w:val="center"/>
              <w:ind w:right="102"/>
              <w:spacing w:after="0"/>
              <w:rPr>
                <w:sz w:val="20"/>
                <w:szCs w:val="20"/>
                <w:color w:val="auto"/>
              </w:rPr>
            </w:pPr>
            <w:r>
              <w:rPr>
                <w:rFonts w:ascii="Arial" w:cs="Arial" w:eastAsia="Arial" w:hAnsi="Arial"/>
                <w:sz w:val="14"/>
                <w:szCs w:val="14"/>
                <w:b w:val="1"/>
                <w:bCs w:val="1"/>
                <w:color w:val="auto"/>
                <w:w w:val="94"/>
              </w:rPr>
              <w:t>(State or other jurisdiction</w:t>
            </w:r>
          </w:p>
        </w:tc>
        <w:tc>
          <w:tcPr>
            <w:tcW w:w="5720" w:type="dxa"/>
            <w:vAlign w:val="bottom"/>
          </w:tcPr>
          <w:p>
            <w:pPr>
              <w:jc w:val="center"/>
              <w:ind w:right="118"/>
              <w:spacing w:after="0"/>
              <w:rPr>
                <w:sz w:val="20"/>
                <w:szCs w:val="20"/>
                <w:color w:val="auto"/>
              </w:rPr>
            </w:pPr>
            <w:r>
              <w:rPr>
                <w:rFonts w:ascii="Arial" w:cs="Arial" w:eastAsia="Arial" w:hAnsi="Arial"/>
                <w:sz w:val="14"/>
                <w:szCs w:val="14"/>
                <w:b w:val="1"/>
                <w:bCs w:val="1"/>
                <w:color w:val="auto"/>
                <w:w w:val="90"/>
              </w:rPr>
              <w:t>(Commission</w:t>
            </w:r>
          </w:p>
        </w:tc>
        <w:tc>
          <w:tcPr>
            <w:tcW w:w="1420" w:type="dxa"/>
            <w:vAlign w:val="bottom"/>
          </w:tcPr>
          <w:p>
            <w:pPr>
              <w:jc w:val="center"/>
              <w:ind w:left="202"/>
              <w:spacing w:after="0"/>
              <w:rPr>
                <w:sz w:val="20"/>
                <w:szCs w:val="20"/>
                <w:color w:val="auto"/>
              </w:rPr>
            </w:pPr>
            <w:r>
              <w:rPr>
                <w:rFonts w:ascii="Arial" w:cs="Arial" w:eastAsia="Arial" w:hAnsi="Arial"/>
                <w:sz w:val="14"/>
                <w:szCs w:val="14"/>
                <w:b w:val="1"/>
                <w:bCs w:val="1"/>
                <w:color w:val="auto"/>
                <w:w w:val="98"/>
              </w:rPr>
              <w:t>(IRS Employer</w:t>
            </w:r>
          </w:p>
        </w:tc>
      </w:tr>
      <w:tr>
        <w:trPr>
          <w:trHeight w:val="180"/>
        </w:trPr>
        <w:tc>
          <w:tcPr>
            <w:tcW w:w="1840" w:type="dxa"/>
            <w:vAlign w:val="bottom"/>
          </w:tcPr>
          <w:p>
            <w:pPr>
              <w:jc w:val="center"/>
              <w:ind w:right="102"/>
              <w:spacing w:after="0"/>
              <w:rPr>
                <w:sz w:val="20"/>
                <w:szCs w:val="20"/>
                <w:color w:val="auto"/>
              </w:rPr>
            </w:pPr>
            <w:r>
              <w:rPr>
                <w:rFonts w:ascii="Arial" w:cs="Arial" w:eastAsia="Arial" w:hAnsi="Arial"/>
                <w:sz w:val="14"/>
                <w:szCs w:val="14"/>
                <w:b w:val="1"/>
                <w:bCs w:val="1"/>
                <w:color w:val="auto"/>
                <w:w w:val="94"/>
              </w:rPr>
              <w:t>of incorporation)</w:t>
            </w:r>
          </w:p>
        </w:tc>
        <w:tc>
          <w:tcPr>
            <w:tcW w:w="5720" w:type="dxa"/>
            <w:vAlign w:val="bottom"/>
          </w:tcPr>
          <w:p>
            <w:pPr>
              <w:jc w:val="center"/>
              <w:ind w:right="98"/>
              <w:spacing w:after="0"/>
              <w:rPr>
                <w:sz w:val="20"/>
                <w:szCs w:val="20"/>
                <w:color w:val="auto"/>
              </w:rPr>
            </w:pPr>
            <w:r>
              <w:rPr>
                <w:rFonts w:ascii="Arial" w:cs="Arial" w:eastAsia="Arial" w:hAnsi="Arial"/>
                <w:sz w:val="14"/>
                <w:szCs w:val="14"/>
                <w:b w:val="1"/>
                <w:bCs w:val="1"/>
                <w:color w:val="auto"/>
                <w:w w:val="95"/>
              </w:rPr>
              <w:t>File Number)</w:t>
            </w:r>
          </w:p>
        </w:tc>
        <w:tc>
          <w:tcPr>
            <w:tcW w:w="1420" w:type="dxa"/>
            <w:vAlign w:val="bottom"/>
          </w:tcPr>
          <w:p>
            <w:pPr>
              <w:jc w:val="center"/>
              <w:ind w:left="202"/>
              <w:spacing w:after="0"/>
              <w:rPr>
                <w:sz w:val="20"/>
                <w:szCs w:val="20"/>
                <w:color w:val="auto"/>
              </w:rPr>
            </w:pPr>
            <w:r>
              <w:rPr>
                <w:rFonts w:ascii="Arial" w:cs="Arial" w:eastAsia="Arial" w:hAnsi="Arial"/>
                <w:sz w:val="14"/>
                <w:szCs w:val="14"/>
                <w:b w:val="1"/>
                <w:bCs w:val="1"/>
                <w:color w:val="auto"/>
                <w:w w:val="96"/>
              </w:rPr>
              <w:t>Identification No.)</w:t>
            </w:r>
          </w:p>
        </w:tc>
      </w:tr>
      <w:tr>
        <w:trPr>
          <w:trHeight w:val="212"/>
        </w:trPr>
        <w:tc>
          <w:tcPr>
            <w:tcW w:w="1840" w:type="dxa"/>
            <w:vAlign w:val="bottom"/>
          </w:tcPr>
          <w:p>
            <w:pPr>
              <w:spacing w:after="0"/>
              <w:rPr>
                <w:sz w:val="18"/>
                <w:szCs w:val="18"/>
                <w:color w:val="auto"/>
              </w:rPr>
            </w:pPr>
          </w:p>
        </w:tc>
        <w:tc>
          <w:tcPr>
            <w:tcW w:w="5720" w:type="dxa"/>
            <w:vAlign w:val="bottom"/>
          </w:tcPr>
          <w:p>
            <w:pPr>
              <w:jc w:val="center"/>
              <w:ind w:right="1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20" w:type="dxa"/>
            <w:vAlign w:val="bottom"/>
          </w:tcPr>
          <w:p>
            <w:pPr>
              <w:spacing w:after="0"/>
              <w:rPr>
                <w:sz w:val="18"/>
                <w:szCs w:val="18"/>
                <w:color w:val="auto"/>
              </w:rPr>
            </w:pPr>
          </w:p>
        </w:tc>
      </w:tr>
      <w:tr>
        <w:trPr>
          <w:trHeight w:val="186"/>
        </w:trPr>
        <w:tc>
          <w:tcPr>
            <w:tcW w:w="1840" w:type="dxa"/>
            <w:vAlign w:val="bottom"/>
          </w:tcPr>
          <w:p>
            <w:pPr>
              <w:spacing w:after="0"/>
              <w:rPr>
                <w:sz w:val="16"/>
                <w:szCs w:val="16"/>
                <w:color w:val="auto"/>
              </w:rPr>
            </w:pPr>
          </w:p>
        </w:tc>
        <w:tc>
          <w:tcPr>
            <w:tcW w:w="5720" w:type="dxa"/>
            <w:vAlign w:val="bottom"/>
          </w:tcPr>
          <w:p>
            <w:pPr>
              <w:jc w:val="center"/>
              <w:ind w:right="38"/>
              <w:spacing w:after="0"/>
              <w:rPr>
                <w:sz w:val="20"/>
                <w:szCs w:val="20"/>
                <w:color w:val="auto"/>
              </w:rPr>
            </w:pPr>
            <w:r>
              <w:rPr>
                <w:rFonts w:ascii="Arial" w:cs="Arial" w:eastAsia="Arial" w:hAnsi="Arial"/>
                <w:sz w:val="14"/>
                <w:szCs w:val="14"/>
                <w:b w:val="1"/>
                <w:bCs w:val="1"/>
                <w:color w:val="auto"/>
                <w:w w:val="90"/>
              </w:rPr>
              <w:t>(Address of principal executive offices) (zip code)</w:t>
            </w:r>
          </w:p>
        </w:tc>
        <w:tc>
          <w:tcPr>
            <w:tcW w:w="1420" w:type="dxa"/>
            <w:vAlign w:val="bottom"/>
          </w:tcPr>
          <w:p>
            <w:pPr>
              <w:spacing w:after="0"/>
              <w:rPr>
                <w:sz w:val="16"/>
                <w:szCs w:val="16"/>
                <w:color w:val="auto"/>
              </w:rPr>
            </w:pPr>
          </w:p>
        </w:tc>
      </w:tr>
      <w:tr>
        <w:trPr>
          <w:trHeight w:val="376"/>
        </w:trPr>
        <w:tc>
          <w:tcPr>
            <w:tcW w:w="1840" w:type="dxa"/>
            <w:vAlign w:val="bottom"/>
          </w:tcPr>
          <w:p>
            <w:pPr>
              <w:spacing w:after="0"/>
              <w:rPr>
                <w:sz w:val="24"/>
                <w:szCs w:val="24"/>
                <w:color w:val="auto"/>
              </w:rPr>
            </w:pPr>
          </w:p>
        </w:tc>
        <w:tc>
          <w:tcPr>
            <w:tcW w:w="572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20" w:type="dxa"/>
            <w:vAlign w:val="bottom"/>
          </w:tcPr>
          <w:p>
            <w:pPr>
              <w:spacing w:after="0"/>
              <w:rPr>
                <w:sz w:val="24"/>
                <w:szCs w:val="24"/>
                <w:color w:val="auto"/>
              </w:rPr>
            </w:pPr>
          </w:p>
        </w:tc>
      </w:tr>
      <w:tr>
        <w:trPr>
          <w:trHeight w:val="284"/>
        </w:trPr>
        <w:tc>
          <w:tcPr>
            <w:tcW w:w="1840" w:type="dxa"/>
            <w:vAlign w:val="bottom"/>
          </w:tcPr>
          <w:p>
            <w:pPr>
              <w:spacing w:after="0"/>
              <w:rPr>
                <w:sz w:val="24"/>
                <w:szCs w:val="24"/>
                <w:color w:val="auto"/>
              </w:rPr>
            </w:pPr>
          </w:p>
        </w:tc>
        <w:tc>
          <w:tcPr>
            <w:tcW w:w="5720" w:type="dxa"/>
            <w:vAlign w:val="bottom"/>
          </w:tcPr>
          <w:p>
            <w:pPr>
              <w:jc w:val="center"/>
              <w:ind w:right="78"/>
              <w:spacing w:after="0"/>
              <w:rPr>
                <w:sz w:val="20"/>
                <w:szCs w:val="20"/>
                <w:color w:val="auto"/>
              </w:rPr>
            </w:pPr>
            <w:r>
              <w:rPr>
                <w:rFonts w:ascii="Arial" w:cs="Arial" w:eastAsia="Arial" w:hAnsi="Arial"/>
                <w:sz w:val="18"/>
                <w:szCs w:val="18"/>
                <w:color w:val="auto"/>
                <w:w w:val="90"/>
              </w:rPr>
              <w:t>_______________________________________________________</w:t>
            </w:r>
          </w:p>
        </w:tc>
        <w:tc>
          <w:tcPr>
            <w:tcW w:w="1420" w:type="dxa"/>
            <w:vAlign w:val="bottom"/>
          </w:tcPr>
          <w:p>
            <w:pPr>
              <w:spacing w:after="0"/>
              <w:rPr>
                <w:sz w:val="24"/>
                <w:szCs w:val="24"/>
                <w:color w:val="auto"/>
              </w:rPr>
            </w:pPr>
          </w:p>
        </w:tc>
      </w:tr>
    </w:tbl>
    <w:p>
      <w:pPr>
        <w:spacing w:after="0" w:line="6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2"/>
          </w:tcPr>
          <w:p>
            <w:pPr>
              <w:ind w:left="40"/>
              <w:spacing w:after="0"/>
              <w:rPr>
                <w:sz w:val="20"/>
                <w:szCs w:val="20"/>
                <w:color w:val="auto"/>
              </w:rPr>
            </w:pPr>
            <w:r>
              <w:rPr>
                <w:rFonts w:ascii="Arial" w:cs="Arial" w:eastAsia="Arial" w:hAnsi="Arial"/>
                <w:sz w:val="18"/>
                <w:szCs w:val="18"/>
                <w:b w:val="1"/>
                <w:bCs w:val="1"/>
                <w:color w:val="auto"/>
              </w:rPr>
              <w:t>Title of each class</w:t>
            </w:r>
          </w:p>
        </w:tc>
        <w:tc>
          <w:tcPr>
            <w:tcW w:w="1900" w:type="dxa"/>
            <w:vAlign w:val="bottom"/>
            <w:gridSpan w:val="2"/>
          </w:tcPr>
          <w:p>
            <w:pPr>
              <w:ind w:left="40"/>
              <w:spacing w:after="0"/>
              <w:rPr>
                <w:sz w:val="20"/>
                <w:szCs w:val="20"/>
                <w:color w:val="auto"/>
              </w:rPr>
            </w:pPr>
            <w:r>
              <w:rPr>
                <w:rFonts w:ascii="Arial" w:cs="Arial" w:eastAsia="Arial" w:hAnsi="Arial"/>
                <w:sz w:val="18"/>
                <w:szCs w:val="18"/>
                <w:b w:val="1"/>
                <w:bCs w:val="1"/>
                <w:color w:val="auto"/>
              </w:rPr>
              <w:t>Trading Symbol(s)</w:t>
            </w:r>
          </w:p>
        </w:tc>
        <w:tc>
          <w:tcPr>
            <w:tcW w:w="460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7"/>
        </w:trPr>
        <w:tc>
          <w:tcPr>
            <w:tcW w:w="4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r>
      <w:tr>
        <w:trPr>
          <w:trHeight w:val="373"/>
        </w:trPr>
        <w:tc>
          <w:tcPr>
            <w:tcW w:w="4740" w:type="dxa"/>
            <w:vAlign w:val="bottom"/>
            <w:gridSpan w:val="2"/>
          </w:tcPr>
          <w:p>
            <w:pPr>
              <w:ind w:left="40"/>
              <w:spacing w:after="0"/>
              <w:rPr>
                <w:sz w:val="20"/>
                <w:szCs w:val="20"/>
                <w:color w:val="auto"/>
              </w:rPr>
            </w:pPr>
            <w:r>
              <w:rPr>
                <w:rFonts w:ascii="Arial" w:cs="Arial" w:eastAsia="Arial" w:hAnsi="Arial"/>
                <w:sz w:val="14"/>
                <w:szCs w:val="14"/>
                <w:b w:val="1"/>
                <w:bCs w:val="1"/>
                <w:color w:val="auto"/>
              </w:rPr>
              <w:t>Class A Non-voting Common Stock, par value $.01 per share</w:t>
            </w:r>
          </w:p>
        </w:tc>
        <w:tc>
          <w:tcPr>
            <w:tcW w:w="1900" w:type="dxa"/>
            <w:vAlign w:val="bottom"/>
            <w:gridSpan w:val="2"/>
          </w:tcPr>
          <w:p>
            <w:pPr>
              <w:ind w:left="40"/>
              <w:spacing w:after="0"/>
              <w:rPr>
                <w:sz w:val="20"/>
                <w:szCs w:val="20"/>
                <w:color w:val="auto"/>
              </w:rPr>
            </w:pPr>
            <w:r>
              <w:rPr>
                <w:rFonts w:ascii="Arial" w:cs="Arial" w:eastAsia="Arial" w:hAnsi="Arial"/>
                <w:sz w:val="14"/>
                <w:szCs w:val="14"/>
                <w:b w:val="1"/>
                <w:bCs w:val="1"/>
                <w:color w:val="auto"/>
              </w:rPr>
              <w:t>EZPW</w:t>
            </w:r>
          </w:p>
        </w:tc>
        <w:tc>
          <w:tcPr>
            <w:tcW w:w="1740" w:type="dxa"/>
            <w:vAlign w:val="bottom"/>
          </w:tcPr>
          <w:p>
            <w:pPr>
              <w:ind w:left="40"/>
              <w:spacing w:after="0"/>
              <w:rPr>
                <w:sz w:val="20"/>
                <w:szCs w:val="20"/>
                <w:color w:val="auto"/>
              </w:rPr>
            </w:pPr>
            <w:r>
              <w:rPr>
                <w:rFonts w:ascii="Arial" w:cs="Arial" w:eastAsia="Arial" w:hAnsi="Arial"/>
                <w:sz w:val="14"/>
                <w:szCs w:val="14"/>
                <w:b w:val="1"/>
                <w:bCs w:val="1"/>
                <w:color w:val="auto"/>
              </w:rPr>
              <w:t>NASDAQ Stock Market</w:t>
            </w:r>
          </w:p>
        </w:tc>
        <w:tc>
          <w:tcPr>
            <w:tcW w:w="2860" w:type="dxa"/>
            <w:vAlign w:val="bottom"/>
          </w:tcPr>
          <w:p>
            <w:pPr>
              <w:ind w:left="240"/>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7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87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70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August 4, 2020, EZCORP, Inc. ("EZCORP") issued a press release announcing its results of operations and financial condition for the quarter ended June 30, 2020. A copy of that press release is attached as Exhibit 99.1.</w:t>
      </w:r>
    </w:p>
    <w:p>
      <w:pPr>
        <w:spacing w:after="0" w:line="1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to the financial information prepared in conformity with accounting principles generally accepted in the United States ("GAAP"), we provide certain other non-GAAP financial information on a constant currency ("constant currency") and adjusted basis. We use constant currency results to evaluate our Latin America Pawn operations, which are denominated primarily in Mexican pesos, Guatemalan quetzals and other Latin American currencies. We believe that presentation of constant currency and adjusted results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spacing w:after="0" w:line="13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30"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5"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color w:val="auto"/>
        </w:rPr>
        <w:t xml:space="preserve">A copy of the presentation materials that management will review during the Company’s third quarter fiscal 2020 earnings conference call (to be held on August 5, 2020) will be posted in the Investor Relations section of the company’s website at </w:t>
      </w:r>
      <w:r>
        <w:rPr>
          <w:rFonts w:ascii="Arial" w:cs="Arial" w:eastAsia="Arial" w:hAnsi="Arial"/>
          <w:sz w:val="18"/>
          <w:szCs w:val="18"/>
          <w:u w:val="single" w:color="auto"/>
          <w:color w:val="0000FF"/>
        </w:rPr>
        <w:t>www.ezcorp.com</w:t>
      </w:r>
      <w:r>
        <w:rPr>
          <w:rFonts w:ascii="Arial" w:cs="Arial" w:eastAsia="Arial" w:hAnsi="Arial"/>
          <w:sz w:val="18"/>
          <w:szCs w:val="18"/>
          <w:color w:val="auto"/>
        </w:rPr>
        <w:t>.</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information set forth, or referred to, in this Item 7.01 shall not be deemed "filed" for purposes of the Securities Exchange Act of 1934 or otherwise subject to the liabilities of that section, and shall not be deemed to be incorporated by reference into any registration statement or other filing made by EZCORP under the Securities Act of 1933 or the Securities Exchange Act of 1934, unless such subsequent filing specifically references this Item 7.01 of this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37" w:lineRule="exact"/>
        <w:rPr>
          <w:sz w:val="20"/>
          <w:szCs w:val="20"/>
          <w:color w:val="auto"/>
        </w:rPr>
      </w:pPr>
    </w:p>
    <w:p>
      <w:pPr>
        <w:ind w:left="880" w:hanging="521"/>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98" w:lineRule="exact"/>
        <w:rPr>
          <w:sz w:val="20"/>
          <w:szCs w:val="20"/>
          <w:color w:val="auto"/>
        </w:rPr>
      </w:pPr>
    </w:p>
    <w:p>
      <w:pPr>
        <w:ind w:left="1100" w:right="620" w:hanging="555"/>
        <w:spacing w:after="0" w:line="277" w:lineRule="auto"/>
        <w:tabs>
          <w:tab w:leader="none" w:pos="1080" w:val="left"/>
        </w:tabs>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99.1</w:t>
        </w:r>
      </w:hyperlink>
      <w:r>
        <w:rPr>
          <w:rFonts w:ascii="Arial" w:cs="Arial" w:eastAsia="Arial" w:hAnsi="Arial"/>
          <w:sz w:val="18"/>
          <w:szCs w:val="18"/>
          <w:u w:val="single" w:color="auto"/>
          <w:color w:val="0000FF"/>
        </w:rPr>
        <w:tab/>
      </w:r>
      <w:hyperlink w:anchor="page3">
        <w:r>
          <w:rPr>
            <w:rFonts w:ascii="Arial" w:cs="Arial" w:eastAsia="Arial" w:hAnsi="Arial"/>
            <w:sz w:val="18"/>
            <w:szCs w:val="18"/>
            <w:u w:val="single" w:color="auto"/>
            <w:color w:val="0000FF"/>
          </w:rPr>
          <w:t>Press Release, dated August 4, 2020, announcing EZCORP, Inc.’s results of operations and financial condition for the quarter ended</w:t>
        </w:r>
      </w:hyperlink>
      <w:r>
        <w:rPr>
          <w:rFonts w:ascii="Arial" w:cs="Arial" w:eastAsia="Arial" w:hAnsi="Arial"/>
          <w:sz w:val="18"/>
          <w:szCs w:val="18"/>
          <w:u w:val="single" w:color="auto"/>
          <w:color w:val="0000FF"/>
        </w:rPr>
        <w:t xml:space="preserve"> </w:t>
      </w:r>
      <w:hyperlink w:anchor="page3">
        <w:r>
          <w:rPr>
            <w:rFonts w:ascii="Arial" w:cs="Arial" w:eastAsia="Arial" w:hAnsi="Arial"/>
            <w:sz w:val="18"/>
            <w:szCs w:val="18"/>
            <w:u w:val="single" w:color="auto"/>
            <w:color w:val="0000FF"/>
          </w:rPr>
          <w:t>June 30, 2020.</w:t>
        </w:r>
      </w:hyperlink>
    </w:p>
    <w:p>
      <w:pPr>
        <w:spacing w:after="0" w:line="8" w:lineRule="exact"/>
        <w:rPr>
          <w:rFonts w:ascii="Arial" w:cs="Arial" w:eastAsia="Arial" w:hAnsi="Arial"/>
          <w:sz w:val="18"/>
          <w:szCs w:val="18"/>
          <w:u w:val="single" w:color="auto"/>
          <w:color w:val="0000FF"/>
        </w:rPr>
      </w:pPr>
    </w:p>
    <w:p>
      <w:pPr>
        <w:ind w:left="560"/>
        <w:spacing w:after="0"/>
        <w:tabs>
          <w:tab w:leader="none" w:pos="1080" w:val="left"/>
        </w:tabs>
        <w:rPr>
          <w:sz w:val="20"/>
          <w:szCs w:val="20"/>
          <w:color w:val="auto"/>
        </w:rPr>
      </w:pPr>
      <w:r>
        <w:rPr>
          <w:rFonts w:ascii="Arial" w:cs="Arial" w:eastAsia="Arial" w:hAnsi="Arial"/>
          <w:sz w:val="18"/>
          <w:szCs w:val="18"/>
          <w:color w:val="auto"/>
        </w:rPr>
        <w:t>104</w:t>
        <w:tab/>
        <w:t>Cover Page Interactive Data File (embedded within the Inline XBRL document)</w:t>
      </w:r>
    </w:p>
    <w:p>
      <w:pPr>
        <w:spacing w:after="0" w:line="200" w:lineRule="exact"/>
        <w:rPr>
          <w:rFonts w:ascii="Arial" w:cs="Arial" w:eastAsia="Arial" w:hAnsi="Arial"/>
          <w:sz w:val="18"/>
          <w:szCs w:val="18"/>
          <w:u w:val="single" w:color="auto"/>
          <w:color w:val="0000FF"/>
        </w:rPr>
      </w:pPr>
    </w:p>
    <w:p>
      <w:pPr>
        <w:spacing w:after="0" w:line="210" w:lineRule="exact"/>
        <w:rPr>
          <w:rFonts w:ascii="Arial" w:cs="Arial" w:eastAsia="Arial" w:hAnsi="Arial"/>
          <w:sz w:val="18"/>
          <w:szCs w:val="18"/>
          <w:u w:val="single" w:color="auto"/>
          <w:color w:val="0000FF"/>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rFonts w:ascii="Arial" w:cs="Arial" w:eastAsia="Arial" w:hAnsi="Arial"/>
          <w:sz w:val="18"/>
          <w:szCs w:val="18"/>
          <w:u w:val="single" w:color="auto"/>
          <w:color w:val="0000FF"/>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rFonts w:ascii="Arial" w:cs="Arial" w:eastAsia="Arial" w:hAnsi="Arial"/>
          <w:sz w:val="18"/>
          <w:szCs w:val="18"/>
          <w:u w:val="single" w:color="auto"/>
          <w:color w:val="0000FF"/>
        </w:rPr>
      </w:pPr>
    </w:p>
    <w:p>
      <w:pPr>
        <w:ind w:left="6100"/>
        <w:spacing w:after="0"/>
        <w:rPr>
          <w:sz w:val="20"/>
          <w:szCs w:val="20"/>
          <w:color w:val="auto"/>
        </w:rPr>
      </w:pPr>
      <w:r>
        <w:rPr>
          <w:rFonts w:ascii="Arial" w:cs="Arial" w:eastAsia="Arial" w:hAnsi="Arial"/>
          <w:sz w:val="18"/>
          <w:szCs w:val="18"/>
          <w:color w:val="auto"/>
        </w:rPr>
        <w:t>EZCORP, INC.</w:t>
      </w:r>
    </w:p>
    <w:p>
      <w:pPr>
        <w:spacing w:after="0" w:line="185" w:lineRule="exact"/>
        <w:rPr>
          <w:rFonts w:ascii="Arial" w:cs="Arial" w:eastAsia="Arial" w:hAnsi="Arial"/>
          <w:sz w:val="18"/>
          <w:szCs w:val="18"/>
          <w:u w:val="single" w:color="auto"/>
          <w:color w:val="0000FF"/>
        </w:rPr>
      </w:pPr>
    </w:p>
    <w:p>
      <w:pPr>
        <w:ind w:left="40"/>
        <w:spacing w:after="0"/>
        <w:tabs>
          <w:tab w:leader="none" w:pos="580" w:val="left"/>
          <w:tab w:leader="none" w:pos="6080" w:val="left"/>
          <w:tab w:leader="none" w:pos="6840" w:val="left"/>
        </w:tabs>
        <w:rPr>
          <w:sz w:val="20"/>
          <w:szCs w:val="20"/>
          <w:color w:val="auto"/>
        </w:rPr>
      </w:pPr>
      <w:r>
        <w:rPr>
          <w:rFonts w:ascii="Arial" w:cs="Arial" w:eastAsia="Arial" w:hAnsi="Arial"/>
          <w:sz w:val="18"/>
          <w:szCs w:val="18"/>
          <w:color w:val="auto"/>
        </w:rPr>
        <w:t>Date:</w:t>
        <w:tab/>
        <w:t>August 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Jason A. Kulas</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4342765</wp:posOffset>
            </wp:positionH>
            <wp:positionV relativeFrom="paragraph">
              <wp:posOffset>31750</wp:posOffset>
            </wp:positionV>
            <wp:extent cx="27603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pacing w:after="0" w:line="57" w:lineRule="exact"/>
        <w:rPr>
          <w:rFonts w:ascii="Arial" w:cs="Arial" w:eastAsia="Arial" w:hAnsi="Arial"/>
          <w:sz w:val="18"/>
          <w:szCs w:val="18"/>
          <w:u w:val="single" w:color="auto"/>
          <w:color w:val="0000FF"/>
        </w:rPr>
      </w:pPr>
    </w:p>
    <w:p>
      <w:pPr>
        <w:ind w:left="6860"/>
        <w:spacing w:after="0"/>
        <w:rPr>
          <w:sz w:val="20"/>
          <w:szCs w:val="20"/>
          <w:color w:val="auto"/>
        </w:rPr>
      </w:pPr>
      <w:r>
        <w:rPr>
          <w:rFonts w:ascii="Arial" w:cs="Arial" w:eastAsia="Arial" w:hAnsi="Arial"/>
          <w:sz w:val="18"/>
          <w:szCs w:val="18"/>
          <w:color w:val="auto"/>
        </w:rPr>
        <w:t>Jason A. Kulas</w:t>
      </w:r>
    </w:p>
    <w:p>
      <w:pPr>
        <w:spacing w:after="0" w:line="63" w:lineRule="exact"/>
        <w:rPr>
          <w:rFonts w:ascii="Arial" w:cs="Arial" w:eastAsia="Arial" w:hAnsi="Arial"/>
          <w:sz w:val="18"/>
          <w:szCs w:val="18"/>
          <w:u w:val="single" w:color="auto"/>
          <w:color w:val="0000FF"/>
        </w:rPr>
      </w:pPr>
    </w:p>
    <w:p>
      <w:pPr>
        <w:ind w:left="6860"/>
        <w:spacing w:after="0"/>
        <w:rPr>
          <w:sz w:val="20"/>
          <w:szCs w:val="20"/>
          <w:color w:val="auto"/>
        </w:rPr>
      </w:pPr>
      <w:r>
        <w:rPr>
          <w:rFonts w:ascii="Arial" w:cs="Arial" w:eastAsia="Arial" w:hAnsi="Arial"/>
          <w:sz w:val="18"/>
          <w:szCs w:val="18"/>
          <w:color w:val="auto"/>
        </w:rPr>
        <w:t>Chief Executive Officer and Chief Financial Officer</w:t>
      </w:r>
    </w:p>
    <w:p>
      <w:pPr>
        <w:sectPr>
          <w:pgSz w:w="11900" w:h="16838" w:orient="portrait"/>
          <w:cols w:equalWidth="0" w:num="1">
            <w:col w:w="11220"/>
          </w:cols>
          <w:pgMar w:left="320" w:top="715" w:right="3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2780030</wp:posOffset>
            </wp:positionH>
            <wp:positionV relativeFrom="page">
              <wp:posOffset>363220</wp:posOffset>
            </wp:positionV>
            <wp:extent cx="1988820" cy="3511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988820" cy="351155"/>
                    </a:xfrm>
                    <a:prstGeom prst="rect">
                      <a:avLst/>
                    </a:prstGeom>
                    <a:noFill/>
                  </pic:spPr>
                </pic:pic>
              </a:graphicData>
            </a:graphic>
          </wp:anchor>
        </w:drawing>
        <w:t>EZCORP Reports Third Quarter Fiscal Year 2020 Results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Austin, Texas (August 4, 2020) — </w:t>
      </w:r>
      <w:r>
        <w:rPr>
          <w:rFonts w:ascii="Arial" w:cs="Arial" w:eastAsia="Arial" w:hAnsi="Arial"/>
          <w:sz w:val="17"/>
          <w:szCs w:val="17"/>
          <w:color w:val="auto"/>
        </w:rPr>
        <w:t>EZCORP, Inc. (NASDAQ: EZPW) today announced results for its fiscal third quarter ended June 30, 2020.</w:t>
      </w:r>
    </w:p>
    <w:p>
      <w:pPr>
        <w:spacing w:after="0" w:line="241"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i w:val="1"/>
          <w:iCs w:val="1"/>
          <w:color w:val="auto"/>
        </w:rPr>
        <w:t>All amounts in this release are from EZCORP continuing operations and in conformity with U.S. generally accepted accounting principles ("GAAP") unless otherwise noted. Comparisons shown in this release are to the same period in the prior year unless otherwise noted.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FOR THIRD QUARTER OF FISCAL 2020</w:t>
      </w:r>
    </w:p>
    <w:p>
      <w:pPr>
        <w:spacing w:after="0" w:line="17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revenues grew 4% in the quarter to $210.2 million. Retail sales grew 31% to $136.5 million, driven primarily by strong demand</w:t>
      </w:r>
    </w:p>
    <w:p>
      <w:pPr>
        <w:spacing w:after="0" w:line="23" w:lineRule="exact"/>
        <w:rPr>
          <w:rFonts w:ascii="Arial" w:cs="Arial" w:eastAsia="Arial" w:hAnsi="Arial"/>
          <w:sz w:val="18"/>
          <w:szCs w:val="18"/>
          <w:color w:val="auto"/>
        </w:rPr>
      </w:pPr>
    </w:p>
    <w:p>
      <w:pPr>
        <w:ind w:left="660" w:right="280"/>
        <w:spacing w:after="0" w:line="260" w:lineRule="auto"/>
        <w:rPr>
          <w:rFonts w:ascii="Arial" w:cs="Arial" w:eastAsia="Arial" w:hAnsi="Arial"/>
          <w:sz w:val="18"/>
          <w:szCs w:val="18"/>
          <w:color w:val="auto"/>
        </w:rPr>
      </w:pPr>
      <w:r>
        <w:rPr>
          <w:rFonts w:ascii="Arial" w:cs="Arial" w:eastAsia="Arial" w:hAnsi="Arial"/>
          <w:sz w:val="18"/>
          <w:szCs w:val="18"/>
          <w:color w:val="auto"/>
        </w:rPr>
        <w:t>for merchandise for working and schooling from home. Net revenues declined 12% driven by a 34% reduction in pawn service (PSC) revenue, partially offset by a 33% increase in merchandise sales gross profit.</w:t>
      </w:r>
    </w:p>
    <w:p>
      <w:pPr>
        <w:spacing w:after="0" w:line="13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Operations expenses declined by 3% to $83.8 million while total store count grew by 2%.</w:t>
      </w:r>
    </w:p>
    <w:p>
      <w:pPr>
        <w:spacing w:after="0" w:line="171" w:lineRule="exact"/>
        <w:rPr>
          <w:rFonts w:ascii="Arial" w:cs="Arial" w:eastAsia="Arial" w:hAnsi="Arial"/>
          <w:sz w:val="18"/>
          <w:szCs w:val="18"/>
          <w:color w:val="auto"/>
        </w:rPr>
      </w:pPr>
    </w:p>
    <w:p>
      <w:pPr>
        <w:jc w:val="both"/>
        <w:ind w:left="660" w:right="160" w:hanging="328"/>
        <w:spacing w:after="0" w:line="23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before taxes was $10.2 million, compared to profit before taxes of $3.5 million in the prior-year quarter. On an adjusted basis</w:t>
      </w:r>
      <w:r>
        <w:rPr>
          <w:rFonts w:ascii="Arial" w:cs="Arial" w:eastAsia="Arial" w:hAnsi="Arial"/>
          <w:sz w:val="25"/>
          <w:szCs w:val="25"/>
          <w:color w:val="auto"/>
          <w:vertAlign w:val="superscript"/>
        </w:rPr>
        <w:t>1</w:t>
      </w:r>
      <w:r>
        <w:rPr>
          <w:rFonts w:ascii="Arial" w:cs="Arial" w:eastAsia="Arial" w:hAnsi="Arial"/>
          <w:sz w:val="18"/>
          <w:szCs w:val="18"/>
          <w:color w:val="auto"/>
        </w:rPr>
        <w:t>, loss before taxes was $3.5 million, compared to profit before taxes of $13.6 million in the prior-year quarter. Diluted loss per share was $0.10, compared to diluted earnings per share of $0.06 in the prior-year quarter. On an adjusted basis, diluted loss per share was $0.01, compared to diluted earnings per share of $0.16.</w:t>
      </w:r>
    </w:p>
    <w:p>
      <w:pPr>
        <w:spacing w:after="0" w:line="147"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Pawn loan volume was reduced during the quarter by emergency stimulus payment actions in the U.S. and restrictions on customer movements and localized store closure orders in Latin America. Pawn loans outstanding (PLO) decreased 40% to $113.3 million (down 39% to $116.8 million on a constant currency basis), which led to a 34% reduction in PSC revenue to $52.5 million (down 31% to $54.4 million on a constant currency basis).</w:t>
      </w:r>
    </w:p>
    <w:p>
      <w:pPr>
        <w:spacing w:after="0" w:line="132" w:lineRule="exact"/>
        <w:rPr>
          <w:rFonts w:ascii="Arial" w:cs="Arial" w:eastAsia="Arial" w:hAnsi="Arial"/>
          <w:sz w:val="18"/>
          <w:szCs w:val="18"/>
          <w:color w:val="auto"/>
        </w:rPr>
      </w:pPr>
    </w:p>
    <w:p>
      <w:pPr>
        <w:ind w:left="660" w:right="14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inventory of $123.1 million ($127.1 million on a constant currency basis) decreased 30%, reflecting annualized inventory turnover of 2.9x. Sales margin of 33% increased 40bps despite a $2.2 million adjustment to merchandise cost of goods sold due to looting at 30 stores during riots in the U.S.</w:t>
      </w:r>
    </w:p>
    <w:p>
      <w:pPr>
        <w:spacing w:after="0" w:line="129" w:lineRule="exact"/>
        <w:rPr>
          <w:rFonts w:ascii="Arial" w:cs="Arial" w:eastAsia="Arial" w:hAnsi="Arial"/>
          <w:sz w:val="18"/>
          <w:szCs w:val="18"/>
          <w:color w:val="auto"/>
        </w:rPr>
      </w:pPr>
    </w:p>
    <w:p>
      <w:pPr>
        <w:ind w:left="660" w:right="42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Cash and cash equivalents increased to $311 million as of June 30, 2020, an increase of over $100 million compared to the prior quarter. The decline in new pawn loan originations and increased merchandise and scrap sales all benefited the cash position.</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Following a review of strategic alternatives for the non-core CashMax business in Canada, the Company has decided to close the</w:t>
      </w:r>
    </w:p>
    <w:p>
      <w:pPr>
        <w:spacing w:after="0" w:line="23" w:lineRule="exact"/>
        <w:rPr>
          <w:rFonts w:ascii="Arial" w:cs="Arial" w:eastAsia="Arial" w:hAnsi="Arial"/>
          <w:sz w:val="18"/>
          <w:szCs w:val="18"/>
          <w:color w:val="auto"/>
        </w:rPr>
      </w:pPr>
    </w:p>
    <w:p>
      <w:pPr>
        <w:ind w:left="660" w:right="140"/>
        <w:spacing w:after="0" w:line="260" w:lineRule="auto"/>
        <w:rPr>
          <w:rFonts w:ascii="Arial" w:cs="Arial" w:eastAsia="Arial" w:hAnsi="Arial"/>
          <w:sz w:val="18"/>
          <w:szCs w:val="18"/>
          <w:color w:val="auto"/>
        </w:rPr>
      </w:pPr>
      <w:r>
        <w:rPr>
          <w:rFonts w:ascii="Arial" w:cs="Arial" w:eastAsia="Arial" w:hAnsi="Arial"/>
          <w:sz w:val="18"/>
          <w:szCs w:val="18"/>
          <w:color w:val="auto"/>
        </w:rPr>
        <w:t>remaining 22 stores. The shutdown of the business and related operations will be substantially completed during the fourth quarter of fiscal 2020 and will result in charges of approximately $8.0 - $10.0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COMMENTARY AND OUTLOOK</w:t>
      </w:r>
    </w:p>
    <w:p>
      <w:pPr>
        <w:spacing w:after="0" w:line="17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Chief Executive Officer Jason Kulas stated: “Our results for the fiscal third quarter were highlighted by ongoing revenue growth driven by strong retail sales. As a result of stimulus payments and extended unemployment and forbearance benefits, our customers’ needs for cash were lower in the quarter, driving declines in PLO and PSC. While sales gross profit margins were strong, the tradeoff in higher-margin pawn service charges for lower-margin merchandise sales negatively impacted EBITDA and EPS in the quarter.</w:t>
      </w:r>
    </w:p>
    <w:p>
      <w:pPr>
        <w:spacing w:after="0" w:line="133"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these uncertain times, we are focused on the safety of our team members and customers and on our continued financial strength. Our cash balance grew by over $100 million to $311 million from the second quarter, positioning us to meet our customers’ short-term needs for cash as loan demand rebounds. In addition, our team is focused on increasing the efficiency of our operations, with significant expense reductions planned for fiscal year 2021. These efforts are expected to add an even greater level of resiliency to our business through the current environment and future economic cycles.</w:t>
      </w:r>
    </w:p>
    <w:p>
      <w:pPr>
        <w:spacing w:after="0" w:line="103"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“In addition to optimizing our cost structure to maximize profitability and better align with near-term PLO trends, we are focused on creating long-term shareholder value by strengthening our core business operations and continuing to innovate and grow. Our optimization of pricing, lending and transactional efficiencies, and the modernization of our IT and data assets, will</w:t>
      </w:r>
    </w:p>
    <w:p>
      <w:pPr>
        <w:sectPr>
          <w:pgSz w:w="11900" w:h="16838" w:orient="portrait"/>
          <w:cols w:equalWidth="0" w:num="1">
            <w:col w:w="11220"/>
          </w:cols>
          <w:pgMar w:left="320" w:top="1440" w:right="359" w:bottom="1440" w:gutter="0" w:footer="0" w:header="0"/>
        </w:sectPr>
      </w:pPr>
    </w:p>
    <w:bookmarkStart w:id="3" w:name="page4"/>
    <w:bookmarkEnd w:id="3"/>
    <w:p>
      <w:pPr>
        <w:ind w:right="360"/>
        <w:spacing w:after="0" w:line="277" w:lineRule="auto"/>
        <w:rPr>
          <w:sz w:val="20"/>
          <w:szCs w:val="20"/>
          <w:color w:val="auto"/>
        </w:rPr>
      </w:pPr>
      <w:r>
        <w:rPr>
          <w:rFonts w:ascii="Arial" w:cs="Arial" w:eastAsia="Arial" w:hAnsi="Arial"/>
          <w:sz w:val="18"/>
          <w:szCs w:val="18"/>
          <w:color w:val="auto"/>
        </w:rPr>
        <w:t>drive more consistent profitability. Our efforts to give customers more convenient choices, both in-store and through our Lana platform, will result in a superior customer experience, and our continued de novo store growth will give us the opportunity to expand our platform.</w:t>
      </w:r>
    </w:p>
    <w:p>
      <w:pPr>
        <w:spacing w:after="0" w:line="116"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“Looking ahead, while it will take time for PLO and PSC to rebuild, we remain confident that demand for pawn loans will accelerate, thereby driving higher revenue growth and increased earnings power, particularly as we increasingly rationalize expenses and invest in value-added initiatives.”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r>
              <w:rPr>
                <w:rFonts w:ascii="Arial" w:cs="Arial" w:eastAsia="Arial" w:hAnsi="Arial"/>
                <w:sz w:val="18"/>
                <w:szCs w:val="18"/>
                <w:b w:val="1"/>
                <w:bCs w:val="1"/>
                <w:color w:val="auto"/>
              </w:rPr>
              <w:t>CONSOLIDATED RESULTS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18"/>
        </w:trPr>
        <w:tc>
          <w:tcPr>
            <w:tcW w:w="6080" w:type="dxa"/>
            <w:vAlign w:val="bottom"/>
          </w:tcPr>
          <w:p>
            <w:pPr>
              <w:spacing w:after="0"/>
              <w:rPr>
                <w:sz w:val="20"/>
                <w:szCs w:val="20"/>
                <w:color w:val="auto"/>
              </w:rPr>
            </w:pPr>
            <w:r>
              <w:rPr>
                <w:rFonts w:ascii="Arial" w:cs="Arial" w:eastAsia="Arial" w:hAnsi="Arial"/>
                <w:sz w:val="18"/>
                <w:szCs w:val="18"/>
                <w:b w:val="1"/>
                <w:bCs w:val="1"/>
                <w:color w:val="auto"/>
              </w:rPr>
              <w:t>Three Months Ended June 30</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i w:val="1"/>
                <w:iCs w:val="1"/>
                <w:color w:val="auto"/>
              </w:rPr>
              <w:t>in millions, except per share amounts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05"/>
        </w:trPr>
        <w:tc>
          <w:tcPr>
            <w:tcW w:w="6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60" w:type="dxa"/>
            <w:vAlign w:val="bottom"/>
            <w:gridSpan w:val="5"/>
          </w:tcPr>
          <w:p>
            <w:pPr>
              <w:ind w:left="460"/>
              <w:spacing w:after="0"/>
              <w:rPr>
                <w:sz w:val="20"/>
                <w:szCs w:val="20"/>
                <w:color w:val="auto"/>
              </w:rPr>
            </w:pPr>
            <w:r>
              <w:rPr>
                <w:rFonts w:ascii="Arial" w:cs="Arial" w:eastAsia="Arial" w:hAnsi="Arial"/>
                <w:sz w:val="18"/>
                <w:szCs w:val="18"/>
                <w:b w:val="1"/>
                <w:bCs w:val="1"/>
                <w:color w:val="auto"/>
              </w:rPr>
              <w:t>As Reported</w:t>
            </w:r>
          </w:p>
        </w:tc>
        <w:tc>
          <w:tcPr>
            <w:tcW w:w="24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Adjusted</w:t>
            </w:r>
            <w:r>
              <w:rPr>
                <w:rFonts w:ascii="Arial" w:cs="Arial" w:eastAsia="Arial" w:hAnsi="Arial"/>
                <w:sz w:val="25"/>
                <w:szCs w:val="25"/>
                <w:b w:val="1"/>
                <w:bCs w:val="1"/>
                <w:color w:val="auto"/>
                <w:vertAlign w:val="superscript"/>
              </w:rPr>
              <w:t>1</w:t>
            </w:r>
          </w:p>
        </w:tc>
        <w:tc>
          <w:tcPr>
            <w:tcW w:w="760" w:type="dxa"/>
            <w:vAlign w:val="bottom"/>
          </w:tcPr>
          <w:p>
            <w:pPr>
              <w:spacing w:after="0"/>
              <w:rPr>
                <w:sz w:val="24"/>
                <w:szCs w:val="24"/>
                <w:color w:val="auto"/>
              </w:rPr>
            </w:pPr>
          </w:p>
        </w:tc>
      </w:tr>
      <w:tr>
        <w:trPr>
          <w:trHeight w:val="237"/>
        </w:trPr>
        <w:tc>
          <w:tcPr>
            <w:tcW w:w="60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4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2019</w:t>
            </w:r>
          </w:p>
        </w:tc>
      </w:tr>
      <w:tr>
        <w:trPr>
          <w:trHeight w:val="27"/>
        </w:trPr>
        <w:tc>
          <w:tcPr>
            <w:tcW w:w="6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358"/>
        </w:trPr>
        <w:tc>
          <w:tcPr>
            <w:tcW w:w="608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210.2</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202.5</w:t>
            </w:r>
          </w:p>
        </w:tc>
        <w:tc>
          <w:tcPr>
            <w:tcW w:w="46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216.5</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207.0</w:t>
            </w:r>
          </w:p>
        </w:tc>
      </w:tr>
      <w:tr>
        <w:trPr>
          <w:trHeight w:val="270"/>
        </w:trPr>
        <w:tc>
          <w:tcPr>
            <w:tcW w:w="608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115.9</w:t>
            </w:r>
          </w:p>
        </w:tc>
        <w:tc>
          <w:tcPr>
            <w:tcW w:w="46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120.4</w:t>
            </w:r>
          </w:p>
        </w:tc>
      </w:tr>
      <w:tr>
        <w:trPr>
          <w:trHeight w:val="270"/>
        </w:trPr>
        <w:tc>
          <w:tcPr>
            <w:tcW w:w="6080" w:type="dxa"/>
            <w:vAlign w:val="bottom"/>
          </w:tcPr>
          <w:p>
            <w:pPr>
              <w:ind w:left="40"/>
              <w:spacing w:after="0"/>
              <w:rPr>
                <w:sz w:val="20"/>
                <w:szCs w:val="20"/>
                <w:color w:val="auto"/>
              </w:rPr>
            </w:pPr>
            <w:r>
              <w:rPr>
                <w:rFonts w:ascii="Arial" w:cs="Arial" w:eastAsia="Arial" w:hAnsi="Arial"/>
                <w:sz w:val="18"/>
                <w:szCs w:val="18"/>
                <w:color w:val="auto"/>
              </w:rPr>
              <w:t>(Loss) Income from Continuing Operations, Before Tax</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46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13.6</w:t>
            </w:r>
          </w:p>
        </w:tc>
      </w:tr>
      <w:tr>
        <w:trPr>
          <w:trHeight w:val="270"/>
        </w:trPr>
        <w:tc>
          <w:tcPr>
            <w:tcW w:w="6080" w:type="dxa"/>
            <w:vAlign w:val="bottom"/>
          </w:tcPr>
          <w:p>
            <w:pPr>
              <w:ind w:left="40"/>
              <w:spacing w:after="0"/>
              <w:rPr>
                <w:sz w:val="20"/>
                <w:szCs w:val="20"/>
                <w:color w:val="auto"/>
              </w:rPr>
            </w:pPr>
            <w:r>
              <w:rPr>
                <w:rFonts w:ascii="Arial" w:cs="Arial" w:eastAsia="Arial" w:hAnsi="Arial"/>
                <w:sz w:val="18"/>
                <w:szCs w:val="18"/>
                <w:color w:val="auto"/>
              </w:rPr>
              <w:t>Net (Loss) Income from Continuing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46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70"/>
        </w:trPr>
        <w:tc>
          <w:tcPr>
            <w:tcW w:w="6080" w:type="dxa"/>
            <w:vAlign w:val="bottom"/>
          </w:tcPr>
          <w:p>
            <w:pPr>
              <w:ind w:left="40"/>
              <w:spacing w:after="0"/>
              <w:rPr>
                <w:sz w:val="20"/>
                <w:szCs w:val="20"/>
                <w:color w:val="auto"/>
              </w:rPr>
            </w:pPr>
            <w:r>
              <w:rPr>
                <w:rFonts w:ascii="Arial" w:cs="Arial" w:eastAsia="Arial" w:hAnsi="Arial"/>
                <w:sz w:val="18"/>
                <w:szCs w:val="18"/>
                <w:color w:val="auto"/>
              </w:rPr>
              <w:t>Diluted Earnings Per Share from Continuing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0.06</w:t>
            </w:r>
          </w:p>
        </w:tc>
        <w:tc>
          <w:tcPr>
            <w:tcW w:w="46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0.16</w:t>
            </w:r>
          </w:p>
        </w:tc>
      </w:tr>
      <w:tr>
        <w:trPr>
          <w:trHeight w:val="368"/>
        </w:trPr>
        <w:tc>
          <w:tcPr>
            <w:tcW w:w="6080" w:type="dxa"/>
            <w:vAlign w:val="bottom"/>
          </w:tcPr>
          <w:p>
            <w:pPr>
              <w:ind w:left="40"/>
              <w:spacing w:after="0"/>
              <w:rPr>
                <w:sz w:val="20"/>
                <w:szCs w:val="20"/>
                <w:color w:val="auto"/>
              </w:rPr>
            </w:pPr>
            <w:r>
              <w:rPr>
                <w:rFonts w:ascii="Arial" w:cs="Arial" w:eastAsia="Arial" w:hAnsi="Arial"/>
                <w:sz w:val="18"/>
                <w:szCs w:val="18"/>
                <w:color w:val="auto"/>
              </w:rPr>
              <w:t>Adjusted EBITDA</w:t>
            </w:r>
            <w:r>
              <w:rPr>
                <w:rFonts w:ascii="Arial" w:cs="Arial" w:eastAsia="Arial" w:hAnsi="Arial"/>
                <w:sz w:val="25"/>
                <w:szCs w:val="25"/>
                <w:color w:val="auto"/>
                <w:vertAlign w:val="superscript"/>
              </w:rPr>
              <w:t>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46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21.9</w:t>
            </w:r>
          </w:p>
        </w:tc>
      </w:tr>
    </w:tbl>
    <w:p>
      <w:pPr>
        <w:spacing w:after="0" w:line="76" w:lineRule="exact"/>
        <w:rPr>
          <w:sz w:val="20"/>
          <w:szCs w:val="20"/>
          <w:color w:val="auto"/>
        </w:rPr>
      </w:pPr>
    </w:p>
    <w:p>
      <w:pPr>
        <w:ind w:left="660" w:right="2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revenues grew 4% to $210.2 million. PSC was down 34% to $52.5 million largely reflecting lower average PLO for the quarter, a result of a lower pawn loan demand during the quarter.</w:t>
      </w:r>
    </w:p>
    <w:p>
      <w:pPr>
        <w:spacing w:after="0" w:line="116"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Merchandise sales grew 31% and scrap sales were up 11%. Merchandise sales were particularly strong in consumer electronics, while scrap sales benefited from higher gold prices.</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revenues were down 12% at $102.2 million. Consolidated merchandise sales gross profit increased 33% to $44.7 million, with a 31% increase in merchandise sales.</w:t>
      </w:r>
    </w:p>
    <w:p>
      <w:pPr>
        <w:spacing w:after="0" w:line="116"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Consolidated operations expenses decreased 3%. Total store count increased 2%, consisting of a net 23 stores acquired or opened since the end of the prior-year quarter. Administrative expense increased 7% to $14.7 million.</w:t>
      </w:r>
    </w:p>
    <w:p>
      <w:pPr>
        <w:spacing w:after="0" w:line="116"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interest expense decreased $4.5 million reflecting the June 2019 repayment of $195.0 million of cash convertible debt. Gross interest income decreased $2.5 million due to collections on notes receivable since the prior-year period.</w:t>
      </w:r>
    </w:p>
    <w:p>
      <w:pPr>
        <w:spacing w:after="0" w:line="116"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Third quarter fiscal 2020 results include a loss of $1.8 million in inventory, $0.4 million in loan restitution losses and $0.2 million in property, plant and equipment due to lootings that occurred in 30 of our U.S. stores during riots in late May and early June.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U.S. Pawn</w:t>
      </w:r>
    </w:p>
    <w:p>
      <w:pPr>
        <w:spacing w:after="0" w:line="17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revenue was up 12% reflecting 39% growth in merchandise sales.</w:t>
      </w:r>
    </w:p>
    <w:p>
      <w:pPr>
        <w:spacing w:after="0" w:line="171" w:lineRule="exact"/>
        <w:rPr>
          <w:rFonts w:ascii="Arial" w:cs="Arial" w:eastAsia="Arial" w:hAnsi="Arial"/>
          <w:sz w:val="18"/>
          <w:szCs w:val="18"/>
          <w:color w:val="auto"/>
        </w:rPr>
      </w:pPr>
    </w:p>
    <w:p>
      <w:pPr>
        <w:ind w:left="660" w:right="15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PSC was down 30%, largely reflecting lower average PLO for the quarter as a result of lower loan demand and increased loan redemptions believed to be related to federal economic stimulus.</w:t>
      </w:r>
    </w:p>
    <w:p>
      <w:pPr>
        <w:spacing w:after="0" w:line="116" w:lineRule="exact"/>
        <w:rPr>
          <w:rFonts w:ascii="Arial" w:cs="Arial" w:eastAsia="Arial" w:hAnsi="Arial"/>
          <w:sz w:val="18"/>
          <w:szCs w:val="18"/>
          <w:color w:val="auto"/>
        </w:rPr>
      </w:pPr>
    </w:p>
    <w:p>
      <w:pPr>
        <w:ind w:left="660" w:right="380" w:hanging="328"/>
        <w:spacing w:after="0" w:line="28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Merchandise margins of 35% remain within our targeted range. When excluding losses from looting of $2.2 million from merchandise cost of goods sold, margins were unchanged at 37%. Aged general merchandise inventory improved to 4.9% from 6.3% in the prior year. Jewelry scrapping gross profit increased 86%, with related margins up 900bps to 25% on higher gold prices.</w:t>
      </w:r>
    </w:p>
    <w:p>
      <w:pPr>
        <w:spacing w:after="0" w:line="111" w:lineRule="exact"/>
        <w:rPr>
          <w:rFonts w:ascii="Arial" w:cs="Arial" w:eastAsia="Arial" w:hAnsi="Arial"/>
          <w:sz w:val="17"/>
          <w:szCs w:val="17"/>
          <w:color w:val="auto"/>
        </w:rPr>
      </w:pPr>
    </w:p>
    <w:p>
      <w:pPr>
        <w:ind w:left="660" w:right="14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Segment contribution decreased $7.1 million to $16.6 million, the result of a $17.6 million reduction in PSC partially offset by increased merchandise sales and scrap sales gross profit.</w:t>
      </w:r>
    </w:p>
    <w:p>
      <w:pPr>
        <w:sectPr>
          <w:pgSz w:w="11900" w:h="16838" w:orient="portrait"/>
          <w:cols w:equalWidth="0" w:num="1">
            <w:col w:w="11240"/>
          </w:cols>
          <w:pgMar w:left="320" w:top="719"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Latin America Pawn</w:t>
      </w:r>
    </w:p>
    <w:p>
      <w:pPr>
        <w:spacing w:after="0" w:line="171" w:lineRule="exact"/>
        <w:rPr>
          <w:sz w:val="20"/>
          <w:szCs w:val="20"/>
          <w:color w:val="auto"/>
        </w:rPr>
      </w:pPr>
    </w:p>
    <w:p>
      <w:pPr>
        <w:ind w:left="660" w:right="320" w:hanging="328"/>
        <w:spacing w:after="0" w:line="31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Merchandise sales grew 1%, to $20.3 million (20% to $24.0 million on a constant currency basis). Merchandise gross sales margins were 21% while aged general merchandise inventory increased to 18.5% of total general merchandise inventory, both the result of a more challenging environment in our Latin America countries, as well as store closures, limited operating hours and restrictions on mobility in GPMX.</w:t>
      </w:r>
    </w:p>
    <w:p>
      <w:pPr>
        <w:spacing w:after="0" w:line="94"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revenues decreased 33% to $15.5 million (down 21% to $18.4 million on a constant currency basis) largely reflecting lower PSC due in part to COVID-19 related store closures, reduced public transportation and curfews imposed in some Latin America countries.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PSC decreased 44% to $11.4 million (down 35% to $13.3 million on a constant currency basis) as a result of lower average PLO for the</w:t>
      </w:r>
    </w:p>
    <w:p>
      <w:pPr>
        <w:spacing w:after="0" w:line="34" w:lineRule="exact"/>
        <w:rPr>
          <w:rFonts w:ascii="Arial" w:cs="Arial" w:eastAsia="Arial" w:hAnsi="Arial"/>
          <w:sz w:val="17"/>
          <w:szCs w:val="17"/>
          <w:color w:val="auto"/>
        </w:rPr>
      </w:pPr>
    </w:p>
    <w:p>
      <w:pPr>
        <w:ind w:left="660" w:right="180"/>
        <w:spacing w:after="0" w:line="260" w:lineRule="auto"/>
        <w:rPr>
          <w:rFonts w:ascii="Arial" w:cs="Arial" w:eastAsia="Arial" w:hAnsi="Arial"/>
          <w:sz w:val="17"/>
          <w:szCs w:val="17"/>
          <w:color w:val="auto"/>
        </w:rPr>
      </w:pPr>
      <w:r>
        <w:rPr>
          <w:rFonts w:ascii="Arial" w:cs="Arial" w:eastAsia="Arial" w:hAnsi="Arial"/>
          <w:sz w:val="18"/>
          <w:szCs w:val="18"/>
          <w:color w:val="auto"/>
        </w:rPr>
        <w:t>quarter and a lower yield on pawn loans, reflecting our commitment to work with customers by negotiating reduced interest payments on a case-by-case basis.</w:t>
      </w:r>
    </w:p>
    <w:p>
      <w:pPr>
        <w:spacing w:after="0" w:line="131"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Operations expense was tightly managed, down 18% to $15.0 million.</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Latin America Pawn added three de novo stores in the quarter. New store openings typically pressure earnings in the short term as they ramp up but drive higher profitability over time.</w:t>
      </w:r>
    </w:p>
    <w:p>
      <w:pPr>
        <w:spacing w:after="0" w:line="116"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Segment loss for the quarter was $0.7 million ($0.4 million on a constant currency basis), compared to a contribution of $2.1 million in the prior year quarter, primarily reflecting lower PSC revenues.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Over 99% of stores in Latin America are currently open. More specifically:</w:t>
      </w:r>
    </w:p>
    <w:p>
      <w:pPr>
        <w:spacing w:after="0" w:line="171" w:lineRule="exact"/>
        <w:rPr>
          <w:rFonts w:ascii="Arial" w:cs="Arial" w:eastAsia="Arial" w:hAnsi="Arial"/>
          <w:sz w:val="18"/>
          <w:szCs w:val="18"/>
          <w:color w:val="auto"/>
        </w:rPr>
      </w:pPr>
    </w:p>
    <w:p>
      <w:pPr>
        <w:ind w:left="1300" w:right="80" w:hanging="320"/>
        <w:spacing w:after="0" w:line="291"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Mexico (367 stores) — Excluding short-term closings due to regulatory decree or safety protocols, stores in Mexico were generally open most of the quarter. However, retail sales in all stores were prohibited by regulators during the last three weeks of May. During</w:t>
      </w:r>
    </w:p>
    <w:p>
      <w:pPr>
        <w:ind w:left="1300"/>
        <w:spacing w:after="0"/>
        <w:rPr>
          <w:rFonts w:ascii="Arial" w:cs="Arial" w:eastAsia="Arial" w:hAnsi="Arial"/>
          <w:sz w:val="16"/>
          <w:szCs w:val="16"/>
          <w:color w:val="auto"/>
        </w:rPr>
      </w:pPr>
      <w:r>
        <w:rPr>
          <w:rFonts w:ascii="Arial" w:cs="Arial" w:eastAsia="Arial" w:hAnsi="Arial"/>
          <w:sz w:val="18"/>
          <w:szCs w:val="18"/>
          <w:color w:val="auto"/>
        </w:rPr>
        <w:t>the quarter, one de novo store was opened.</w:t>
      </w:r>
    </w:p>
    <w:p>
      <w:pPr>
        <w:spacing w:after="0" w:line="156" w:lineRule="exact"/>
        <w:rPr>
          <w:rFonts w:ascii="Arial" w:cs="Arial" w:eastAsia="Arial" w:hAnsi="Arial"/>
          <w:sz w:val="16"/>
          <w:szCs w:val="16"/>
          <w:color w:val="auto"/>
        </w:rPr>
      </w:pPr>
    </w:p>
    <w:p>
      <w:pPr>
        <w:ind w:left="1300" w:right="380" w:hanging="320"/>
        <w:spacing w:after="0" w:line="291"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Guatemala (85 stores) — Regulators imposed country-wide lock-downs on many weekends, 39 mall-based locations were closed for extended periods (5 of which have been closed since March 17), and certain restrictions prohibited stores to be open after</w:t>
      </w:r>
    </w:p>
    <w:p>
      <w:pPr>
        <w:ind w:left="1300"/>
        <w:spacing w:after="0"/>
        <w:rPr>
          <w:rFonts w:ascii="Arial" w:cs="Arial" w:eastAsia="Arial" w:hAnsi="Arial"/>
          <w:sz w:val="16"/>
          <w:szCs w:val="16"/>
          <w:color w:val="auto"/>
        </w:rPr>
      </w:pPr>
      <w:r>
        <w:rPr>
          <w:rFonts w:ascii="Arial" w:cs="Arial" w:eastAsia="Arial" w:hAnsi="Arial"/>
          <w:sz w:val="18"/>
          <w:szCs w:val="18"/>
          <w:color w:val="auto"/>
        </w:rPr>
        <w:t>5:00 pm. Two de novo stores opened during quarter.</w:t>
      </w:r>
    </w:p>
    <w:p>
      <w:pPr>
        <w:spacing w:after="0" w:line="156" w:lineRule="exact"/>
        <w:rPr>
          <w:rFonts w:ascii="Arial" w:cs="Arial" w:eastAsia="Arial" w:hAnsi="Arial"/>
          <w:sz w:val="16"/>
          <w:szCs w:val="16"/>
          <w:color w:val="auto"/>
        </w:rPr>
      </w:pPr>
    </w:p>
    <w:p>
      <w:pPr>
        <w:ind w:left="1300" w:right="780" w:hanging="320"/>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El Salvador (17 stores) — Stores were closed as part of a broad government-imposed lock-down from late March through mid-June when all stores opened.</w:t>
      </w:r>
    </w:p>
    <w:p>
      <w:pPr>
        <w:spacing w:after="0" w:line="116" w:lineRule="exact"/>
        <w:rPr>
          <w:rFonts w:ascii="Arial" w:cs="Arial" w:eastAsia="Arial" w:hAnsi="Arial"/>
          <w:sz w:val="18"/>
          <w:szCs w:val="18"/>
          <w:color w:val="auto"/>
        </w:rPr>
      </w:pPr>
    </w:p>
    <w:p>
      <w:pPr>
        <w:ind w:left="1300" w:right="100" w:hanging="320"/>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Honduras (16 stores) — Honduras was on lock- down during the last half of March. We were able to reopen five stores on March 26 and another eleven stores on April 11.</w:t>
      </w:r>
    </w:p>
    <w:p>
      <w:pPr>
        <w:spacing w:after="0" w:line="116" w:lineRule="exact"/>
        <w:rPr>
          <w:rFonts w:ascii="Arial" w:cs="Arial" w:eastAsia="Arial" w:hAnsi="Arial"/>
          <w:sz w:val="18"/>
          <w:szCs w:val="18"/>
          <w:color w:val="auto"/>
        </w:rPr>
      </w:pPr>
    </w:p>
    <w:p>
      <w:pPr>
        <w:ind w:left="1300" w:right="360" w:hanging="320"/>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Peru (11 stores) — Starting the second week of March through mid-May, all stores were closed. We were able to reopen six stores on May 15 and five more stores on June 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7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EZCORP will host a conference call on Wednesday, August 5, 2020, at 7:00 am Central Time to discuss fiscal third quarter results. Analysts and institutional investors may participate on the conference call by dialing (833) 579-0921, Conference ID: 4162018, or internationally by dialing (778) 560-2579. The conference call will be webcast simultaneously to the public through this link: http://investors.ezcorp.com/. A replay of the conference call will be available online at http://investors.ezcorp.com/ shortly after the end of the call.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17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Formed in 1989, EZCORP has grown into a leading provider of pawn loans in the United States and Latin America. We also sell merchandise, primarily collateral forfeited from pawn lending operations and used merchandise purchased from customers. We are dedicated to satisfying the short-term cash needs of consumers who are both cash and credit constrained, focusing on an industry-leading customer experience. EZCORP is traded on NASDAQ under the symbol EZPW and is a member of the Russell 2000 Index, S&amp;P 1000 Index and Nasdaq Composite Index.</w:t>
      </w:r>
    </w:p>
    <w:p>
      <w:pPr>
        <w:sectPr>
          <w:pgSz w:w="11900" w:h="16838" w:orient="portrait"/>
          <w:cols w:equalWidth="0" w:num="1">
            <w:col w:w="11240"/>
          </w:cols>
          <w:pgMar w:left="320" w:top="109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 LOOKING STATEMENTS</w:t>
      </w:r>
    </w:p>
    <w:p>
      <w:pPr>
        <w:spacing w:after="0" w:line="17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current or future litigation and risks associated with the COVID-19 pandemic.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Email: Investor_Relations@ezcorp.com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(512) 314-2220</w:t>
      </w:r>
    </w:p>
    <w:p>
      <w:pPr>
        <w:spacing w:after="0" w:line="200" w:lineRule="exact"/>
        <w:rPr>
          <w:sz w:val="20"/>
          <w:szCs w:val="20"/>
          <w:color w:val="auto"/>
        </w:rPr>
      </w:pPr>
    </w:p>
    <w:p>
      <w:pPr>
        <w:spacing w:after="0" w:line="222" w:lineRule="exact"/>
        <w:rPr>
          <w:sz w:val="20"/>
          <w:szCs w:val="20"/>
          <w:color w:val="auto"/>
        </w:rPr>
      </w:pPr>
    </w:p>
    <w:p>
      <w:pPr>
        <w:ind w:right="200"/>
        <w:spacing w:after="0" w:line="257" w:lineRule="auto"/>
        <w:rPr>
          <w:sz w:val="20"/>
          <w:szCs w:val="20"/>
          <w:color w:val="auto"/>
        </w:rPr>
      </w:pPr>
      <w:r>
        <w:rPr>
          <w:rFonts w:ascii="Arial" w:cs="Arial" w:eastAsia="Arial" w:hAnsi="Arial"/>
          <w:sz w:val="9"/>
          <w:szCs w:val="9"/>
          <w:i w:val="1"/>
          <w:iCs w:val="1"/>
          <w:color w:val="auto"/>
        </w:rPr>
        <w:t>1</w:t>
      </w:r>
      <w:r>
        <w:rPr>
          <w:rFonts w:ascii="Arial" w:cs="Arial" w:eastAsia="Arial" w:hAnsi="Arial"/>
          <w:sz w:val="14"/>
          <w:szCs w:val="14"/>
          <w:i w:val="1"/>
          <w:iCs w:val="1"/>
          <w:color w:val="auto"/>
        </w:rPr>
        <w:t>Adjusted basis, which is a non-GAAP measure, excludes certain items.“Constant currency” basis, which is a non-GAAP measure, excludes the impact of foreign currency exchange rate</w:t>
      </w:r>
      <w:r>
        <w:rPr>
          <w:rFonts w:ascii="Arial" w:cs="Arial" w:eastAsia="Arial" w:hAnsi="Arial"/>
          <w:sz w:val="9"/>
          <w:szCs w:val="9"/>
          <w:i w:val="1"/>
          <w:iCs w:val="1"/>
          <w:color w:val="auto"/>
        </w:rPr>
        <w:t xml:space="preserve"> </w:t>
      </w:r>
      <w:r>
        <w:rPr>
          <w:rFonts w:ascii="Arial" w:cs="Arial" w:eastAsia="Arial" w:hAnsi="Arial"/>
          <w:sz w:val="14"/>
          <w:szCs w:val="14"/>
          <w:i w:val="1"/>
          <w:iCs w:val="1"/>
          <w:color w:val="auto"/>
        </w:rPr>
        <w:t>fluctuations. For additional information about these calculations, as well as a reconciliation to the most comparable GAAP financial measures, see “Non-GAAP Financial Information” at the end of this release.</w:t>
      </w:r>
    </w:p>
    <w:p>
      <w:pPr>
        <w:sectPr>
          <w:pgSz w:w="11900" w:h="16838" w:orient="portrait"/>
          <w:cols w:equalWidth="0" w:num="1">
            <w:col w:w="11240"/>
          </w:cols>
          <w:pgMar w:left="320" w:top="715"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280" w:type="dxa"/>
            <w:vAlign w:val="bottom"/>
            <w:gridSpan w:val="4"/>
          </w:tcPr>
          <w:p>
            <w:pPr>
              <w:jc w:val="right"/>
              <w:ind w:right="279"/>
              <w:spacing w:after="0"/>
              <w:rPr>
                <w:sz w:val="20"/>
                <w:szCs w:val="20"/>
                <w:color w:val="auto"/>
              </w:rPr>
            </w:pPr>
            <w:r>
              <w:rPr>
                <w:rFonts w:ascii="Arial" w:cs="Arial" w:eastAsia="Arial" w:hAnsi="Arial"/>
                <w:sz w:val="14"/>
                <w:szCs w:val="14"/>
                <w:b w:val="1"/>
                <w:bCs w:val="1"/>
                <w:color w:val="auto"/>
                <w:w w:val="99"/>
              </w:rPr>
              <w:t>Nine Months Ended June 30,</w:t>
            </w:r>
          </w:p>
        </w:tc>
        <w:tc>
          <w:tcPr>
            <w:tcW w:w="0" w:type="dxa"/>
            <w:vAlign w:val="bottom"/>
          </w:tcPr>
          <w:p>
            <w:pPr>
              <w:spacing w:after="0"/>
              <w:rPr>
                <w:sz w:val="1"/>
                <w:szCs w:val="1"/>
                <w:color w:val="auto"/>
              </w:rPr>
            </w:pPr>
          </w:p>
        </w:tc>
      </w:tr>
      <w:tr>
        <w:trPr>
          <w:trHeight w:val="263"/>
        </w:trPr>
        <w:tc>
          <w:tcPr>
            <w:tcW w:w="548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379"/>
        </w:trPr>
        <w:tc>
          <w:tcPr>
            <w:tcW w:w="5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(Unaudited)</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gridSpan w:val="6"/>
          </w:tcPr>
          <w:p>
            <w:pPr>
              <w:ind w:left="80"/>
              <w:spacing w:after="0"/>
              <w:rPr>
                <w:sz w:val="20"/>
                <w:szCs w:val="20"/>
                <w:color w:val="auto"/>
              </w:rPr>
            </w:pPr>
            <w:r>
              <w:rPr>
                <w:rFonts w:ascii="Arial" w:cs="Arial" w:eastAsia="Arial" w:hAnsi="Arial"/>
                <w:sz w:val="14"/>
                <w:szCs w:val="14"/>
                <w:i w:val="1"/>
                <w:iCs w:val="1"/>
                <w:color w:val="auto"/>
              </w:rPr>
              <w:t>(in thousands, except per share amounts)</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480" w:type="dxa"/>
            <w:vAlign w:val="bottom"/>
          </w:tcPr>
          <w:p>
            <w:pPr>
              <w:spacing w:after="0"/>
              <w:rPr>
                <w:sz w:val="20"/>
                <w:szCs w:val="20"/>
                <w:color w:val="auto"/>
              </w:rPr>
            </w:pPr>
            <w:r>
              <w:rPr>
                <w:rFonts w:ascii="Arial" w:cs="Arial" w:eastAsia="Arial" w:hAnsi="Arial"/>
                <w:sz w:val="16"/>
                <w:szCs w:val="16"/>
                <w:color w:val="auto"/>
              </w:rPr>
              <w:t>Revenues: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480" w:type="dxa"/>
            <w:vAlign w:val="bottom"/>
          </w:tcPr>
          <w:p>
            <w:pPr>
              <w:ind w:left="240"/>
              <w:spacing w:after="0"/>
              <w:rPr>
                <w:sz w:val="20"/>
                <w:szCs w:val="20"/>
                <w:color w:val="auto"/>
              </w:rPr>
            </w:pPr>
            <w:r>
              <w:rPr>
                <w:rFonts w:ascii="Arial" w:cs="Arial" w:eastAsia="Arial" w:hAnsi="Arial"/>
                <w:sz w:val="16"/>
                <w:szCs w:val="16"/>
                <w:color w:val="auto"/>
              </w:rPr>
              <w:t>Merchandise sales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136,537</w:t>
            </w:r>
          </w:p>
        </w:tc>
        <w:tc>
          <w:tcPr>
            <w:tcW w:w="120" w:type="dxa"/>
            <w:vAlign w:val="bottom"/>
          </w:tcPr>
          <w:p>
            <w:pPr>
              <w:spacing w:after="0"/>
              <w:rPr>
                <w:sz w:val="23"/>
                <w:szCs w:val="23"/>
                <w:color w:val="auto"/>
              </w:rPr>
            </w:pPr>
          </w:p>
        </w:tc>
        <w:tc>
          <w:tcPr>
            <w:tcW w:w="3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103,902</w:t>
            </w: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393,095</w:t>
            </w:r>
          </w:p>
        </w:tc>
        <w:tc>
          <w:tcPr>
            <w:tcW w:w="10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346,186</w:t>
            </w:r>
          </w:p>
        </w:tc>
        <w:tc>
          <w:tcPr>
            <w:tcW w:w="0" w:type="dxa"/>
            <w:vAlign w:val="bottom"/>
          </w:tcPr>
          <w:p>
            <w:pPr>
              <w:spacing w:after="0"/>
              <w:rPr>
                <w:sz w:val="1"/>
                <w:szCs w:val="1"/>
                <w:color w:val="auto"/>
              </w:rPr>
            </w:pPr>
          </w:p>
        </w:tc>
      </w:tr>
      <w:tr>
        <w:trPr>
          <w:trHeight w:val="270"/>
        </w:trPr>
        <w:tc>
          <w:tcPr>
            <w:tcW w:w="5480" w:type="dxa"/>
            <w:vAlign w:val="bottom"/>
          </w:tcPr>
          <w:p>
            <w:pPr>
              <w:ind w:left="240"/>
              <w:spacing w:after="0"/>
              <w:rPr>
                <w:sz w:val="20"/>
                <w:szCs w:val="20"/>
                <w:color w:val="auto"/>
              </w:rPr>
            </w:pPr>
            <w:r>
              <w:rPr>
                <w:rFonts w:ascii="Arial" w:cs="Arial" w:eastAsia="Arial" w:hAnsi="Arial"/>
                <w:sz w:val="16"/>
                <w:szCs w:val="16"/>
                <w:color w:val="auto"/>
              </w:rPr>
              <w:t>Jewelry scrapping sales</w:t>
            </w:r>
          </w:p>
        </w:tc>
        <w:tc>
          <w:tcPr>
            <w:tcW w:w="34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20,303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18,212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41,709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37,873</w:t>
            </w:r>
          </w:p>
        </w:tc>
        <w:tc>
          <w:tcPr>
            <w:tcW w:w="0" w:type="dxa"/>
            <w:vAlign w:val="bottom"/>
          </w:tcPr>
          <w:p>
            <w:pPr>
              <w:spacing w:after="0"/>
              <w:rPr>
                <w:sz w:val="1"/>
                <w:szCs w:val="1"/>
                <w:color w:val="auto"/>
              </w:rPr>
            </w:pPr>
          </w:p>
        </w:tc>
      </w:tr>
      <w:tr>
        <w:trPr>
          <w:trHeight w:val="270"/>
        </w:trPr>
        <w:tc>
          <w:tcPr>
            <w:tcW w:w="5480" w:type="dxa"/>
            <w:vAlign w:val="bottom"/>
          </w:tcPr>
          <w:p>
            <w:pPr>
              <w:ind w:left="240"/>
              <w:spacing w:after="0"/>
              <w:rPr>
                <w:sz w:val="20"/>
                <w:szCs w:val="20"/>
                <w:color w:val="auto"/>
              </w:rPr>
            </w:pPr>
            <w:r>
              <w:rPr>
                <w:rFonts w:ascii="Arial" w:cs="Arial" w:eastAsia="Arial" w:hAnsi="Arial"/>
                <w:sz w:val="16"/>
                <w:szCs w:val="16"/>
                <w:color w:val="auto"/>
              </w:rPr>
              <w:t>Pawn service charges</w:t>
            </w:r>
          </w:p>
        </w:tc>
        <w:tc>
          <w:tcPr>
            <w:tcW w:w="34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52,460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78,980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217,407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244,298</w:t>
            </w:r>
          </w:p>
        </w:tc>
        <w:tc>
          <w:tcPr>
            <w:tcW w:w="0" w:type="dxa"/>
            <w:vAlign w:val="bottom"/>
          </w:tcPr>
          <w:p>
            <w:pPr>
              <w:spacing w:after="0"/>
              <w:rPr>
                <w:sz w:val="1"/>
                <w:szCs w:val="1"/>
                <w:color w:val="auto"/>
              </w:rPr>
            </w:pPr>
          </w:p>
        </w:tc>
      </w:tr>
      <w:tr>
        <w:trPr>
          <w:trHeight w:val="270"/>
        </w:trPr>
        <w:tc>
          <w:tcPr>
            <w:tcW w:w="5480" w:type="dxa"/>
            <w:vAlign w:val="bottom"/>
          </w:tcPr>
          <w:p>
            <w:pPr>
              <w:ind w:left="240"/>
              <w:spacing w:after="0"/>
              <w:rPr>
                <w:sz w:val="20"/>
                <w:szCs w:val="20"/>
                <w:color w:val="auto"/>
              </w:rPr>
            </w:pPr>
            <w:r>
              <w:rPr>
                <w:rFonts w:ascii="Arial" w:cs="Arial" w:eastAsia="Arial" w:hAnsi="Arial"/>
                <w:sz w:val="16"/>
                <w:szCs w:val="16"/>
                <w:color w:val="auto"/>
              </w:rPr>
              <w:t>Other revenues</w:t>
            </w:r>
          </w:p>
        </w:tc>
        <w:tc>
          <w:tcPr>
            <w:tcW w:w="34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933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1,371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3,740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4,533</w:t>
            </w:r>
          </w:p>
        </w:tc>
        <w:tc>
          <w:tcPr>
            <w:tcW w:w="0" w:type="dxa"/>
            <w:vAlign w:val="bottom"/>
          </w:tcPr>
          <w:p>
            <w:pPr>
              <w:spacing w:after="0"/>
              <w:rPr>
                <w:sz w:val="1"/>
                <w:szCs w:val="1"/>
                <w:color w:val="auto"/>
              </w:rPr>
            </w:pPr>
          </w:p>
        </w:tc>
      </w:tr>
      <w:tr>
        <w:trPr>
          <w:trHeight w:val="33"/>
        </w:trPr>
        <w:tc>
          <w:tcPr>
            <w:tcW w:w="5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480" w:type="dxa"/>
            <w:vAlign w:val="bottom"/>
          </w:tcPr>
          <w:p>
            <w:pPr>
              <w:ind w:left="460"/>
              <w:spacing w:after="0"/>
              <w:rPr>
                <w:sz w:val="20"/>
                <w:szCs w:val="20"/>
                <w:color w:val="auto"/>
              </w:rPr>
            </w:pPr>
            <w:r>
              <w:rPr>
                <w:rFonts w:ascii="Arial" w:cs="Arial" w:eastAsia="Arial" w:hAnsi="Arial"/>
                <w:sz w:val="16"/>
                <w:szCs w:val="16"/>
                <w:color w:val="auto"/>
              </w:rPr>
              <w:t>Total revenues</w:t>
            </w:r>
          </w:p>
        </w:tc>
        <w:tc>
          <w:tcPr>
            <w:tcW w:w="34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210,233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202,465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655,951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632,890</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6"/>
                <w:szCs w:val="16"/>
                <w:color w:val="auto"/>
              </w:rPr>
              <w:t>Merchandise cost of goods sold</w:t>
            </w:r>
          </w:p>
        </w:tc>
        <w:tc>
          <w:tcPr>
            <w:tcW w:w="34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91,859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70,271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261,711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225,183</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6"/>
                <w:szCs w:val="16"/>
                <w:color w:val="auto"/>
              </w:rPr>
              <w:t>Jewelry scrapping cost of goods sold</w:t>
            </w:r>
          </w:p>
        </w:tc>
        <w:tc>
          <w:tcPr>
            <w:tcW w:w="34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16,158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15,765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33,529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32,648</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6"/>
                <w:szCs w:val="16"/>
                <w:color w:val="auto"/>
              </w:rPr>
              <w:t>Other cost of revenues</w:t>
            </w:r>
          </w:p>
        </w:tc>
        <w:tc>
          <w:tcPr>
            <w:tcW w:w="34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576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1,093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1,467</w:t>
            </w:r>
          </w:p>
        </w:tc>
        <w:tc>
          <w:tcPr>
            <w:tcW w:w="0" w:type="dxa"/>
            <w:vAlign w:val="bottom"/>
          </w:tcPr>
          <w:p>
            <w:pPr>
              <w:spacing w:after="0"/>
              <w:rPr>
                <w:sz w:val="1"/>
                <w:szCs w:val="1"/>
                <w:color w:val="auto"/>
              </w:rPr>
            </w:pPr>
          </w:p>
        </w:tc>
      </w:tr>
      <w:tr>
        <w:trPr>
          <w:trHeight w:val="33"/>
        </w:trPr>
        <w:tc>
          <w:tcPr>
            <w:tcW w:w="5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480" w:type="dxa"/>
            <w:vAlign w:val="bottom"/>
          </w:tcPr>
          <w:p>
            <w:pPr>
              <w:ind w:left="460"/>
              <w:spacing w:after="0"/>
              <w:rPr>
                <w:sz w:val="20"/>
                <w:szCs w:val="20"/>
                <w:color w:val="auto"/>
              </w:rPr>
            </w:pPr>
            <w:r>
              <w:rPr>
                <w:rFonts w:ascii="Arial" w:cs="Arial" w:eastAsia="Arial" w:hAnsi="Arial"/>
                <w:sz w:val="16"/>
                <w:szCs w:val="16"/>
                <w:color w:val="auto"/>
              </w:rPr>
              <w:t>Net revenues</w:t>
            </w:r>
          </w:p>
        </w:tc>
        <w:tc>
          <w:tcPr>
            <w:tcW w:w="34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102,184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115,853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359,618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373,592</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80" w:type="dxa"/>
            <w:vAlign w:val="bottom"/>
          </w:tcPr>
          <w:p>
            <w:pPr>
              <w:ind w:left="240"/>
              <w:spacing w:after="0"/>
              <w:rPr>
                <w:sz w:val="20"/>
                <w:szCs w:val="20"/>
                <w:color w:val="auto"/>
              </w:rPr>
            </w:pPr>
            <w:r>
              <w:rPr>
                <w:rFonts w:ascii="Arial" w:cs="Arial" w:eastAsia="Arial" w:hAnsi="Arial"/>
                <w:sz w:val="16"/>
                <w:szCs w:val="16"/>
                <w:color w:val="auto"/>
              </w:rPr>
              <w:t>Operations</w:t>
            </w:r>
          </w:p>
        </w:tc>
        <w:tc>
          <w:tcPr>
            <w:tcW w:w="34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83,838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86,095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262,835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266,737</w:t>
            </w:r>
          </w:p>
        </w:tc>
        <w:tc>
          <w:tcPr>
            <w:tcW w:w="0" w:type="dxa"/>
            <w:vAlign w:val="bottom"/>
          </w:tcPr>
          <w:p>
            <w:pPr>
              <w:spacing w:after="0"/>
              <w:rPr>
                <w:sz w:val="1"/>
                <w:szCs w:val="1"/>
                <w:color w:val="auto"/>
              </w:rPr>
            </w:pPr>
          </w:p>
        </w:tc>
      </w:tr>
      <w:tr>
        <w:trPr>
          <w:trHeight w:val="270"/>
        </w:trPr>
        <w:tc>
          <w:tcPr>
            <w:tcW w:w="5480" w:type="dxa"/>
            <w:vAlign w:val="bottom"/>
          </w:tcPr>
          <w:p>
            <w:pPr>
              <w:ind w:left="240"/>
              <w:spacing w:after="0"/>
              <w:rPr>
                <w:sz w:val="20"/>
                <w:szCs w:val="20"/>
                <w:color w:val="auto"/>
              </w:rPr>
            </w:pPr>
            <w:r>
              <w:rPr>
                <w:rFonts w:ascii="Arial" w:cs="Arial" w:eastAsia="Arial" w:hAnsi="Arial"/>
                <w:sz w:val="16"/>
                <w:szCs w:val="16"/>
                <w:color w:val="auto"/>
              </w:rPr>
              <w:t>Administrative</w:t>
            </w:r>
          </w:p>
        </w:tc>
        <w:tc>
          <w:tcPr>
            <w:tcW w:w="34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14,688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13,685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46,797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41,814</w:t>
            </w:r>
          </w:p>
        </w:tc>
        <w:tc>
          <w:tcPr>
            <w:tcW w:w="0" w:type="dxa"/>
            <w:vAlign w:val="bottom"/>
          </w:tcPr>
          <w:p>
            <w:pPr>
              <w:spacing w:after="0"/>
              <w:rPr>
                <w:sz w:val="1"/>
                <w:szCs w:val="1"/>
                <w:color w:val="auto"/>
              </w:rPr>
            </w:pPr>
          </w:p>
        </w:tc>
      </w:tr>
      <w:tr>
        <w:trPr>
          <w:trHeight w:val="270"/>
        </w:trPr>
        <w:tc>
          <w:tcPr>
            <w:tcW w:w="5480" w:type="dxa"/>
            <w:vAlign w:val="bottom"/>
          </w:tcPr>
          <w:p>
            <w:pPr>
              <w:ind w:left="240"/>
              <w:spacing w:after="0"/>
              <w:rPr>
                <w:sz w:val="20"/>
                <w:szCs w:val="20"/>
                <w:color w:val="auto"/>
              </w:rPr>
            </w:pPr>
            <w:r>
              <w:rPr>
                <w:rFonts w:ascii="Arial" w:cs="Arial" w:eastAsia="Arial" w:hAnsi="Arial"/>
                <w:sz w:val="16"/>
                <w:szCs w:val="16"/>
                <w:color w:val="auto"/>
              </w:rPr>
              <w:t>Impairment of goodwill and intangible assets</w:t>
            </w:r>
          </w:p>
        </w:tc>
        <w:tc>
          <w:tcPr>
            <w:tcW w:w="34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47,060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48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7,679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7,254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23,174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21,114</w:t>
            </w:r>
          </w:p>
        </w:tc>
        <w:tc>
          <w:tcPr>
            <w:tcW w:w="0" w:type="dxa"/>
            <w:vAlign w:val="bottom"/>
          </w:tcPr>
          <w:p>
            <w:pPr>
              <w:spacing w:after="0"/>
              <w:rPr>
                <w:sz w:val="1"/>
                <w:szCs w:val="1"/>
                <w:color w:val="auto"/>
              </w:rPr>
            </w:pPr>
          </w:p>
        </w:tc>
      </w:tr>
      <w:tr>
        <w:trPr>
          <w:trHeight w:val="270"/>
        </w:trPr>
        <w:tc>
          <w:tcPr>
            <w:tcW w:w="5480" w:type="dxa"/>
            <w:vAlign w:val="bottom"/>
          </w:tcPr>
          <w:p>
            <w:pPr>
              <w:ind w:left="240"/>
              <w:spacing w:after="0"/>
              <w:rPr>
                <w:sz w:val="20"/>
                <w:szCs w:val="20"/>
                <w:color w:val="auto"/>
              </w:rPr>
            </w:pPr>
            <w:r>
              <w:rPr>
                <w:rFonts w:ascii="Arial" w:cs="Arial" w:eastAsia="Arial" w:hAnsi="Arial"/>
                <w:sz w:val="16"/>
                <w:szCs w:val="16"/>
                <w:color w:val="auto"/>
              </w:rPr>
              <w:t>Loss on sale or disposal of assets and other</w:t>
            </w:r>
          </w:p>
        </w:tc>
        <w:tc>
          <w:tcPr>
            <w:tcW w:w="34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1,260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3,643</w:t>
            </w:r>
          </w:p>
        </w:tc>
        <w:tc>
          <w:tcPr>
            <w:tcW w:w="0" w:type="dxa"/>
            <w:vAlign w:val="bottom"/>
          </w:tcPr>
          <w:p>
            <w:pPr>
              <w:spacing w:after="0"/>
              <w:rPr>
                <w:sz w:val="1"/>
                <w:szCs w:val="1"/>
                <w:color w:val="auto"/>
              </w:rPr>
            </w:pPr>
          </w:p>
        </w:tc>
      </w:tr>
      <w:tr>
        <w:trPr>
          <w:trHeight w:val="33"/>
        </w:trPr>
        <w:tc>
          <w:tcPr>
            <w:tcW w:w="5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480" w:type="dxa"/>
            <w:vAlign w:val="bottom"/>
          </w:tcPr>
          <w:p>
            <w:pPr>
              <w:ind w:left="460"/>
              <w:spacing w:after="0"/>
              <w:rPr>
                <w:sz w:val="20"/>
                <w:szCs w:val="20"/>
                <w:color w:val="auto"/>
              </w:rPr>
            </w:pPr>
            <w:r>
              <w:rPr>
                <w:rFonts w:ascii="Arial" w:cs="Arial" w:eastAsia="Arial" w:hAnsi="Arial"/>
                <w:sz w:val="16"/>
                <w:szCs w:val="16"/>
                <w:color w:val="auto"/>
              </w:rPr>
              <w:t>Total operating expenses</w:t>
            </w:r>
          </w:p>
        </w:tc>
        <w:tc>
          <w:tcPr>
            <w:tcW w:w="34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106,460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107,058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381,126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333,308</w:t>
            </w:r>
          </w:p>
        </w:tc>
        <w:tc>
          <w:tcPr>
            <w:tcW w:w="0" w:type="dxa"/>
            <w:vAlign w:val="bottom"/>
          </w:tcPr>
          <w:p>
            <w:pPr>
              <w:spacing w:after="0"/>
              <w:rPr>
                <w:sz w:val="1"/>
                <w:szCs w:val="1"/>
                <w:color w:val="auto"/>
              </w:rPr>
            </w:pPr>
          </w:p>
        </w:tc>
      </w:tr>
      <w:tr>
        <w:trPr>
          <w:trHeight w:val="33"/>
        </w:trPr>
        <w:tc>
          <w:tcPr>
            <w:tcW w:w="5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480" w:type="dxa"/>
            <w:vAlign w:val="bottom"/>
          </w:tcPr>
          <w:p>
            <w:pPr>
              <w:ind w:left="680"/>
              <w:spacing w:after="0"/>
              <w:rPr>
                <w:sz w:val="20"/>
                <w:szCs w:val="20"/>
                <w:color w:val="auto"/>
              </w:rPr>
            </w:pPr>
            <w:r>
              <w:rPr>
                <w:rFonts w:ascii="Arial" w:cs="Arial" w:eastAsia="Arial" w:hAnsi="Arial"/>
                <w:sz w:val="16"/>
                <w:szCs w:val="16"/>
                <w:color w:val="auto"/>
              </w:rPr>
              <w:t>Operating (loss) income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(4,276)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8,795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(21,508)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40,284</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5,379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9,832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16,589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27,212</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6"/>
                <w:szCs w:val="16"/>
                <w:color w:val="auto"/>
              </w:rPr>
              <w:t>Interest income</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(3,172)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(2,412)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(9,637)</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6"/>
                <w:szCs w:val="16"/>
                <w:color w:val="auto"/>
              </w:rPr>
              <w:t>Equity in net (income) loss of unconsolidated affiliates</w:t>
            </w:r>
          </w:p>
        </w:tc>
        <w:tc>
          <w:tcPr>
            <w:tcW w:w="34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1,183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(1,320)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5,896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6"/>
                <w:szCs w:val="16"/>
                <w:color w:val="auto"/>
              </w:rPr>
              <w:t>Impairment of investment in unconsolidated affiliates</w:t>
            </w:r>
          </w:p>
        </w:tc>
        <w:tc>
          <w:tcPr>
            <w:tcW w:w="34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19,725</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6"/>
                <w:szCs w:val="16"/>
                <w:color w:val="auto"/>
              </w:rPr>
              <w:t>Other (income) expense</w:t>
            </w:r>
          </w:p>
        </w:tc>
        <w:tc>
          <w:tcPr>
            <w:tcW w:w="34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33"/>
        </w:trPr>
        <w:tc>
          <w:tcPr>
            <w:tcW w:w="5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480" w:type="dxa"/>
            <w:vAlign w:val="bottom"/>
          </w:tcPr>
          <w:p>
            <w:pPr>
              <w:spacing w:after="0"/>
              <w:rPr>
                <w:sz w:val="20"/>
                <w:szCs w:val="20"/>
                <w:color w:val="auto"/>
              </w:rPr>
            </w:pPr>
            <w:r>
              <w:rPr>
                <w:rFonts w:ascii="Arial" w:cs="Arial" w:eastAsia="Arial" w:hAnsi="Arial"/>
                <w:sz w:val="16"/>
                <w:szCs w:val="16"/>
                <w:color w:val="auto"/>
              </w:rPr>
              <w:t>(Loss) income from continuing operations before income taxes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(10,218)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3,459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(41,299)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3,737</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6"/>
                <w:szCs w:val="16"/>
                <w:color w:val="auto"/>
              </w:rPr>
              <w:t>Income tax (benefit) expense</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(4,751)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3,757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1,377</w:t>
            </w:r>
          </w:p>
        </w:tc>
        <w:tc>
          <w:tcPr>
            <w:tcW w:w="0" w:type="dxa"/>
            <w:vAlign w:val="bottom"/>
          </w:tcPr>
          <w:p>
            <w:pPr>
              <w:spacing w:after="0"/>
              <w:rPr>
                <w:sz w:val="1"/>
                <w:szCs w:val="1"/>
                <w:color w:val="auto"/>
              </w:rPr>
            </w:pPr>
          </w:p>
        </w:tc>
      </w:tr>
      <w:tr>
        <w:trPr>
          <w:trHeight w:val="33"/>
        </w:trPr>
        <w:tc>
          <w:tcPr>
            <w:tcW w:w="5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480" w:type="dxa"/>
            <w:vAlign w:val="bottom"/>
          </w:tcPr>
          <w:p>
            <w:pPr>
              <w:spacing w:after="0"/>
              <w:rPr>
                <w:sz w:val="20"/>
                <w:szCs w:val="20"/>
                <w:color w:val="auto"/>
              </w:rPr>
            </w:pPr>
            <w:r>
              <w:rPr>
                <w:rFonts w:ascii="Arial" w:cs="Arial" w:eastAsia="Arial" w:hAnsi="Arial"/>
                <w:sz w:val="16"/>
                <w:szCs w:val="16"/>
                <w:color w:val="auto"/>
              </w:rPr>
              <w:t>(Loss) income from continuing operations, net of tax</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(5,467)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3,361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(45,056)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2,360</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6"/>
                <w:szCs w:val="16"/>
                <w:color w:val="auto"/>
              </w:rPr>
              <w:t>Loss from discontinued operations, net of tax</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33"/>
        </w:trPr>
        <w:tc>
          <w:tcPr>
            <w:tcW w:w="5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480" w:type="dxa"/>
            <w:vAlign w:val="bottom"/>
          </w:tcPr>
          <w:p>
            <w:pPr>
              <w:spacing w:after="0"/>
              <w:rPr>
                <w:sz w:val="20"/>
                <w:szCs w:val="20"/>
                <w:color w:val="auto"/>
              </w:rPr>
            </w:pPr>
            <w:r>
              <w:rPr>
                <w:rFonts w:ascii="Arial" w:cs="Arial" w:eastAsia="Arial" w:hAnsi="Arial"/>
                <w:sz w:val="16"/>
                <w:szCs w:val="16"/>
                <w:color w:val="auto"/>
              </w:rPr>
              <w:t>Net (loss) income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(5,487)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3,158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(45,123)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1,956</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6"/>
                <w:szCs w:val="16"/>
                <w:color w:val="auto"/>
              </w:rPr>
              <w:t>Net loss attributable to noncontrolling interest</w:t>
            </w:r>
          </w:p>
        </w:tc>
        <w:tc>
          <w:tcPr>
            <w:tcW w:w="34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(1,230)</w:t>
            </w:r>
          </w:p>
        </w:tc>
        <w:tc>
          <w:tcPr>
            <w:tcW w:w="0" w:type="dxa"/>
            <w:vAlign w:val="bottom"/>
          </w:tcPr>
          <w:p>
            <w:pPr>
              <w:spacing w:after="0"/>
              <w:rPr>
                <w:sz w:val="1"/>
                <w:szCs w:val="1"/>
                <w:color w:val="auto"/>
              </w:rPr>
            </w:pPr>
          </w:p>
        </w:tc>
      </w:tr>
      <w:tr>
        <w:trPr>
          <w:trHeight w:val="33"/>
        </w:trPr>
        <w:tc>
          <w:tcPr>
            <w:tcW w:w="5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480" w:type="dxa"/>
            <w:vAlign w:val="bottom"/>
          </w:tcPr>
          <w:p>
            <w:pPr>
              <w:spacing w:after="0"/>
              <w:rPr>
                <w:sz w:val="20"/>
                <w:szCs w:val="20"/>
                <w:color w:val="auto"/>
              </w:rPr>
            </w:pPr>
            <w:r>
              <w:rPr>
                <w:rFonts w:ascii="Arial" w:cs="Arial" w:eastAsia="Arial" w:hAnsi="Arial"/>
                <w:sz w:val="16"/>
                <w:szCs w:val="16"/>
                <w:color w:val="auto"/>
              </w:rPr>
              <w:t>Net (loss) income attributable to EZCORP, Inc.</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(5,487)</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3,158</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(45,123)</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3,186</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6"/>
                <w:szCs w:val="16"/>
                <w:color w:val="auto"/>
              </w:rPr>
              <w:t>Basic (loss) earnings per share attributable to EZCORP, Inc. — continuing</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54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480" w:type="dxa"/>
            <w:vAlign w:val="bottom"/>
          </w:tcPr>
          <w:p>
            <w:pPr>
              <w:spacing w:after="0"/>
              <w:rPr>
                <w:sz w:val="20"/>
                <w:szCs w:val="20"/>
                <w:color w:val="auto"/>
              </w:rPr>
            </w:pPr>
            <w:r>
              <w:rPr>
                <w:rFonts w:ascii="Arial" w:cs="Arial" w:eastAsia="Arial" w:hAnsi="Arial"/>
                <w:sz w:val="16"/>
                <w:szCs w:val="16"/>
                <w:color w:val="auto"/>
              </w:rPr>
              <w:t>operations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(0.10)</w:t>
            </w:r>
          </w:p>
        </w:tc>
        <w:tc>
          <w:tcPr>
            <w:tcW w:w="120" w:type="dxa"/>
            <w:vAlign w:val="bottom"/>
          </w:tcPr>
          <w:p>
            <w:pPr>
              <w:spacing w:after="0"/>
              <w:rPr>
                <w:sz w:val="17"/>
                <w:szCs w:val="17"/>
                <w:color w:val="auto"/>
              </w:rPr>
            </w:pPr>
          </w:p>
        </w:tc>
        <w:tc>
          <w:tcPr>
            <w:tcW w:w="3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17"/>
                <w:szCs w:val="17"/>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(0.81)</w:t>
            </w:r>
          </w:p>
        </w:tc>
        <w:tc>
          <w:tcPr>
            <w:tcW w:w="100" w:type="dxa"/>
            <w:vAlign w:val="bottom"/>
          </w:tcPr>
          <w:p>
            <w:pPr>
              <w:spacing w:after="0"/>
              <w:rPr>
                <w:sz w:val="17"/>
                <w:szCs w:val="17"/>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53"/>
        </w:trPr>
        <w:tc>
          <w:tcPr>
            <w:tcW w:w="5480" w:type="dxa"/>
            <w:vAlign w:val="bottom"/>
          </w:tcPr>
          <w:p>
            <w:pPr>
              <w:spacing w:after="0"/>
              <w:rPr>
                <w:sz w:val="20"/>
                <w:szCs w:val="20"/>
                <w:color w:val="auto"/>
              </w:rPr>
            </w:pPr>
            <w:r>
              <w:rPr>
                <w:rFonts w:ascii="Arial" w:cs="Arial" w:eastAsia="Arial" w:hAnsi="Arial"/>
                <w:sz w:val="16"/>
                <w:szCs w:val="16"/>
                <w:color w:val="auto"/>
              </w:rPr>
              <w:t>Diluted (loss) earnings per share attributable to EZCORP, Inc. — continuing</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480" w:type="dxa"/>
            <w:vAlign w:val="bottom"/>
          </w:tcPr>
          <w:p>
            <w:pPr>
              <w:spacing w:after="0"/>
              <w:rPr>
                <w:sz w:val="20"/>
                <w:szCs w:val="20"/>
                <w:color w:val="auto"/>
              </w:rPr>
            </w:pPr>
            <w:r>
              <w:rPr>
                <w:rFonts w:ascii="Arial" w:cs="Arial" w:eastAsia="Arial" w:hAnsi="Arial"/>
                <w:sz w:val="16"/>
                <w:szCs w:val="16"/>
                <w:color w:val="auto"/>
              </w:rPr>
              <w:t>operations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(0.10)</w:t>
            </w:r>
          </w:p>
        </w:tc>
        <w:tc>
          <w:tcPr>
            <w:tcW w:w="120" w:type="dxa"/>
            <w:vAlign w:val="bottom"/>
          </w:tcPr>
          <w:p>
            <w:pPr>
              <w:spacing w:after="0"/>
              <w:rPr>
                <w:sz w:val="17"/>
                <w:szCs w:val="17"/>
                <w:color w:val="auto"/>
              </w:rPr>
            </w:pPr>
          </w:p>
        </w:tc>
        <w:tc>
          <w:tcPr>
            <w:tcW w:w="3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17"/>
                <w:szCs w:val="17"/>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(0.81)</w:t>
            </w:r>
          </w:p>
        </w:tc>
        <w:tc>
          <w:tcPr>
            <w:tcW w:w="100" w:type="dxa"/>
            <w:vAlign w:val="bottom"/>
          </w:tcPr>
          <w:p>
            <w:pPr>
              <w:spacing w:after="0"/>
              <w:rPr>
                <w:sz w:val="17"/>
                <w:szCs w:val="17"/>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540"/>
        </w:trPr>
        <w:tc>
          <w:tcPr>
            <w:tcW w:w="5480" w:type="dxa"/>
            <w:vAlign w:val="bottom"/>
          </w:tcPr>
          <w:p>
            <w:pPr>
              <w:spacing w:after="0"/>
              <w:rPr>
                <w:sz w:val="20"/>
                <w:szCs w:val="20"/>
                <w:color w:val="auto"/>
              </w:rPr>
            </w:pPr>
            <w:r>
              <w:rPr>
                <w:rFonts w:ascii="Arial" w:cs="Arial" w:eastAsia="Arial" w:hAnsi="Arial"/>
                <w:sz w:val="16"/>
                <w:szCs w:val="16"/>
                <w:color w:val="auto"/>
              </w:rPr>
              <w:t>Weighted-average basic shares outstanding</w:t>
            </w:r>
          </w:p>
        </w:tc>
        <w:tc>
          <w:tcPr>
            <w:tcW w:w="340" w:type="dxa"/>
            <w:vAlign w:val="bottom"/>
          </w:tcPr>
          <w:p>
            <w:pPr>
              <w:spacing w:after="0"/>
              <w:rPr>
                <w:sz w:val="24"/>
                <w:szCs w:val="24"/>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55,068</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55,445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55,395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55,306</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6"/>
                <w:szCs w:val="16"/>
                <w:color w:val="auto"/>
              </w:rPr>
              <w:t>Weighted-average diluted shares outstanding</w:t>
            </w:r>
          </w:p>
        </w:tc>
        <w:tc>
          <w:tcPr>
            <w:tcW w:w="34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55,231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55,487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55,483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55,327</w:t>
            </w:r>
          </w:p>
        </w:tc>
        <w:tc>
          <w:tcPr>
            <w:tcW w:w="0" w:type="dxa"/>
            <w:vAlign w:val="bottom"/>
          </w:tcPr>
          <w:p>
            <w:pPr>
              <w:spacing w:after="0"/>
              <w:rPr>
                <w:sz w:val="1"/>
                <w:szCs w:val="1"/>
                <w:color w:val="auto"/>
              </w:rPr>
            </w:pPr>
          </w:p>
        </w:tc>
      </w:tr>
    </w:tbl>
    <w:p>
      <w:pPr>
        <w:sectPr>
          <w:pgSz w:w="11900" w:h="16838" w:orient="portrait"/>
          <w:cols w:equalWidth="0" w:num="1">
            <w:col w:w="11200"/>
          </w:cols>
          <w:pgMar w:left="360" w:top="963"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i w:val="1"/>
          <w:iCs w:val="1"/>
          <w:color w:val="auto"/>
        </w:rPr>
        <w:t>(in thousands, except share and per share amounts)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ind w:left="120"/>
              <w:spacing w:after="0"/>
              <w:rPr>
                <w:sz w:val="20"/>
                <w:szCs w:val="20"/>
                <w:color w:val="auto"/>
              </w:rPr>
            </w:pPr>
            <w:r>
              <w:rPr>
                <w:rFonts w:ascii="Arial" w:cs="Arial" w:eastAsia="Arial" w:hAnsi="Arial"/>
                <w:sz w:val="13"/>
                <w:szCs w:val="13"/>
                <w:b w:val="1"/>
                <w:bCs w:val="1"/>
                <w:color w:val="auto"/>
              </w:rPr>
              <w:t>June 30,</w:t>
            </w:r>
          </w:p>
        </w:tc>
        <w:tc>
          <w:tcPr>
            <w:tcW w:w="280" w:type="dxa"/>
            <w:vAlign w:val="bottom"/>
          </w:tcPr>
          <w:p>
            <w:pPr>
              <w:spacing w:after="0"/>
              <w:rPr>
                <w:sz w:val="13"/>
                <w:szCs w:val="13"/>
                <w:color w:val="auto"/>
              </w:rPr>
            </w:pPr>
          </w:p>
        </w:tc>
        <w:tc>
          <w:tcPr>
            <w:tcW w:w="940" w:type="dxa"/>
            <w:vAlign w:val="bottom"/>
            <w:gridSpan w:val="2"/>
          </w:tcPr>
          <w:p>
            <w:pPr>
              <w:ind w:left="40"/>
              <w:spacing w:after="0"/>
              <w:rPr>
                <w:sz w:val="20"/>
                <w:szCs w:val="20"/>
                <w:color w:val="auto"/>
              </w:rPr>
            </w:pPr>
            <w:r>
              <w:rPr>
                <w:rFonts w:ascii="Arial" w:cs="Arial" w:eastAsia="Arial" w:hAnsi="Arial"/>
                <w:sz w:val="13"/>
                <w:szCs w:val="13"/>
                <w:b w:val="1"/>
                <w:bCs w:val="1"/>
                <w:color w:val="auto"/>
              </w:rPr>
              <w:t>June 30,</w:t>
            </w:r>
          </w:p>
        </w:tc>
        <w:tc>
          <w:tcPr>
            <w:tcW w:w="120" w:type="dxa"/>
            <w:vAlign w:val="bottom"/>
          </w:tcPr>
          <w:p>
            <w:pPr>
              <w:spacing w:after="0"/>
              <w:rPr>
                <w:sz w:val="13"/>
                <w:szCs w:val="13"/>
                <w:color w:val="auto"/>
              </w:rPr>
            </w:pPr>
          </w:p>
        </w:tc>
        <w:tc>
          <w:tcPr>
            <w:tcW w:w="980" w:type="dxa"/>
            <w:vAlign w:val="bottom"/>
          </w:tcPr>
          <w:p>
            <w:pPr>
              <w:jc w:val="right"/>
              <w:ind w:right="109"/>
              <w:spacing w:after="0"/>
              <w:rPr>
                <w:sz w:val="20"/>
                <w:szCs w:val="20"/>
                <w:color w:val="auto"/>
              </w:rPr>
            </w:pPr>
            <w:r>
              <w:rPr>
                <w:rFonts w:ascii="Arial" w:cs="Arial" w:eastAsia="Arial" w:hAnsi="Arial"/>
                <w:sz w:val="13"/>
                <w:szCs w:val="13"/>
                <w:b w:val="1"/>
                <w:bCs w:val="1"/>
                <w:color w:val="auto"/>
                <w:w w:val="87"/>
              </w:rPr>
              <w:t>September 30,</w:t>
            </w:r>
          </w:p>
        </w:tc>
        <w:tc>
          <w:tcPr>
            <w:tcW w:w="0" w:type="dxa"/>
            <w:vAlign w:val="bottom"/>
          </w:tcPr>
          <w:p>
            <w:pPr>
              <w:spacing w:after="0"/>
              <w:rPr>
                <w:sz w:val="1"/>
                <w:szCs w:val="1"/>
                <w:color w:val="auto"/>
              </w:rPr>
            </w:pPr>
          </w:p>
        </w:tc>
      </w:tr>
      <w:tr>
        <w:trPr>
          <w:trHeight w:val="174"/>
        </w:trPr>
        <w:tc>
          <w:tcPr>
            <w:tcW w:w="76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376"/>
        </w:trPr>
        <w:tc>
          <w:tcPr>
            <w:tcW w:w="7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13"/>
                <w:szCs w:val="13"/>
                <w:b w:val="1"/>
                <w:bCs w:val="1"/>
                <w:color w:val="auto"/>
              </w:rPr>
              <w:t>(Unaudited)</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7600" w:type="dxa"/>
            <w:vAlign w:val="bottom"/>
          </w:tcPr>
          <w:p>
            <w:pPr>
              <w:spacing w:after="0"/>
              <w:rPr>
                <w:sz w:val="20"/>
                <w:szCs w:val="20"/>
                <w:color w:val="auto"/>
              </w:rPr>
            </w:pPr>
            <w:r>
              <w:rPr>
                <w:rFonts w:ascii="Arial" w:cs="Arial" w:eastAsia="Arial" w:hAnsi="Arial"/>
                <w:sz w:val="14"/>
                <w:szCs w:val="14"/>
                <w:color w:val="auto"/>
              </w:rPr>
              <w:t>Assets:</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00" w:type="dxa"/>
            <w:vAlign w:val="bottom"/>
          </w:tcPr>
          <w:p>
            <w:pPr>
              <w:ind w:left="240"/>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00" w:type="dxa"/>
            <w:vAlign w:val="bottom"/>
          </w:tcPr>
          <w:p>
            <w:pPr>
              <w:ind w:left="460"/>
              <w:spacing w:after="0"/>
              <w:rPr>
                <w:sz w:val="20"/>
                <w:szCs w:val="20"/>
                <w:color w:val="auto"/>
              </w:rPr>
            </w:pPr>
            <w:r>
              <w:rPr>
                <w:rFonts w:ascii="Arial" w:cs="Arial" w:eastAsia="Arial" w:hAnsi="Arial"/>
                <w:sz w:val="14"/>
                <w:szCs w:val="14"/>
                <w:color w:val="auto"/>
              </w:rPr>
              <w:t>Cash and cash equivalents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311,130</w:t>
            </w:r>
          </w:p>
        </w:tc>
        <w:tc>
          <w:tcPr>
            <w:tcW w:w="1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138,922</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157,567</w:t>
            </w:r>
          </w:p>
        </w:tc>
        <w:tc>
          <w:tcPr>
            <w:tcW w:w="0" w:type="dxa"/>
            <w:vAlign w:val="bottom"/>
          </w:tcPr>
          <w:p>
            <w:pPr>
              <w:spacing w:after="0"/>
              <w:rPr>
                <w:sz w:val="1"/>
                <w:szCs w:val="1"/>
                <w:color w:val="auto"/>
              </w:rPr>
            </w:pPr>
          </w:p>
        </w:tc>
      </w:tr>
      <w:tr>
        <w:trPr>
          <w:trHeight w:val="270"/>
        </w:trPr>
        <w:tc>
          <w:tcPr>
            <w:tcW w:w="7600" w:type="dxa"/>
            <w:vAlign w:val="bottom"/>
          </w:tcPr>
          <w:p>
            <w:pPr>
              <w:ind w:left="460"/>
              <w:spacing w:after="0"/>
              <w:rPr>
                <w:sz w:val="20"/>
                <w:szCs w:val="20"/>
                <w:color w:val="auto"/>
              </w:rPr>
            </w:pPr>
            <w:r>
              <w:rPr>
                <w:rFonts w:ascii="Arial" w:cs="Arial" w:eastAsia="Arial" w:hAnsi="Arial"/>
                <w:sz w:val="14"/>
                <w:szCs w:val="14"/>
                <w:color w:val="auto"/>
              </w:rPr>
              <w:t>Restricted cash</w:t>
            </w:r>
          </w:p>
        </w:tc>
        <w:tc>
          <w:tcPr>
            <w:tcW w:w="220" w:type="dxa"/>
            <w:vAlign w:val="bottom"/>
          </w:tcPr>
          <w:p>
            <w:pPr>
              <w:spacing w:after="0"/>
              <w:rPr>
                <w:sz w:val="23"/>
                <w:szCs w:val="23"/>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4,000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4,875</w:t>
            </w:r>
          </w:p>
        </w:tc>
        <w:tc>
          <w:tcPr>
            <w:tcW w:w="0" w:type="dxa"/>
            <w:vAlign w:val="bottom"/>
          </w:tcPr>
          <w:p>
            <w:pPr>
              <w:spacing w:after="0"/>
              <w:rPr>
                <w:sz w:val="1"/>
                <w:szCs w:val="1"/>
                <w:color w:val="auto"/>
              </w:rPr>
            </w:pPr>
          </w:p>
        </w:tc>
      </w:tr>
      <w:tr>
        <w:trPr>
          <w:trHeight w:val="270"/>
        </w:trPr>
        <w:tc>
          <w:tcPr>
            <w:tcW w:w="7600" w:type="dxa"/>
            <w:vAlign w:val="bottom"/>
          </w:tcPr>
          <w:p>
            <w:pPr>
              <w:ind w:left="460"/>
              <w:spacing w:after="0"/>
              <w:rPr>
                <w:sz w:val="20"/>
                <w:szCs w:val="20"/>
                <w:color w:val="auto"/>
              </w:rPr>
            </w:pPr>
            <w:r>
              <w:rPr>
                <w:rFonts w:ascii="Arial" w:cs="Arial" w:eastAsia="Arial" w:hAnsi="Arial"/>
                <w:sz w:val="14"/>
                <w:szCs w:val="14"/>
                <w:color w:val="auto"/>
              </w:rPr>
              <w:t>Pawn loans</w:t>
            </w:r>
          </w:p>
        </w:tc>
        <w:tc>
          <w:tcPr>
            <w:tcW w:w="220" w:type="dxa"/>
            <w:vAlign w:val="bottom"/>
          </w:tcPr>
          <w:p>
            <w:pPr>
              <w:spacing w:after="0"/>
              <w:rPr>
                <w:sz w:val="23"/>
                <w:szCs w:val="23"/>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113,290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190,299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199,058</w:t>
            </w:r>
          </w:p>
        </w:tc>
        <w:tc>
          <w:tcPr>
            <w:tcW w:w="0" w:type="dxa"/>
            <w:vAlign w:val="bottom"/>
          </w:tcPr>
          <w:p>
            <w:pPr>
              <w:spacing w:after="0"/>
              <w:rPr>
                <w:sz w:val="1"/>
                <w:szCs w:val="1"/>
                <w:color w:val="auto"/>
              </w:rPr>
            </w:pPr>
          </w:p>
        </w:tc>
      </w:tr>
      <w:tr>
        <w:trPr>
          <w:trHeight w:val="270"/>
        </w:trPr>
        <w:tc>
          <w:tcPr>
            <w:tcW w:w="7600" w:type="dxa"/>
            <w:vAlign w:val="bottom"/>
          </w:tcPr>
          <w:p>
            <w:pPr>
              <w:ind w:left="460"/>
              <w:spacing w:after="0"/>
              <w:rPr>
                <w:sz w:val="20"/>
                <w:szCs w:val="20"/>
                <w:color w:val="auto"/>
              </w:rPr>
            </w:pPr>
            <w:r>
              <w:rPr>
                <w:rFonts w:ascii="Arial" w:cs="Arial" w:eastAsia="Arial" w:hAnsi="Arial"/>
                <w:sz w:val="14"/>
                <w:szCs w:val="14"/>
                <w:color w:val="auto"/>
              </w:rPr>
              <w:t>Pawn service charges receivable, net</w:t>
            </w:r>
          </w:p>
        </w:tc>
        <w:tc>
          <w:tcPr>
            <w:tcW w:w="220" w:type="dxa"/>
            <w:vAlign w:val="bottom"/>
          </w:tcPr>
          <w:p>
            <w:pPr>
              <w:spacing w:after="0"/>
              <w:rPr>
                <w:sz w:val="23"/>
                <w:szCs w:val="23"/>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17,432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29,847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31,802</w:t>
            </w:r>
          </w:p>
        </w:tc>
        <w:tc>
          <w:tcPr>
            <w:tcW w:w="0" w:type="dxa"/>
            <w:vAlign w:val="bottom"/>
          </w:tcPr>
          <w:p>
            <w:pPr>
              <w:spacing w:after="0"/>
              <w:rPr>
                <w:sz w:val="1"/>
                <w:szCs w:val="1"/>
                <w:color w:val="auto"/>
              </w:rPr>
            </w:pPr>
          </w:p>
        </w:tc>
      </w:tr>
      <w:tr>
        <w:trPr>
          <w:trHeight w:val="270"/>
        </w:trPr>
        <w:tc>
          <w:tcPr>
            <w:tcW w:w="7600" w:type="dxa"/>
            <w:vAlign w:val="bottom"/>
          </w:tcPr>
          <w:p>
            <w:pPr>
              <w:ind w:left="460"/>
              <w:spacing w:after="0"/>
              <w:rPr>
                <w:sz w:val="20"/>
                <w:szCs w:val="20"/>
                <w:color w:val="auto"/>
              </w:rPr>
            </w:pPr>
            <w:r>
              <w:rPr>
                <w:rFonts w:ascii="Arial" w:cs="Arial" w:eastAsia="Arial" w:hAnsi="Arial"/>
                <w:sz w:val="14"/>
                <w:szCs w:val="14"/>
                <w:color w:val="auto"/>
              </w:rPr>
              <w:t>Inventory, net</w:t>
            </w:r>
          </w:p>
        </w:tc>
        <w:tc>
          <w:tcPr>
            <w:tcW w:w="220" w:type="dxa"/>
            <w:vAlign w:val="bottom"/>
          </w:tcPr>
          <w:p>
            <w:pPr>
              <w:spacing w:after="0"/>
              <w:rPr>
                <w:sz w:val="23"/>
                <w:szCs w:val="23"/>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123,112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175,802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179,355</w:t>
            </w:r>
          </w:p>
        </w:tc>
        <w:tc>
          <w:tcPr>
            <w:tcW w:w="0" w:type="dxa"/>
            <w:vAlign w:val="bottom"/>
          </w:tcPr>
          <w:p>
            <w:pPr>
              <w:spacing w:after="0"/>
              <w:rPr>
                <w:sz w:val="1"/>
                <w:szCs w:val="1"/>
                <w:color w:val="auto"/>
              </w:rPr>
            </w:pPr>
          </w:p>
        </w:tc>
      </w:tr>
      <w:tr>
        <w:trPr>
          <w:trHeight w:val="270"/>
        </w:trPr>
        <w:tc>
          <w:tcPr>
            <w:tcW w:w="7600" w:type="dxa"/>
            <w:vAlign w:val="bottom"/>
          </w:tcPr>
          <w:p>
            <w:pPr>
              <w:ind w:left="460"/>
              <w:spacing w:after="0"/>
              <w:rPr>
                <w:sz w:val="20"/>
                <w:szCs w:val="20"/>
                <w:color w:val="auto"/>
              </w:rPr>
            </w:pPr>
            <w:r>
              <w:rPr>
                <w:rFonts w:ascii="Arial" w:cs="Arial" w:eastAsia="Arial" w:hAnsi="Arial"/>
                <w:sz w:val="14"/>
                <w:szCs w:val="14"/>
                <w:color w:val="auto"/>
              </w:rPr>
              <w:t>Notes receivable, net</w:t>
            </w:r>
          </w:p>
        </w:tc>
        <w:tc>
          <w:tcPr>
            <w:tcW w:w="220" w:type="dxa"/>
            <w:vAlign w:val="bottom"/>
          </w:tcPr>
          <w:p>
            <w:pPr>
              <w:spacing w:after="0"/>
              <w:rPr>
                <w:sz w:val="23"/>
                <w:szCs w:val="23"/>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3,866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16,166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7,182</w:t>
            </w:r>
          </w:p>
        </w:tc>
        <w:tc>
          <w:tcPr>
            <w:tcW w:w="0" w:type="dxa"/>
            <w:vAlign w:val="bottom"/>
          </w:tcPr>
          <w:p>
            <w:pPr>
              <w:spacing w:after="0"/>
              <w:rPr>
                <w:sz w:val="1"/>
                <w:szCs w:val="1"/>
                <w:color w:val="auto"/>
              </w:rPr>
            </w:pPr>
          </w:p>
        </w:tc>
      </w:tr>
      <w:tr>
        <w:trPr>
          <w:trHeight w:val="276"/>
        </w:trPr>
        <w:tc>
          <w:tcPr>
            <w:tcW w:w="7600" w:type="dxa"/>
            <w:vAlign w:val="bottom"/>
          </w:tcPr>
          <w:p>
            <w:pPr>
              <w:ind w:left="46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25,754</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37,365</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25,921</w:t>
            </w:r>
          </w:p>
        </w:tc>
        <w:tc>
          <w:tcPr>
            <w:tcW w:w="0" w:type="dxa"/>
            <w:vAlign w:val="bottom"/>
          </w:tcPr>
          <w:p>
            <w:pPr>
              <w:spacing w:after="0"/>
              <w:rPr>
                <w:sz w:val="1"/>
                <w:szCs w:val="1"/>
                <w:color w:val="auto"/>
              </w:rPr>
            </w:pPr>
          </w:p>
        </w:tc>
      </w:tr>
      <w:tr>
        <w:trPr>
          <w:trHeight w:val="244"/>
        </w:trPr>
        <w:tc>
          <w:tcPr>
            <w:tcW w:w="760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220" w:type="dxa"/>
            <w:vAlign w:val="bottom"/>
          </w:tcPr>
          <w:p>
            <w:pPr>
              <w:spacing w:after="0"/>
              <w:rPr>
                <w:sz w:val="21"/>
                <w:szCs w:val="21"/>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598,584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588,401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605,760</w:t>
            </w:r>
          </w:p>
        </w:tc>
        <w:tc>
          <w:tcPr>
            <w:tcW w:w="0" w:type="dxa"/>
            <w:vAlign w:val="bottom"/>
          </w:tcPr>
          <w:p>
            <w:pPr>
              <w:spacing w:after="0"/>
              <w:rPr>
                <w:sz w:val="1"/>
                <w:szCs w:val="1"/>
                <w:color w:val="auto"/>
              </w:rPr>
            </w:pPr>
          </w:p>
        </w:tc>
      </w:tr>
      <w:tr>
        <w:trPr>
          <w:trHeight w:val="270"/>
        </w:trPr>
        <w:tc>
          <w:tcPr>
            <w:tcW w:w="7600" w:type="dxa"/>
            <w:vAlign w:val="bottom"/>
          </w:tcPr>
          <w:p>
            <w:pPr>
              <w:ind w:left="240"/>
              <w:spacing w:after="0"/>
              <w:rPr>
                <w:sz w:val="20"/>
                <w:szCs w:val="20"/>
                <w:color w:val="auto"/>
              </w:rPr>
            </w:pPr>
            <w:r>
              <w:rPr>
                <w:rFonts w:ascii="Arial" w:cs="Arial" w:eastAsia="Arial" w:hAnsi="Arial"/>
                <w:sz w:val="14"/>
                <w:szCs w:val="14"/>
                <w:color w:val="auto"/>
              </w:rPr>
              <w:t>Investments in unconsolidated affiliates</w:t>
            </w:r>
          </w:p>
        </w:tc>
        <w:tc>
          <w:tcPr>
            <w:tcW w:w="220" w:type="dxa"/>
            <w:vAlign w:val="bottom"/>
          </w:tcPr>
          <w:p>
            <w:pPr>
              <w:spacing w:after="0"/>
              <w:rPr>
                <w:sz w:val="23"/>
                <w:szCs w:val="23"/>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29,483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30,922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34,516</w:t>
            </w:r>
          </w:p>
        </w:tc>
        <w:tc>
          <w:tcPr>
            <w:tcW w:w="0" w:type="dxa"/>
            <w:vAlign w:val="bottom"/>
          </w:tcPr>
          <w:p>
            <w:pPr>
              <w:spacing w:after="0"/>
              <w:rPr>
                <w:sz w:val="1"/>
                <w:szCs w:val="1"/>
                <w:color w:val="auto"/>
              </w:rPr>
            </w:pPr>
          </w:p>
        </w:tc>
      </w:tr>
      <w:tr>
        <w:trPr>
          <w:trHeight w:val="270"/>
        </w:trPr>
        <w:tc>
          <w:tcPr>
            <w:tcW w:w="7600" w:type="dxa"/>
            <w:vAlign w:val="bottom"/>
          </w:tcPr>
          <w:p>
            <w:pPr>
              <w:ind w:left="240"/>
              <w:spacing w:after="0"/>
              <w:rPr>
                <w:sz w:val="20"/>
                <w:szCs w:val="20"/>
                <w:color w:val="auto"/>
              </w:rPr>
            </w:pPr>
            <w:r>
              <w:rPr>
                <w:rFonts w:ascii="Arial" w:cs="Arial" w:eastAsia="Arial" w:hAnsi="Arial"/>
                <w:sz w:val="14"/>
                <w:szCs w:val="14"/>
                <w:color w:val="auto"/>
              </w:rPr>
              <w:t>Property and equipment, net</w:t>
            </w:r>
          </w:p>
        </w:tc>
        <w:tc>
          <w:tcPr>
            <w:tcW w:w="220" w:type="dxa"/>
            <w:vAlign w:val="bottom"/>
          </w:tcPr>
          <w:p>
            <w:pPr>
              <w:spacing w:after="0"/>
              <w:rPr>
                <w:sz w:val="23"/>
                <w:szCs w:val="23"/>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58,098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66,214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67,357</w:t>
            </w:r>
          </w:p>
        </w:tc>
        <w:tc>
          <w:tcPr>
            <w:tcW w:w="0" w:type="dxa"/>
            <w:vAlign w:val="bottom"/>
          </w:tcPr>
          <w:p>
            <w:pPr>
              <w:spacing w:after="0"/>
              <w:rPr>
                <w:sz w:val="1"/>
                <w:szCs w:val="1"/>
                <w:color w:val="auto"/>
              </w:rPr>
            </w:pPr>
          </w:p>
        </w:tc>
      </w:tr>
      <w:tr>
        <w:trPr>
          <w:trHeight w:val="270"/>
        </w:trPr>
        <w:tc>
          <w:tcPr>
            <w:tcW w:w="7600" w:type="dxa"/>
            <w:vAlign w:val="bottom"/>
          </w:tcPr>
          <w:p>
            <w:pPr>
              <w:ind w:left="240"/>
              <w:spacing w:after="0"/>
              <w:rPr>
                <w:sz w:val="20"/>
                <w:szCs w:val="20"/>
                <w:color w:val="auto"/>
              </w:rPr>
            </w:pPr>
            <w:r>
              <w:rPr>
                <w:rFonts w:ascii="Arial" w:cs="Arial" w:eastAsia="Arial" w:hAnsi="Arial"/>
                <w:sz w:val="14"/>
                <w:szCs w:val="14"/>
                <w:color w:val="auto"/>
              </w:rPr>
              <w:t>Lease right-of-use asset</w:t>
            </w:r>
          </w:p>
        </w:tc>
        <w:tc>
          <w:tcPr>
            <w:tcW w:w="220" w:type="dxa"/>
            <w:vAlign w:val="bottom"/>
          </w:tcPr>
          <w:p>
            <w:pPr>
              <w:spacing w:after="0"/>
              <w:rPr>
                <w:sz w:val="23"/>
                <w:szCs w:val="23"/>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204,591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7600" w:type="dxa"/>
            <w:vAlign w:val="bottom"/>
          </w:tcPr>
          <w:p>
            <w:pPr>
              <w:ind w:left="240"/>
              <w:spacing w:after="0"/>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23"/>
                <w:szCs w:val="23"/>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257,326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300,700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300,527</w:t>
            </w:r>
          </w:p>
        </w:tc>
        <w:tc>
          <w:tcPr>
            <w:tcW w:w="0" w:type="dxa"/>
            <w:vAlign w:val="bottom"/>
          </w:tcPr>
          <w:p>
            <w:pPr>
              <w:spacing w:after="0"/>
              <w:rPr>
                <w:sz w:val="1"/>
                <w:szCs w:val="1"/>
                <w:color w:val="auto"/>
              </w:rPr>
            </w:pPr>
          </w:p>
        </w:tc>
      </w:tr>
      <w:tr>
        <w:trPr>
          <w:trHeight w:val="270"/>
        </w:trPr>
        <w:tc>
          <w:tcPr>
            <w:tcW w:w="7600" w:type="dxa"/>
            <w:vAlign w:val="bottom"/>
          </w:tcPr>
          <w:p>
            <w:pPr>
              <w:ind w:left="240"/>
              <w:spacing w:after="0"/>
              <w:rPr>
                <w:sz w:val="20"/>
                <w:szCs w:val="20"/>
                <w:color w:val="auto"/>
              </w:rPr>
            </w:pPr>
            <w:r>
              <w:rPr>
                <w:rFonts w:ascii="Arial" w:cs="Arial" w:eastAsia="Arial" w:hAnsi="Arial"/>
                <w:sz w:val="14"/>
                <w:szCs w:val="14"/>
                <w:color w:val="auto"/>
              </w:rPr>
              <w:t>Intangible assets, net</w:t>
            </w:r>
          </w:p>
        </w:tc>
        <w:tc>
          <w:tcPr>
            <w:tcW w:w="220" w:type="dxa"/>
            <w:vAlign w:val="bottom"/>
          </w:tcPr>
          <w:p>
            <w:pPr>
              <w:spacing w:after="0"/>
              <w:rPr>
                <w:sz w:val="23"/>
                <w:szCs w:val="23"/>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65,003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63,646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68,044</w:t>
            </w:r>
          </w:p>
        </w:tc>
        <w:tc>
          <w:tcPr>
            <w:tcW w:w="0" w:type="dxa"/>
            <w:vAlign w:val="bottom"/>
          </w:tcPr>
          <w:p>
            <w:pPr>
              <w:spacing w:after="0"/>
              <w:rPr>
                <w:sz w:val="1"/>
                <w:szCs w:val="1"/>
                <w:color w:val="auto"/>
              </w:rPr>
            </w:pPr>
          </w:p>
        </w:tc>
      </w:tr>
      <w:tr>
        <w:trPr>
          <w:trHeight w:val="270"/>
        </w:trPr>
        <w:tc>
          <w:tcPr>
            <w:tcW w:w="7600" w:type="dxa"/>
            <w:vAlign w:val="bottom"/>
          </w:tcPr>
          <w:p>
            <w:pPr>
              <w:ind w:left="240"/>
              <w:spacing w:after="0"/>
              <w:rPr>
                <w:sz w:val="20"/>
                <w:szCs w:val="20"/>
                <w:color w:val="auto"/>
              </w:rPr>
            </w:pPr>
            <w:r>
              <w:rPr>
                <w:rFonts w:ascii="Arial" w:cs="Arial" w:eastAsia="Arial" w:hAnsi="Arial"/>
                <w:sz w:val="14"/>
                <w:szCs w:val="14"/>
                <w:color w:val="auto"/>
              </w:rPr>
              <w:t>Notes receivable, net</w:t>
            </w:r>
          </w:p>
        </w:tc>
        <w:tc>
          <w:tcPr>
            <w:tcW w:w="220" w:type="dxa"/>
            <w:vAlign w:val="bottom"/>
          </w:tcPr>
          <w:p>
            <w:pPr>
              <w:spacing w:after="0"/>
              <w:rPr>
                <w:sz w:val="23"/>
                <w:szCs w:val="23"/>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1,140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10,912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1,117</w:t>
            </w:r>
          </w:p>
        </w:tc>
        <w:tc>
          <w:tcPr>
            <w:tcW w:w="0" w:type="dxa"/>
            <w:vAlign w:val="bottom"/>
          </w:tcPr>
          <w:p>
            <w:pPr>
              <w:spacing w:after="0"/>
              <w:rPr>
                <w:sz w:val="1"/>
                <w:szCs w:val="1"/>
                <w:color w:val="auto"/>
              </w:rPr>
            </w:pPr>
          </w:p>
        </w:tc>
      </w:tr>
      <w:tr>
        <w:trPr>
          <w:trHeight w:val="270"/>
        </w:trPr>
        <w:tc>
          <w:tcPr>
            <w:tcW w:w="7600" w:type="dxa"/>
            <w:vAlign w:val="bottom"/>
          </w:tcPr>
          <w:p>
            <w:pPr>
              <w:ind w:left="240"/>
              <w:spacing w:after="0"/>
              <w:rPr>
                <w:sz w:val="20"/>
                <w:szCs w:val="20"/>
                <w:color w:val="auto"/>
              </w:rPr>
            </w:pPr>
            <w:r>
              <w:rPr>
                <w:rFonts w:ascii="Arial" w:cs="Arial" w:eastAsia="Arial" w:hAnsi="Arial"/>
                <w:sz w:val="14"/>
                <w:szCs w:val="14"/>
                <w:color w:val="auto"/>
              </w:rPr>
              <w:t>Deferred tax asset, net</w:t>
            </w:r>
          </w:p>
        </w:tc>
        <w:tc>
          <w:tcPr>
            <w:tcW w:w="220" w:type="dxa"/>
            <w:vAlign w:val="bottom"/>
          </w:tcPr>
          <w:p>
            <w:pPr>
              <w:spacing w:after="0"/>
              <w:rPr>
                <w:sz w:val="23"/>
                <w:szCs w:val="23"/>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5,505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3,956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1,998</w:t>
            </w:r>
          </w:p>
        </w:tc>
        <w:tc>
          <w:tcPr>
            <w:tcW w:w="0" w:type="dxa"/>
            <w:vAlign w:val="bottom"/>
          </w:tcPr>
          <w:p>
            <w:pPr>
              <w:spacing w:after="0"/>
              <w:rPr>
                <w:sz w:val="1"/>
                <w:szCs w:val="1"/>
                <w:color w:val="auto"/>
              </w:rPr>
            </w:pPr>
          </w:p>
        </w:tc>
      </w:tr>
      <w:tr>
        <w:trPr>
          <w:trHeight w:val="276"/>
        </w:trPr>
        <w:tc>
          <w:tcPr>
            <w:tcW w:w="7600" w:type="dxa"/>
            <w:vAlign w:val="bottom"/>
          </w:tcPr>
          <w:p>
            <w:pPr>
              <w:ind w:left="240"/>
              <w:spacing w:after="0"/>
              <w:rPr>
                <w:sz w:val="20"/>
                <w:szCs w:val="20"/>
                <w:color w:val="auto"/>
              </w:rPr>
            </w:pPr>
            <w:r>
              <w:rPr>
                <w:rFonts w:ascii="Arial" w:cs="Arial" w:eastAsia="Arial" w:hAnsi="Arial"/>
                <w:sz w:val="14"/>
                <w:szCs w:val="14"/>
                <w:color w:val="auto"/>
              </w:rPr>
              <w:t>Other assets</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4,572</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4,472</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4,383</w:t>
            </w:r>
          </w:p>
        </w:tc>
        <w:tc>
          <w:tcPr>
            <w:tcW w:w="0" w:type="dxa"/>
            <w:vAlign w:val="bottom"/>
          </w:tcPr>
          <w:p>
            <w:pPr>
              <w:spacing w:after="0"/>
              <w:rPr>
                <w:sz w:val="1"/>
                <w:szCs w:val="1"/>
                <w:color w:val="auto"/>
              </w:rPr>
            </w:pPr>
          </w:p>
        </w:tc>
      </w:tr>
      <w:tr>
        <w:trPr>
          <w:trHeight w:val="242"/>
        </w:trPr>
        <w:tc>
          <w:tcPr>
            <w:tcW w:w="7600" w:type="dxa"/>
            <w:vAlign w:val="bottom"/>
          </w:tcPr>
          <w:p>
            <w:pPr>
              <w:spacing w:after="0"/>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1,224,302</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1,069,223</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1,083,702</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4"/>
                <w:szCs w:val="14"/>
                <w:color w:val="auto"/>
              </w:rPr>
              <w:t>Liabilities and equity:</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7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00" w:type="dxa"/>
            <w:vAlign w:val="bottom"/>
          </w:tcPr>
          <w:p>
            <w:pPr>
              <w:ind w:left="240"/>
              <w:spacing w:after="0"/>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00" w:type="dxa"/>
            <w:vAlign w:val="bottom"/>
          </w:tcPr>
          <w:p>
            <w:pPr>
              <w:ind w:left="460"/>
              <w:spacing w:after="0"/>
              <w:rPr>
                <w:sz w:val="20"/>
                <w:szCs w:val="20"/>
                <w:color w:val="auto"/>
              </w:rPr>
            </w:pPr>
            <w:r>
              <w:rPr>
                <w:rFonts w:ascii="Arial" w:cs="Arial" w:eastAsia="Arial" w:hAnsi="Arial"/>
                <w:sz w:val="14"/>
                <w:szCs w:val="14"/>
                <w:color w:val="auto"/>
              </w:rPr>
              <w:t>Current maturities of long-term debt, net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268</w:t>
            </w:r>
          </w:p>
        </w:tc>
        <w:tc>
          <w:tcPr>
            <w:tcW w:w="1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215</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270"/>
        </w:trPr>
        <w:tc>
          <w:tcPr>
            <w:tcW w:w="7600" w:type="dxa"/>
            <w:vAlign w:val="bottom"/>
          </w:tcPr>
          <w:p>
            <w:pPr>
              <w:ind w:left="460"/>
              <w:spacing w:after="0"/>
              <w:rPr>
                <w:sz w:val="20"/>
                <w:szCs w:val="20"/>
                <w:color w:val="auto"/>
              </w:rPr>
            </w:pPr>
            <w:r>
              <w:rPr>
                <w:rFonts w:ascii="Arial" w:cs="Arial" w:eastAsia="Arial" w:hAnsi="Arial"/>
                <w:sz w:val="14"/>
                <w:szCs w:val="14"/>
                <w:color w:val="auto"/>
              </w:rPr>
              <w:t>Accounts payable, accrued expenses and other current liabilities</w:t>
            </w:r>
          </w:p>
        </w:tc>
        <w:tc>
          <w:tcPr>
            <w:tcW w:w="220" w:type="dxa"/>
            <w:vAlign w:val="bottom"/>
          </w:tcPr>
          <w:p>
            <w:pPr>
              <w:spacing w:after="0"/>
              <w:rPr>
                <w:sz w:val="23"/>
                <w:szCs w:val="23"/>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58,358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59,981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77,957</w:t>
            </w:r>
          </w:p>
        </w:tc>
        <w:tc>
          <w:tcPr>
            <w:tcW w:w="0" w:type="dxa"/>
            <w:vAlign w:val="bottom"/>
          </w:tcPr>
          <w:p>
            <w:pPr>
              <w:spacing w:after="0"/>
              <w:rPr>
                <w:sz w:val="1"/>
                <w:szCs w:val="1"/>
                <w:color w:val="auto"/>
              </w:rPr>
            </w:pPr>
          </w:p>
        </w:tc>
      </w:tr>
      <w:tr>
        <w:trPr>
          <w:trHeight w:val="270"/>
        </w:trPr>
        <w:tc>
          <w:tcPr>
            <w:tcW w:w="7600" w:type="dxa"/>
            <w:vAlign w:val="bottom"/>
          </w:tcPr>
          <w:p>
            <w:pPr>
              <w:ind w:left="460"/>
              <w:spacing w:after="0"/>
              <w:rPr>
                <w:sz w:val="20"/>
                <w:szCs w:val="20"/>
                <w:color w:val="auto"/>
              </w:rPr>
            </w:pPr>
            <w:r>
              <w:rPr>
                <w:rFonts w:ascii="Arial" w:cs="Arial" w:eastAsia="Arial" w:hAnsi="Arial"/>
                <w:sz w:val="14"/>
                <w:szCs w:val="14"/>
                <w:color w:val="auto"/>
              </w:rPr>
              <w:t>Customer layaway deposits</w:t>
            </w:r>
          </w:p>
        </w:tc>
        <w:tc>
          <w:tcPr>
            <w:tcW w:w="220" w:type="dxa"/>
            <w:vAlign w:val="bottom"/>
          </w:tcPr>
          <w:p>
            <w:pPr>
              <w:spacing w:after="0"/>
              <w:rPr>
                <w:sz w:val="23"/>
                <w:szCs w:val="23"/>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11,902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12,750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12,915</w:t>
            </w:r>
          </w:p>
        </w:tc>
        <w:tc>
          <w:tcPr>
            <w:tcW w:w="0" w:type="dxa"/>
            <w:vAlign w:val="bottom"/>
          </w:tcPr>
          <w:p>
            <w:pPr>
              <w:spacing w:after="0"/>
              <w:rPr>
                <w:sz w:val="1"/>
                <w:szCs w:val="1"/>
                <w:color w:val="auto"/>
              </w:rPr>
            </w:pPr>
          </w:p>
        </w:tc>
      </w:tr>
      <w:tr>
        <w:trPr>
          <w:trHeight w:val="276"/>
        </w:trPr>
        <w:tc>
          <w:tcPr>
            <w:tcW w:w="7600" w:type="dxa"/>
            <w:vAlign w:val="bottom"/>
          </w:tcPr>
          <w:p>
            <w:pPr>
              <w:ind w:left="460"/>
              <w:spacing w:after="0"/>
              <w:rPr>
                <w:sz w:val="20"/>
                <w:szCs w:val="20"/>
                <w:color w:val="auto"/>
              </w:rPr>
            </w:pPr>
            <w:r>
              <w:rPr>
                <w:rFonts w:ascii="Arial" w:cs="Arial" w:eastAsia="Arial" w:hAnsi="Arial"/>
                <w:sz w:val="14"/>
                <w:szCs w:val="14"/>
                <w:color w:val="auto"/>
              </w:rPr>
              <w:t>Lease liability</w:t>
            </w:r>
          </w:p>
        </w:tc>
        <w:tc>
          <w:tcPr>
            <w:tcW w:w="220" w:type="dxa"/>
            <w:vAlign w:val="bottom"/>
          </w:tcPr>
          <w:p>
            <w:pPr>
              <w:spacing w:after="0"/>
              <w:rPr>
                <w:sz w:val="24"/>
                <w:szCs w:val="24"/>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48,840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7600" w:type="dxa"/>
            <w:vAlign w:val="bottom"/>
          </w:tcPr>
          <w:p>
            <w:pPr>
              <w:ind w:left="680"/>
              <w:spacing w:after="0"/>
              <w:rPr>
                <w:sz w:val="20"/>
                <w:szCs w:val="20"/>
                <w:color w:val="auto"/>
              </w:rPr>
            </w:pPr>
            <w:r>
              <w:rPr>
                <w:rFonts w:ascii="Arial" w:cs="Arial" w:eastAsia="Arial" w:hAnsi="Arial"/>
                <w:sz w:val="14"/>
                <w:szCs w:val="14"/>
                <w:color w:val="auto"/>
              </w:rPr>
              <w:t>Total current liabilities</w:t>
            </w:r>
          </w:p>
        </w:tc>
        <w:tc>
          <w:tcPr>
            <w:tcW w:w="2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119,368</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72,946</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91,086</w:t>
            </w:r>
          </w:p>
        </w:tc>
        <w:tc>
          <w:tcPr>
            <w:tcW w:w="0" w:type="dxa"/>
            <w:vAlign w:val="bottom"/>
          </w:tcPr>
          <w:p>
            <w:pPr>
              <w:spacing w:after="0"/>
              <w:rPr>
                <w:sz w:val="1"/>
                <w:szCs w:val="1"/>
                <w:color w:val="auto"/>
              </w:rPr>
            </w:pPr>
          </w:p>
        </w:tc>
      </w:tr>
      <w:tr>
        <w:trPr>
          <w:trHeight w:val="270"/>
        </w:trPr>
        <w:tc>
          <w:tcPr>
            <w:tcW w:w="7600" w:type="dxa"/>
            <w:vAlign w:val="bottom"/>
          </w:tcPr>
          <w:p>
            <w:pPr>
              <w:ind w:left="240"/>
              <w:spacing w:after="0"/>
              <w:rPr>
                <w:sz w:val="20"/>
                <w:szCs w:val="20"/>
                <w:color w:val="auto"/>
              </w:rPr>
            </w:pPr>
            <w:r>
              <w:rPr>
                <w:rFonts w:ascii="Arial" w:cs="Arial" w:eastAsia="Arial" w:hAnsi="Arial"/>
                <w:sz w:val="14"/>
                <w:szCs w:val="14"/>
                <w:color w:val="auto"/>
              </w:rPr>
              <w:t>Long-term debt, net</w:t>
            </w:r>
          </w:p>
        </w:tc>
        <w:tc>
          <w:tcPr>
            <w:tcW w:w="220" w:type="dxa"/>
            <w:vAlign w:val="bottom"/>
          </w:tcPr>
          <w:p>
            <w:pPr>
              <w:spacing w:after="0"/>
              <w:rPr>
                <w:sz w:val="23"/>
                <w:szCs w:val="23"/>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247,618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235,449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238,380</w:t>
            </w:r>
          </w:p>
        </w:tc>
        <w:tc>
          <w:tcPr>
            <w:tcW w:w="0" w:type="dxa"/>
            <w:vAlign w:val="bottom"/>
          </w:tcPr>
          <w:p>
            <w:pPr>
              <w:spacing w:after="0"/>
              <w:rPr>
                <w:sz w:val="1"/>
                <w:szCs w:val="1"/>
                <w:color w:val="auto"/>
              </w:rPr>
            </w:pPr>
          </w:p>
        </w:tc>
      </w:tr>
      <w:tr>
        <w:trPr>
          <w:trHeight w:val="270"/>
        </w:trPr>
        <w:tc>
          <w:tcPr>
            <w:tcW w:w="7600" w:type="dxa"/>
            <w:vAlign w:val="bottom"/>
          </w:tcPr>
          <w:p>
            <w:pPr>
              <w:ind w:left="240"/>
              <w:spacing w:after="0"/>
              <w:rPr>
                <w:sz w:val="20"/>
                <w:szCs w:val="20"/>
                <w:color w:val="auto"/>
              </w:rPr>
            </w:pPr>
            <w:r>
              <w:rPr>
                <w:rFonts w:ascii="Arial" w:cs="Arial" w:eastAsia="Arial" w:hAnsi="Arial"/>
                <w:sz w:val="14"/>
                <w:szCs w:val="14"/>
                <w:color w:val="auto"/>
              </w:rPr>
              <w:t>Deferred tax liability, net</w:t>
            </w:r>
          </w:p>
        </w:tc>
        <w:tc>
          <w:tcPr>
            <w:tcW w:w="220" w:type="dxa"/>
            <w:vAlign w:val="bottom"/>
          </w:tcPr>
          <w:p>
            <w:pPr>
              <w:spacing w:after="0"/>
              <w:rPr>
                <w:sz w:val="23"/>
                <w:szCs w:val="23"/>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2,165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7,522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1,985</w:t>
            </w:r>
          </w:p>
        </w:tc>
        <w:tc>
          <w:tcPr>
            <w:tcW w:w="0" w:type="dxa"/>
            <w:vAlign w:val="bottom"/>
          </w:tcPr>
          <w:p>
            <w:pPr>
              <w:spacing w:after="0"/>
              <w:rPr>
                <w:sz w:val="1"/>
                <w:szCs w:val="1"/>
                <w:color w:val="auto"/>
              </w:rPr>
            </w:pPr>
          </w:p>
        </w:tc>
      </w:tr>
      <w:tr>
        <w:trPr>
          <w:trHeight w:val="270"/>
        </w:trPr>
        <w:tc>
          <w:tcPr>
            <w:tcW w:w="7600" w:type="dxa"/>
            <w:vAlign w:val="bottom"/>
          </w:tcPr>
          <w:p>
            <w:pPr>
              <w:ind w:left="240"/>
              <w:spacing w:after="0"/>
              <w:rPr>
                <w:sz w:val="20"/>
                <w:szCs w:val="20"/>
                <w:color w:val="auto"/>
              </w:rPr>
            </w:pPr>
            <w:r>
              <w:rPr>
                <w:rFonts w:ascii="Arial" w:cs="Arial" w:eastAsia="Arial" w:hAnsi="Arial"/>
                <w:sz w:val="14"/>
                <w:szCs w:val="14"/>
                <w:color w:val="auto"/>
              </w:rPr>
              <w:t>Lease liability</w:t>
            </w:r>
          </w:p>
        </w:tc>
        <w:tc>
          <w:tcPr>
            <w:tcW w:w="220" w:type="dxa"/>
            <w:vAlign w:val="bottom"/>
          </w:tcPr>
          <w:p>
            <w:pPr>
              <w:spacing w:after="0"/>
              <w:rPr>
                <w:sz w:val="23"/>
                <w:szCs w:val="23"/>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167,716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600" w:type="dxa"/>
            <w:vAlign w:val="bottom"/>
          </w:tcPr>
          <w:p>
            <w:pPr>
              <w:ind w:left="240"/>
              <w:spacing w:after="0"/>
              <w:rPr>
                <w:sz w:val="20"/>
                <w:szCs w:val="20"/>
                <w:color w:val="auto"/>
              </w:rPr>
            </w:pPr>
            <w:r>
              <w:rPr>
                <w:rFonts w:ascii="Arial" w:cs="Arial" w:eastAsia="Arial" w:hAnsi="Arial"/>
                <w:sz w:val="14"/>
                <w:szCs w:val="14"/>
                <w:color w:val="auto"/>
              </w:rPr>
              <w:t>Other long-term liabilities</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7,523</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5,990</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7,302</w:t>
            </w:r>
          </w:p>
        </w:tc>
        <w:tc>
          <w:tcPr>
            <w:tcW w:w="0" w:type="dxa"/>
            <w:vAlign w:val="bottom"/>
          </w:tcPr>
          <w:p>
            <w:pPr>
              <w:spacing w:after="0"/>
              <w:rPr>
                <w:sz w:val="1"/>
                <w:szCs w:val="1"/>
                <w:color w:val="auto"/>
              </w:rPr>
            </w:pPr>
          </w:p>
        </w:tc>
      </w:tr>
      <w:tr>
        <w:trPr>
          <w:trHeight w:val="244"/>
        </w:trPr>
        <w:tc>
          <w:tcPr>
            <w:tcW w:w="7600" w:type="dxa"/>
            <w:vAlign w:val="bottom"/>
          </w:tcPr>
          <w:p>
            <w:pPr>
              <w:ind w:left="680"/>
              <w:spacing w:after="0"/>
              <w:rPr>
                <w:sz w:val="20"/>
                <w:szCs w:val="20"/>
                <w:color w:val="auto"/>
              </w:rPr>
            </w:pPr>
            <w:r>
              <w:rPr>
                <w:rFonts w:ascii="Arial" w:cs="Arial" w:eastAsia="Arial" w:hAnsi="Arial"/>
                <w:sz w:val="14"/>
                <w:szCs w:val="14"/>
                <w:color w:val="auto"/>
              </w:rPr>
              <w:t>Total liabilities</w:t>
            </w:r>
          </w:p>
        </w:tc>
        <w:tc>
          <w:tcPr>
            <w:tcW w:w="220" w:type="dxa"/>
            <w:vAlign w:val="bottom"/>
          </w:tcPr>
          <w:p>
            <w:pPr>
              <w:spacing w:after="0"/>
              <w:rPr>
                <w:sz w:val="21"/>
                <w:szCs w:val="21"/>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544,390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321,907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338,753</w:t>
            </w:r>
          </w:p>
        </w:tc>
        <w:tc>
          <w:tcPr>
            <w:tcW w:w="0" w:type="dxa"/>
            <w:vAlign w:val="bottom"/>
          </w:tcPr>
          <w:p>
            <w:pPr>
              <w:spacing w:after="0"/>
              <w:rPr>
                <w:sz w:val="1"/>
                <w:szCs w:val="1"/>
                <w:color w:val="auto"/>
              </w:rPr>
            </w:pPr>
          </w:p>
        </w:tc>
      </w:tr>
      <w:tr>
        <w:trPr>
          <w:trHeight w:val="270"/>
        </w:trPr>
        <w:tc>
          <w:tcPr>
            <w:tcW w:w="7600" w:type="dxa"/>
            <w:vAlign w:val="bottom"/>
          </w:tcPr>
          <w:p>
            <w:pPr>
              <w:ind w:left="240"/>
              <w:spacing w:after="0"/>
              <w:rPr>
                <w:sz w:val="20"/>
                <w:szCs w:val="20"/>
                <w:color w:val="auto"/>
              </w:rPr>
            </w:pPr>
            <w:r>
              <w:rPr>
                <w:rFonts w:ascii="Arial" w:cs="Arial" w:eastAsia="Arial" w:hAnsi="Arial"/>
                <w:sz w:val="14"/>
                <w:szCs w:val="14"/>
                <w:color w:val="auto"/>
              </w:rPr>
              <w:t>Commitments and contingencies (Note 11)</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00" w:type="dxa"/>
            <w:vAlign w:val="bottom"/>
          </w:tcPr>
          <w:p>
            <w:pPr>
              <w:ind w:left="240"/>
              <w:spacing w:after="0"/>
              <w:rPr>
                <w:sz w:val="20"/>
                <w:szCs w:val="20"/>
                <w:color w:val="auto"/>
              </w:rPr>
            </w:pPr>
            <w:r>
              <w:rPr>
                <w:rFonts w:ascii="Arial" w:cs="Arial" w:eastAsia="Arial" w:hAnsi="Arial"/>
                <w:sz w:val="14"/>
                <w:szCs w:val="14"/>
                <w:color w:val="auto"/>
              </w:rPr>
              <w:t>Stockholders’ equity:</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600" w:type="dxa"/>
            <w:vAlign w:val="bottom"/>
          </w:tcPr>
          <w:p>
            <w:pPr>
              <w:ind w:left="460"/>
              <w:spacing w:after="0"/>
              <w:rPr>
                <w:sz w:val="20"/>
                <w:szCs w:val="20"/>
                <w:color w:val="auto"/>
              </w:rPr>
            </w:pPr>
            <w:r>
              <w:rPr>
                <w:rFonts w:ascii="Arial" w:cs="Arial" w:eastAsia="Arial" w:hAnsi="Arial"/>
                <w:sz w:val="14"/>
                <w:szCs w:val="14"/>
                <w:color w:val="auto"/>
                <w:w w:val="97"/>
              </w:rPr>
              <w:t>Class A Non-voting Common Stock, par value $.01 per share; shares authorized: 100 million; issued and outstanding:</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600" w:type="dxa"/>
            <w:vAlign w:val="bottom"/>
          </w:tcPr>
          <w:p>
            <w:pPr>
              <w:ind w:left="460"/>
              <w:spacing w:after="0"/>
              <w:rPr>
                <w:sz w:val="20"/>
                <w:szCs w:val="20"/>
                <w:color w:val="auto"/>
              </w:rPr>
            </w:pPr>
            <w:r>
              <w:rPr>
                <w:rFonts w:ascii="Arial" w:cs="Arial" w:eastAsia="Arial" w:hAnsi="Arial"/>
                <w:sz w:val="14"/>
                <w:szCs w:val="14"/>
                <w:color w:val="auto"/>
              </w:rPr>
              <w:t>52,097,590 as of June 30, 2020; 52,475,070 as of June 30, 2019; and 52,565,064 as of September 30, 2019</w:t>
            </w:r>
          </w:p>
        </w:tc>
        <w:tc>
          <w:tcPr>
            <w:tcW w:w="22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521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524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526</w:t>
            </w:r>
          </w:p>
        </w:tc>
        <w:tc>
          <w:tcPr>
            <w:tcW w:w="0" w:type="dxa"/>
            <w:vAlign w:val="bottom"/>
          </w:tcPr>
          <w:p>
            <w:pPr>
              <w:spacing w:after="0"/>
              <w:rPr>
                <w:sz w:val="1"/>
                <w:szCs w:val="1"/>
                <w:color w:val="auto"/>
              </w:rPr>
            </w:pPr>
          </w:p>
        </w:tc>
      </w:tr>
      <w:tr>
        <w:trPr>
          <w:trHeight w:val="169"/>
        </w:trPr>
        <w:tc>
          <w:tcPr>
            <w:tcW w:w="7600" w:type="dxa"/>
            <w:vAlign w:val="bottom"/>
          </w:tcPr>
          <w:p>
            <w:pPr>
              <w:ind w:left="460"/>
              <w:spacing w:after="0"/>
              <w:rPr>
                <w:sz w:val="20"/>
                <w:szCs w:val="20"/>
                <w:color w:val="auto"/>
              </w:rPr>
            </w:pPr>
            <w:r>
              <w:rPr>
                <w:rFonts w:ascii="Arial" w:cs="Arial" w:eastAsia="Arial" w:hAnsi="Arial"/>
                <w:sz w:val="14"/>
                <w:szCs w:val="14"/>
                <w:color w:val="auto"/>
                <w:w w:val="93"/>
              </w:rPr>
              <w:t>Class B Voting Common Stock, convertible, par value $.01 per share; shares authorized: 3 million; issued and outstanding:</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600" w:type="dxa"/>
            <w:vAlign w:val="bottom"/>
          </w:tcPr>
          <w:p>
            <w:pPr>
              <w:ind w:left="460"/>
              <w:spacing w:after="0"/>
              <w:rPr>
                <w:sz w:val="20"/>
                <w:szCs w:val="20"/>
                <w:color w:val="auto"/>
              </w:rPr>
            </w:pPr>
            <w:r>
              <w:rPr>
                <w:rFonts w:ascii="Arial" w:cs="Arial" w:eastAsia="Arial" w:hAnsi="Arial"/>
                <w:sz w:val="14"/>
                <w:szCs w:val="14"/>
                <w:color w:val="auto"/>
              </w:rPr>
              <w:t>2,970,171</w:t>
            </w:r>
          </w:p>
        </w:tc>
        <w:tc>
          <w:tcPr>
            <w:tcW w:w="22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70"/>
        </w:trPr>
        <w:tc>
          <w:tcPr>
            <w:tcW w:w="7600" w:type="dxa"/>
            <w:vAlign w:val="bottom"/>
          </w:tcPr>
          <w:p>
            <w:pPr>
              <w:ind w:left="460"/>
              <w:spacing w:after="0"/>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23"/>
                <w:szCs w:val="23"/>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408,601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404,880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407,628</w:t>
            </w:r>
          </w:p>
        </w:tc>
        <w:tc>
          <w:tcPr>
            <w:tcW w:w="0" w:type="dxa"/>
            <w:vAlign w:val="bottom"/>
          </w:tcPr>
          <w:p>
            <w:pPr>
              <w:spacing w:after="0"/>
              <w:rPr>
                <w:sz w:val="1"/>
                <w:szCs w:val="1"/>
                <w:color w:val="auto"/>
              </w:rPr>
            </w:pPr>
          </w:p>
        </w:tc>
      </w:tr>
      <w:tr>
        <w:trPr>
          <w:trHeight w:val="270"/>
        </w:trPr>
        <w:tc>
          <w:tcPr>
            <w:tcW w:w="7600" w:type="dxa"/>
            <w:vAlign w:val="bottom"/>
          </w:tcPr>
          <w:p>
            <w:pPr>
              <w:ind w:left="460"/>
              <w:spacing w:after="0"/>
              <w:rPr>
                <w:sz w:val="20"/>
                <w:szCs w:val="20"/>
                <w:color w:val="auto"/>
              </w:rPr>
            </w:pPr>
            <w:r>
              <w:rPr>
                <w:rFonts w:ascii="Arial" w:cs="Arial" w:eastAsia="Arial" w:hAnsi="Arial"/>
                <w:sz w:val="14"/>
                <w:szCs w:val="14"/>
                <w:color w:val="auto"/>
              </w:rPr>
              <w:t>Retained earnings</w:t>
            </w:r>
          </w:p>
        </w:tc>
        <w:tc>
          <w:tcPr>
            <w:tcW w:w="220" w:type="dxa"/>
            <w:vAlign w:val="bottom"/>
          </w:tcPr>
          <w:p>
            <w:pPr>
              <w:spacing w:after="0"/>
              <w:rPr>
                <w:sz w:val="23"/>
                <w:szCs w:val="23"/>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341,517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389,808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389,163</w:t>
            </w:r>
          </w:p>
        </w:tc>
        <w:tc>
          <w:tcPr>
            <w:tcW w:w="0" w:type="dxa"/>
            <w:vAlign w:val="bottom"/>
          </w:tcPr>
          <w:p>
            <w:pPr>
              <w:spacing w:after="0"/>
              <w:rPr>
                <w:sz w:val="1"/>
                <w:szCs w:val="1"/>
                <w:color w:val="auto"/>
              </w:rPr>
            </w:pPr>
          </w:p>
        </w:tc>
      </w:tr>
      <w:tr>
        <w:trPr>
          <w:trHeight w:val="276"/>
        </w:trPr>
        <w:tc>
          <w:tcPr>
            <w:tcW w:w="7600" w:type="dxa"/>
            <w:vAlign w:val="bottom"/>
          </w:tcPr>
          <w:p>
            <w:pPr>
              <w:ind w:left="46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(70,757)</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(47,926)</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(52,398)</w:t>
            </w:r>
          </w:p>
        </w:tc>
        <w:tc>
          <w:tcPr>
            <w:tcW w:w="0" w:type="dxa"/>
            <w:vAlign w:val="bottom"/>
          </w:tcPr>
          <w:p>
            <w:pPr>
              <w:spacing w:after="0"/>
              <w:rPr>
                <w:sz w:val="1"/>
                <w:szCs w:val="1"/>
                <w:color w:val="auto"/>
              </w:rPr>
            </w:pPr>
          </w:p>
        </w:tc>
      </w:tr>
      <w:tr>
        <w:trPr>
          <w:trHeight w:val="250"/>
        </w:trPr>
        <w:tc>
          <w:tcPr>
            <w:tcW w:w="7600" w:type="dxa"/>
            <w:vAlign w:val="bottom"/>
          </w:tcPr>
          <w:p>
            <w:pPr>
              <w:ind w:left="680"/>
              <w:spacing w:after="0"/>
              <w:rPr>
                <w:sz w:val="20"/>
                <w:szCs w:val="20"/>
                <w:color w:val="auto"/>
              </w:rPr>
            </w:pPr>
            <w:r>
              <w:rPr>
                <w:rFonts w:ascii="Arial" w:cs="Arial" w:eastAsia="Arial" w:hAnsi="Arial"/>
                <w:sz w:val="14"/>
                <w:szCs w:val="14"/>
                <w:color w:val="auto"/>
              </w:rPr>
              <w:t>Total equity</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679,912</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747,316</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744,949</w:t>
            </w:r>
          </w:p>
        </w:tc>
        <w:tc>
          <w:tcPr>
            <w:tcW w:w="0" w:type="dxa"/>
            <w:vAlign w:val="bottom"/>
          </w:tcPr>
          <w:p>
            <w:pPr>
              <w:spacing w:after="0"/>
              <w:rPr>
                <w:sz w:val="1"/>
                <w:szCs w:val="1"/>
                <w:color w:val="auto"/>
              </w:rPr>
            </w:pPr>
          </w:p>
        </w:tc>
      </w:tr>
      <w:tr>
        <w:trPr>
          <w:trHeight w:val="242"/>
        </w:trPr>
        <w:tc>
          <w:tcPr>
            <w:tcW w:w="7600" w:type="dxa"/>
            <w:vAlign w:val="bottom"/>
          </w:tcPr>
          <w:p>
            <w:pPr>
              <w:spacing w:after="0"/>
              <w:rPr>
                <w:sz w:val="20"/>
                <w:szCs w:val="20"/>
                <w:color w:val="auto"/>
              </w:rPr>
            </w:pPr>
            <w:r>
              <w:rPr>
                <w:rFonts w:ascii="Arial" w:cs="Arial" w:eastAsia="Arial" w:hAnsi="Arial"/>
                <w:sz w:val="14"/>
                <w:szCs w:val="14"/>
                <w:color w:val="auto"/>
              </w:rPr>
              <w:t>Total liabilities and equity</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1,224,302</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1,069,223</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1,083,702</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00"/>
          </w:cols>
          <w:pgMar w:left="360" w:top="747" w:right="3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center"/>
              <w:ind w:right="219"/>
              <w:spacing w:after="0"/>
              <w:rPr>
                <w:sz w:val="20"/>
                <w:szCs w:val="20"/>
                <w:color w:val="auto"/>
              </w:rPr>
            </w:pPr>
            <w:r>
              <w:rPr>
                <w:rFonts w:ascii="Arial" w:cs="Arial" w:eastAsia="Arial" w:hAnsi="Arial"/>
                <w:sz w:val="14"/>
                <w:szCs w:val="14"/>
                <w:b w:val="1"/>
                <w:bCs w:val="1"/>
                <w:color w:val="auto"/>
                <w:w w:val="93"/>
              </w:rPr>
              <w:t>Nine Months Ended June 30,</w:t>
            </w:r>
          </w:p>
        </w:tc>
        <w:tc>
          <w:tcPr>
            <w:tcW w:w="0" w:type="dxa"/>
            <w:vAlign w:val="bottom"/>
          </w:tcPr>
          <w:p>
            <w:pPr>
              <w:spacing w:after="0"/>
              <w:rPr>
                <w:sz w:val="1"/>
                <w:szCs w:val="1"/>
                <w:color w:val="auto"/>
              </w:rPr>
            </w:pPr>
          </w:p>
        </w:tc>
      </w:tr>
      <w:tr>
        <w:trPr>
          <w:trHeight w:val="263"/>
        </w:trPr>
        <w:tc>
          <w:tcPr>
            <w:tcW w:w="81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379"/>
        </w:trPr>
        <w:tc>
          <w:tcPr>
            <w:tcW w:w="8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gridSpan w:val="3"/>
          </w:tcPr>
          <w:p>
            <w:pPr>
              <w:jc w:val="center"/>
              <w:ind w:left="580"/>
              <w:spacing w:after="0"/>
              <w:rPr>
                <w:sz w:val="20"/>
                <w:szCs w:val="20"/>
                <w:color w:val="auto"/>
              </w:rPr>
            </w:pPr>
            <w:r>
              <w:rPr>
                <w:rFonts w:ascii="Arial" w:cs="Arial" w:eastAsia="Arial" w:hAnsi="Arial"/>
                <w:sz w:val="14"/>
                <w:szCs w:val="14"/>
                <w:b w:val="1"/>
                <w:bCs w:val="1"/>
                <w:color w:val="auto"/>
                <w:w w:val="97"/>
              </w:rPr>
              <w:t>(Unaudited)</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gridSpan w:val="3"/>
          </w:tcPr>
          <w:p>
            <w:pPr>
              <w:jc w:val="center"/>
              <w:ind w:left="580"/>
              <w:spacing w:after="0"/>
              <w:rPr>
                <w:sz w:val="20"/>
                <w:szCs w:val="20"/>
                <w:color w:val="auto"/>
              </w:rPr>
            </w:pPr>
            <w:r>
              <w:rPr>
                <w:rFonts w:ascii="Arial" w:cs="Arial" w:eastAsia="Arial" w:hAnsi="Arial"/>
                <w:sz w:val="14"/>
                <w:szCs w:val="14"/>
                <w:i w:val="1"/>
                <w:iCs w:val="1"/>
                <w:color w:val="auto"/>
                <w:w w:val="94"/>
              </w:rPr>
              <w:t>(in thousands)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180" w:type="dxa"/>
            <w:vAlign w:val="bottom"/>
          </w:tcPr>
          <w:p>
            <w:pPr>
              <w:spacing w:after="0"/>
              <w:rPr>
                <w:sz w:val="20"/>
                <w:szCs w:val="20"/>
                <w:color w:val="auto"/>
              </w:rPr>
            </w:pPr>
            <w:r>
              <w:rPr>
                <w:rFonts w:ascii="Arial" w:cs="Arial" w:eastAsia="Arial" w:hAnsi="Arial"/>
                <w:sz w:val="16"/>
                <w:szCs w:val="16"/>
                <w:color w:val="auto"/>
              </w:rPr>
              <w:t>Operating activities: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180" w:type="dxa"/>
            <w:vAlign w:val="bottom"/>
          </w:tcPr>
          <w:p>
            <w:pPr>
              <w:ind w:left="240"/>
              <w:spacing w:after="0"/>
              <w:rPr>
                <w:sz w:val="20"/>
                <w:szCs w:val="20"/>
                <w:color w:val="auto"/>
              </w:rPr>
            </w:pPr>
            <w:r>
              <w:rPr>
                <w:rFonts w:ascii="Arial" w:cs="Arial" w:eastAsia="Arial" w:hAnsi="Arial"/>
                <w:sz w:val="16"/>
                <w:szCs w:val="16"/>
                <w:color w:val="auto"/>
              </w:rPr>
              <w:t>Net (loss) income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(45,123)</w:t>
            </w:r>
          </w:p>
        </w:tc>
        <w:tc>
          <w:tcPr>
            <w:tcW w:w="120" w:type="dxa"/>
            <w:vAlign w:val="bottom"/>
          </w:tcPr>
          <w:p>
            <w:pPr>
              <w:spacing w:after="0"/>
              <w:rPr>
                <w:sz w:val="23"/>
                <w:szCs w:val="23"/>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1,956</w:t>
            </w:r>
          </w:p>
        </w:tc>
        <w:tc>
          <w:tcPr>
            <w:tcW w:w="0" w:type="dxa"/>
            <w:vAlign w:val="bottom"/>
          </w:tcPr>
          <w:p>
            <w:pPr>
              <w:spacing w:after="0"/>
              <w:rPr>
                <w:sz w:val="1"/>
                <w:szCs w:val="1"/>
                <w:color w:val="auto"/>
              </w:rPr>
            </w:pPr>
          </w:p>
        </w:tc>
      </w:tr>
      <w:tr>
        <w:trPr>
          <w:trHeight w:val="270"/>
        </w:trPr>
        <w:tc>
          <w:tcPr>
            <w:tcW w:w="8180" w:type="dxa"/>
            <w:vAlign w:val="bottom"/>
          </w:tcPr>
          <w:p>
            <w:pPr>
              <w:ind w:left="460"/>
              <w:spacing w:after="0"/>
              <w:rPr>
                <w:sz w:val="20"/>
                <w:szCs w:val="20"/>
                <w:color w:val="auto"/>
              </w:rPr>
            </w:pPr>
            <w:r>
              <w:rPr>
                <w:rFonts w:ascii="Arial" w:cs="Arial" w:eastAsia="Arial" w:hAnsi="Arial"/>
                <w:sz w:val="16"/>
                <w:szCs w:val="16"/>
                <w:color w:val="auto"/>
              </w:rPr>
              <w:t>Adjustments to reconcile net (loss) income to net cash flows from operating activities:</w:t>
            </w: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8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23,174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21,114</w:t>
            </w:r>
          </w:p>
        </w:tc>
        <w:tc>
          <w:tcPr>
            <w:tcW w:w="0" w:type="dxa"/>
            <w:vAlign w:val="bottom"/>
          </w:tcPr>
          <w:p>
            <w:pPr>
              <w:spacing w:after="0"/>
              <w:rPr>
                <w:sz w:val="1"/>
                <w:szCs w:val="1"/>
                <w:color w:val="auto"/>
              </w:rPr>
            </w:pPr>
          </w:p>
        </w:tc>
      </w:tr>
      <w:tr>
        <w:trPr>
          <w:trHeight w:val="270"/>
        </w:trPr>
        <w:tc>
          <w:tcPr>
            <w:tcW w:w="8180" w:type="dxa"/>
            <w:vAlign w:val="bottom"/>
          </w:tcPr>
          <w:p>
            <w:pPr>
              <w:ind w:left="680"/>
              <w:spacing w:after="0"/>
              <w:rPr>
                <w:sz w:val="20"/>
                <w:szCs w:val="20"/>
                <w:color w:val="auto"/>
              </w:rPr>
            </w:pPr>
            <w:r>
              <w:rPr>
                <w:rFonts w:ascii="Arial" w:cs="Arial" w:eastAsia="Arial" w:hAnsi="Arial"/>
                <w:sz w:val="16"/>
                <w:szCs w:val="16"/>
                <w:color w:val="auto"/>
              </w:rPr>
              <w:t>Amortization of debt discount and deferred financing costs</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9,814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16,613</w:t>
            </w:r>
          </w:p>
        </w:tc>
        <w:tc>
          <w:tcPr>
            <w:tcW w:w="0" w:type="dxa"/>
            <w:vAlign w:val="bottom"/>
          </w:tcPr>
          <w:p>
            <w:pPr>
              <w:spacing w:after="0"/>
              <w:rPr>
                <w:sz w:val="1"/>
                <w:szCs w:val="1"/>
                <w:color w:val="auto"/>
              </w:rPr>
            </w:pPr>
          </w:p>
        </w:tc>
      </w:tr>
      <w:tr>
        <w:trPr>
          <w:trHeight w:val="270"/>
        </w:trPr>
        <w:tc>
          <w:tcPr>
            <w:tcW w:w="8180" w:type="dxa"/>
            <w:vAlign w:val="bottom"/>
          </w:tcPr>
          <w:p>
            <w:pPr>
              <w:ind w:left="680"/>
              <w:spacing w:after="0"/>
              <w:rPr>
                <w:sz w:val="20"/>
                <w:szCs w:val="20"/>
                <w:color w:val="auto"/>
              </w:rPr>
            </w:pPr>
            <w:r>
              <w:rPr>
                <w:rFonts w:ascii="Arial" w:cs="Arial" w:eastAsia="Arial" w:hAnsi="Arial"/>
                <w:sz w:val="16"/>
                <w:szCs w:val="16"/>
                <w:color w:val="auto"/>
              </w:rPr>
              <w:t>Amortization of lease right-of-use asset</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34,265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180" w:type="dxa"/>
            <w:vAlign w:val="bottom"/>
          </w:tcPr>
          <w:p>
            <w:pPr>
              <w:ind w:left="680"/>
              <w:spacing w:after="0"/>
              <w:rPr>
                <w:sz w:val="20"/>
                <w:szCs w:val="20"/>
                <w:color w:val="auto"/>
              </w:rPr>
            </w:pPr>
            <w:r>
              <w:rPr>
                <w:rFonts w:ascii="Arial" w:cs="Arial" w:eastAsia="Arial" w:hAnsi="Arial"/>
                <w:sz w:val="16"/>
                <w:szCs w:val="16"/>
                <w:color w:val="auto"/>
              </w:rPr>
              <w:t>Accretion of notes receivable discount and deferred compensation fee</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(688)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(3,788)</w:t>
            </w:r>
          </w:p>
        </w:tc>
        <w:tc>
          <w:tcPr>
            <w:tcW w:w="0" w:type="dxa"/>
            <w:vAlign w:val="bottom"/>
          </w:tcPr>
          <w:p>
            <w:pPr>
              <w:spacing w:after="0"/>
              <w:rPr>
                <w:sz w:val="1"/>
                <w:szCs w:val="1"/>
                <w:color w:val="auto"/>
              </w:rPr>
            </w:pPr>
          </w:p>
        </w:tc>
      </w:tr>
      <w:tr>
        <w:trPr>
          <w:trHeight w:val="270"/>
        </w:trPr>
        <w:tc>
          <w:tcPr>
            <w:tcW w:w="8180" w:type="dxa"/>
            <w:vAlign w:val="bottom"/>
          </w:tcPr>
          <w:p>
            <w:pPr>
              <w:ind w:left="680"/>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(3,327)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5,003</w:t>
            </w:r>
          </w:p>
        </w:tc>
        <w:tc>
          <w:tcPr>
            <w:tcW w:w="0" w:type="dxa"/>
            <w:vAlign w:val="bottom"/>
          </w:tcPr>
          <w:p>
            <w:pPr>
              <w:spacing w:after="0"/>
              <w:rPr>
                <w:sz w:val="1"/>
                <w:szCs w:val="1"/>
                <w:color w:val="auto"/>
              </w:rPr>
            </w:pPr>
          </w:p>
        </w:tc>
      </w:tr>
      <w:tr>
        <w:trPr>
          <w:trHeight w:val="270"/>
        </w:trPr>
        <w:tc>
          <w:tcPr>
            <w:tcW w:w="8180" w:type="dxa"/>
            <w:vAlign w:val="bottom"/>
          </w:tcPr>
          <w:p>
            <w:pPr>
              <w:ind w:left="680"/>
              <w:spacing w:after="0"/>
              <w:rPr>
                <w:sz w:val="20"/>
                <w:szCs w:val="20"/>
                <w:color w:val="auto"/>
              </w:rPr>
            </w:pPr>
            <w:r>
              <w:rPr>
                <w:rFonts w:ascii="Arial" w:cs="Arial" w:eastAsia="Arial" w:hAnsi="Arial"/>
                <w:sz w:val="16"/>
                <w:szCs w:val="16"/>
                <w:color w:val="auto"/>
              </w:rPr>
              <w:t>Impairment of goodwill and intangible assets</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47,060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180" w:type="dxa"/>
            <w:vAlign w:val="bottom"/>
          </w:tcPr>
          <w:p>
            <w:pPr>
              <w:ind w:left="680"/>
              <w:spacing w:after="0"/>
              <w:rPr>
                <w:sz w:val="20"/>
                <w:szCs w:val="20"/>
                <w:color w:val="auto"/>
              </w:rPr>
            </w:pPr>
            <w:r>
              <w:rPr>
                <w:rFonts w:ascii="Arial" w:cs="Arial" w:eastAsia="Arial" w:hAnsi="Arial"/>
                <w:sz w:val="16"/>
                <w:szCs w:val="16"/>
                <w:color w:val="auto"/>
              </w:rPr>
              <w:t>Impairment of investment in unconsolidated affiliate</w:t>
            </w:r>
          </w:p>
        </w:tc>
        <w:tc>
          <w:tcPr>
            <w:tcW w:w="3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19,725</w:t>
            </w:r>
          </w:p>
        </w:tc>
        <w:tc>
          <w:tcPr>
            <w:tcW w:w="0" w:type="dxa"/>
            <w:vAlign w:val="bottom"/>
          </w:tcPr>
          <w:p>
            <w:pPr>
              <w:spacing w:after="0"/>
              <w:rPr>
                <w:sz w:val="1"/>
                <w:szCs w:val="1"/>
                <w:color w:val="auto"/>
              </w:rPr>
            </w:pPr>
          </w:p>
        </w:tc>
      </w:tr>
      <w:tr>
        <w:trPr>
          <w:trHeight w:val="270"/>
        </w:trPr>
        <w:tc>
          <w:tcPr>
            <w:tcW w:w="8180" w:type="dxa"/>
            <w:vAlign w:val="bottom"/>
          </w:tcPr>
          <w:p>
            <w:pPr>
              <w:ind w:left="680"/>
              <w:spacing w:after="0"/>
              <w:rPr>
                <w:sz w:val="20"/>
                <w:szCs w:val="20"/>
                <w:color w:val="auto"/>
              </w:rPr>
            </w:pPr>
            <w:r>
              <w:rPr>
                <w:rFonts w:ascii="Arial" w:cs="Arial" w:eastAsia="Arial" w:hAnsi="Arial"/>
                <w:sz w:val="16"/>
                <w:szCs w:val="16"/>
                <w:color w:val="auto"/>
              </w:rPr>
              <w:t>Other adjustments</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2,128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1,875</w:t>
            </w:r>
          </w:p>
        </w:tc>
        <w:tc>
          <w:tcPr>
            <w:tcW w:w="0" w:type="dxa"/>
            <w:vAlign w:val="bottom"/>
          </w:tcPr>
          <w:p>
            <w:pPr>
              <w:spacing w:after="0"/>
              <w:rPr>
                <w:sz w:val="1"/>
                <w:szCs w:val="1"/>
                <w:color w:val="auto"/>
              </w:rPr>
            </w:pPr>
          </w:p>
        </w:tc>
      </w:tr>
      <w:tr>
        <w:trPr>
          <w:trHeight w:val="270"/>
        </w:trPr>
        <w:tc>
          <w:tcPr>
            <w:tcW w:w="8180" w:type="dxa"/>
            <w:vAlign w:val="bottom"/>
          </w:tcPr>
          <w:p>
            <w:pPr>
              <w:ind w:left="680"/>
              <w:spacing w:after="0"/>
              <w:rPr>
                <w:sz w:val="20"/>
                <w:szCs w:val="20"/>
                <w:color w:val="auto"/>
              </w:rPr>
            </w:pPr>
            <w:r>
              <w:rPr>
                <w:rFonts w:ascii="Arial" w:cs="Arial" w:eastAsia="Arial" w:hAnsi="Arial"/>
                <w:sz w:val="16"/>
                <w:szCs w:val="16"/>
                <w:color w:val="auto"/>
              </w:rPr>
              <w:t>Reserve on jewelry scrap receivable</w:t>
            </w:r>
          </w:p>
        </w:tc>
        <w:tc>
          <w:tcPr>
            <w:tcW w:w="3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3,646</w:t>
            </w:r>
          </w:p>
        </w:tc>
        <w:tc>
          <w:tcPr>
            <w:tcW w:w="0" w:type="dxa"/>
            <w:vAlign w:val="bottom"/>
          </w:tcPr>
          <w:p>
            <w:pPr>
              <w:spacing w:after="0"/>
              <w:rPr>
                <w:sz w:val="1"/>
                <w:szCs w:val="1"/>
                <w:color w:val="auto"/>
              </w:rPr>
            </w:pPr>
          </w:p>
        </w:tc>
      </w:tr>
      <w:tr>
        <w:trPr>
          <w:trHeight w:val="270"/>
        </w:trPr>
        <w:tc>
          <w:tcPr>
            <w:tcW w:w="8180" w:type="dxa"/>
            <w:vAlign w:val="bottom"/>
          </w:tcPr>
          <w:p>
            <w:pPr>
              <w:ind w:left="680"/>
              <w:spacing w:after="0"/>
              <w:rPr>
                <w:sz w:val="20"/>
                <w:szCs w:val="20"/>
                <w:color w:val="auto"/>
              </w:rPr>
            </w:pPr>
            <w:r>
              <w:rPr>
                <w:rFonts w:ascii="Arial" w:cs="Arial" w:eastAsia="Arial" w:hAnsi="Arial"/>
                <w:sz w:val="16"/>
                <w:szCs w:val="16"/>
                <w:color w:val="auto"/>
              </w:rPr>
              <w:t>Stock compensation expense</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5,093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7,036</w:t>
            </w:r>
          </w:p>
        </w:tc>
        <w:tc>
          <w:tcPr>
            <w:tcW w:w="0" w:type="dxa"/>
            <w:vAlign w:val="bottom"/>
          </w:tcPr>
          <w:p>
            <w:pPr>
              <w:spacing w:after="0"/>
              <w:rPr>
                <w:sz w:val="1"/>
                <w:szCs w:val="1"/>
                <w:color w:val="auto"/>
              </w:rPr>
            </w:pPr>
          </w:p>
        </w:tc>
      </w:tr>
      <w:tr>
        <w:trPr>
          <w:trHeight w:val="270"/>
        </w:trPr>
        <w:tc>
          <w:tcPr>
            <w:tcW w:w="8180" w:type="dxa"/>
            <w:vAlign w:val="bottom"/>
          </w:tcPr>
          <w:p>
            <w:pPr>
              <w:ind w:left="680"/>
              <w:spacing w:after="0"/>
              <w:rPr>
                <w:sz w:val="20"/>
                <w:szCs w:val="20"/>
                <w:color w:val="auto"/>
              </w:rPr>
            </w:pPr>
            <w:r>
              <w:rPr>
                <w:rFonts w:ascii="Arial" w:cs="Arial" w:eastAsia="Arial" w:hAnsi="Arial"/>
                <w:sz w:val="16"/>
                <w:szCs w:val="16"/>
                <w:color w:val="auto"/>
              </w:rPr>
              <w:t>Equity in net loss (gain) from investment in unconsolidated affiliates</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5,896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270"/>
        </w:trPr>
        <w:tc>
          <w:tcPr>
            <w:tcW w:w="8180" w:type="dxa"/>
            <w:vAlign w:val="bottom"/>
          </w:tcPr>
          <w:p>
            <w:pPr>
              <w:ind w:left="240"/>
              <w:spacing w:after="0"/>
              <w:rPr>
                <w:sz w:val="20"/>
                <w:szCs w:val="20"/>
                <w:color w:val="auto"/>
              </w:rPr>
            </w:pPr>
            <w:r>
              <w:rPr>
                <w:rFonts w:ascii="Arial" w:cs="Arial" w:eastAsia="Arial" w:hAnsi="Arial"/>
                <w:sz w:val="16"/>
                <w:szCs w:val="16"/>
                <w:color w:val="auto"/>
              </w:rPr>
              <w:t>Changes in operating assets and liabilities, net of business acquisitions:</w:t>
            </w: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80" w:type="dxa"/>
            <w:vAlign w:val="bottom"/>
          </w:tcPr>
          <w:p>
            <w:pPr>
              <w:ind w:left="460"/>
              <w:spacing w:after="0"/>
              <w:rPr>
                <w:sz w:val="20"/>
                <w:szCs w:val="20"/>
                <w:color w:val="auto"/>
              </w:rPr>
            </w:pPr>
            <w:r>
              <w:rPr>
                <w:rFonts w:ascii="Arial" w:cs="Arial" w:eastAsia="Arial" w:hAnsi="Arial"/>
                <w:sz w:val="16"/>
                <w:szCs w:val="16"/>
                <w:color w:val="auto"/>
              </w:rPr>
              <w:t>Service charges and fees receivable</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14,076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1,301</w:t>
            </w:r>
          </w:p>
        </w:tc>
        <w:tc>
          <w:tcPr>
            <w:tcW w:w="0" w:type="dxa"/>
            <w:vAlign w:val="bottom"/>
          </w:tcPr>
          <w:p>
            <w:pPr>
              <w:spacing w:after="0"/>
              <w:rPr>
                <w:sz w:val="1"/>
                <w:szCs w:val="1"/>
                <w:color w:val="auto"/>
              </w:rPr>
            </w:pPr>
          </w:p>
        </w:tc>
      </w:tr>
      <w:tr>
        <w:trPr>
          <w:trHeight w:val="270"/>
        </w:trPr>
        <w:tc>
          <w:tcPr>
            <w:tcW w:w="8180" w:type="dxa"/>
            <w:vAlign w:val="bottom"/>
          </w:tcPr>
          <w:p>
            <w:pPr>
              <w:ind w:left="460"/>
              <w:spacing w:after="0"/>
              <w:rPr>
                <w:sz w:val="20"/>
                <w:szCs w:val="20"/>
                <w:color w:val="auto"/>
              </w:rPr>
            </w:pPr>
            <w:r>
              <w:rPr>
                <w:rFonts w:ascii="Arial" w:cs="Arial" w:eastAsia="Arial" w:hAnsi="Arial"/>
                <w:sz w:val="16"/>
                <w:szCs w:val="16"/>
                <w:color w:val="auto"/>
              </w:rPr>
              <w:t>Inventory</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7,990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1,377</w:t>
            </w:r>
          </w:p>
        </w:tc>
        <w:tc>
          <w:tcPr>
            <w:tcW w:w="0" w:type="dxa"/>
            <w:vAlign w:val="bottom"/>
          </w:tcPr>
          <w:p>
            <w:pPr>
              <w:spacing w:after="0"/>
              <w:rPr>
                <w:sz w:val="1"/>
                <w:szCs w:val="1"/>
                <w:color w:val="auto"/>
              </w:rPr>
            </w:pPr>
          </w:p>
        </w:tc>
      </w:tr>
      <w:tr>
        <w:trPr>
          <w:trHeight w:val="270"/>
        </w:trPr>
        <w:tc>
          <w:tcPr>
            <w:tcW w:w="8180" w:type="dxa"/>
            <w:vAlign w:val="bottom"/>
          </w:tcPr>
          <w:p>
            <w:pPr>
              <w:ind w:left="460"/>
              <w:spacing w:after="0"/>
              <w:rPr>
                <w:sz w:val="20"/>
                <w:szCs w:val="20"/>
                <w:color w:val="auto"/>
              </w:rPr>
            </w:pPr>
            <w:r>
              <w:rPr>
                <w:rFonts w:ascii="Arial" w:cs="Arial" w:eastAsia="Arial" w:hAnsi="Arial"/>
                <w:sz w:val="16"/>
                <w:szCs w:val="16"/>
                <w:color w:val="auto"/>
              </w:rPr>
              <w:t>Prepaid expenses, other current assets and other assets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(3,348)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(4,194)</w:t>
            </w:r>
          </w:p>
        </w:tc>
        <w:tc>
          <w:tcPr>
            <w:tcW w:w="0" w:type="dxa"/>
            <w:vAlign w:val="bottom"/>
          </w:tcPr>
          <w:p>
            <w:pPr>
              <w:spacing w:after="0"/>
              <w:rPr>
                <w:sz w:val="1"/>
                <w:szCs w:val="1"/>
                <w:color w:val="auto"/>
              </w:rPr>
            </w:pPr>
          </w:p>
        </w:tc>
      </w:tr>
      <w:tr>
        <w:trPr>
          <w:trHeight w:val="270"/>
        </w:trPr>
        <w:tc>
          <w:tcPr>
            <w:tcW w:w="8180" w:type="dxa"/>
            <w:vAlign w:val="bottom"/>
          </w:tcPr>
          <w:p>
            <w:pPr>
              <w:ind w:left="460"/>
              <w:spacing w:after="0"/>
              <w:rPr>
                <w:sz w:val="20"/>
                <w:szCs w:val="20"/>
                <w:color w:val="auto"/>
              </w:rPr>
            </w:pPr>
            <w:r>
              <w:rPr>
                <w:rFonts w:ascii="Arial" w:cs="Arial" w:eastAsia="Arial" w:hAnsi="Arial"/>
                <w:sz w:val="16"/>
                <w:szCs w:val="16"/>
                <w:color w:val="auto"/>
              </w:rPr>
              <w:t>Accounts payable, accrued expenses and other liabilities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(40,450)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(1,477)</w:t>
            </w:r>
          </w:p>
        </w:tc>
        <w:tc>
          <w:tcPr>
            <w:tcW w:w="0" w:type="dxa"/>
            <w:vAlign w:val="bottom"/>
          </w:tcPr>
          <w:p>
            <w:pPr>
              <w:spacing w:after="0"/>
              <w:rPr>
                <w:sz w:val="1"/>
                <w:szCs w:val="1"/>
                <w:color w:val="auto"/>
              </w:rPr>
            </w:pPr>
          </w:p>
        </w:tc>
      </w:tr>
      <w:tr>
        <w:trPr>
          <w:trHeight w:val="270"/>
        </w:trPr>
        <w:tc>
          <w:tcPr>
            <w:tcW w:w="8180" w:type="dxa"/>
            <w:vAlign w:val="bottom"/>
          </w:tcPr>
          <w:p>
            <w:pPr>
              <w:ind w:left="460"/>
              <w:spacing w:after="0"/>
              <w:rPr>
                <w:sz w:val="20"/>
                <w:szCs w:val="20"/>
                <w:color w:val="auto"/>
              </w:rPr>
            </w:pPr>
            <w:r>
              <w:rPr>
                <w:rFonts w:ascii="Arial" w:cs="Arial" w:eastAsia="Arial" w:hAnsi="Arial"/>
                <w:sz w:val="16"/>
                <w:szCs w:val="16"/>
                <w:color w:val="auto"/>
              </w:rPr>
              <w:t>Customer layaway deposits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949</w:t>
            </w:r>
          </w:p>
        </w:tc>
        <w:tc>
          <w:tcPr>
            <w:tcW w:w="0" w:type="dxa"/>
            <w:vAlign w:val="bottom"/>
          </w:tcPr>
          <w:p>
            <w:pPr>
              <w:spacing w:after="0"/>
              <w:rPr>
                <w:sz w:val="1"/>
                <w:szCs w:val="1"/>
                <w:color w:val="auto"/>
              </w:rPr>
            </w:pPr>
          </w:p>
        </w:tc>
      </w:tr>
      <w:tr>
        <w:trPr>
          <w:trHeight w:val="270"/>
        </w:trPr>
        <w:tc>
          <w:tcPr>
            <w:tcW w:w="8180" w:type="dxa"/>
            <w:vAlign w:val="bottom"/>
          </w:tcPr>
          <w:p>
            <w:pPr>
              <w:ind w:left="460"/>
              <w:spacing w:after="0"/>
              <w:rPr>
                <w:sz w:val="20"/>
                <w:szCs w:val="20"/>
                <w:color w:val="auto"/>
              </w:rPr>
            </w:pPr>
            <w:r>
              <w:rPr>
                <w:rFonts w:ascii="Arial" w:cs="Arial" w:eastAsia="Arial" w:hAnsi="Arial"/>
                <w:sz w:val="16"/>
                <w:szCs w:val="16"/>
                <w:color w:val="auto"/>
              </w:rPr>
              <w:t>Income taxes</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514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(5,527)</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180" w:type="dxa"/>
            <w:vAlign w:val="bottom"/>
          </w:tcPr>
          <w:p>
            <w:pPr>
              <w:ind w:left="78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Pr>
          <w:p>
            <w:pPr>
              <w:spacing w:after="0"/>
              <w:rPr>
                <w:sz w:val="18"/>
                <w:szCs w:val="18"/>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56,365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64,977</w:t>
            </w:r>
          </w:p>
        </w:tc>
        <w:tc>
          <w:tcPr>
            <w:tcW w:w="0" w:type="dxa"/>
            <w:vAlign w:val="bottom"/>
          </w:tcPr>
          <w:p>
            <w:pPr>
              <w:spacing w:after="0"/>
              <w:rPr>
                <w:sz w:val="1"/>
                <w:szCs w:val="1"/>
                <w:color w:val="auto"/>
              </w:rPr>
            </w:pPr>
          </w:p>
        </w:tc>
      </w:tr>
      <w:tr>
        <w:trPr>
          <w:trHeight w:val="270"/>
        </w:trPr>
        <w:tc>
          <w:tcPr>
            <w:tcW w:w="8180" w:type="dxa"/>
            <w:vAlign w:val="bottom"/>
          </w:tcPr>
          <w:p>
            <w:pPr>
              <w:spacing w:after="0"/>
              <w:rPr>
                <w:sz w:val="20"/>
                <w:szCs w:val="20"/>
                <w:color w:val="auto"/>
              </w:rPr>
            </w:pPr>
            <w:r>
              <w:rPr>
                <w:rFonts w:ascii="Arial" w:cs="Arial" w:eastAsia="Arial" w:hAnsi="Arial"/>
                <w:sz w:val="16"/>
                <w:szCs w:val="16"/>
                <w:color w:val="auto"/>
              </w:rPr>
              <w:t>Investing activities:</w:t>
            </w: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80" w:type="dxa"/>
            <w:vAlign w:val="bottom"/>
          </w:tcPr>
          <w:p>
            <w:pPr>
              <w:ind w:left="240"/>
              <w:spacing w:after="0"/>
              <w:rPr>
                <w:sz w:val="20"/>
                <w:szCs w:val="20"/>
                <w:color w:val="auto"/>
              </w:rPr>
            </w:pPr>
            <w:r>
              <w:rPr>
                <w:rFonts w:ascii="Arial" w:cs="Arial" w:eastAsia="Arial" w:hAnsi="Arial"/>
                <w:sz w:val="16"/>
                <w:szCs w:val="16"/>
                <w:color w:val="auto"/>
              </w:rPr>
              <w:t>Loans made</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(442,752)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(542,512)</w:t>
            </w:r>
          </w:p>
        </w:tc>
        <w:tc>
          <w:tcPr>
            <w:tcW w:w="0" w:type="dxa"/>
            <w:vAlign w:val="bottom"/>
          </w:tcPr>
          <w:p>
            <w:pPr>
              <w:spacing w:after="0"/>
              <w:rPr>
                <w:sz w:val="1"/>
                <w:szCs w:val="1"/>
                <w:color w:val="auto"/>
              </w:rPr>
            </w:pPr>
          </w:p>
        </w:tc>
      </w:tr>
      <w:tr>
        <w:trPr>
          <w:trHeight w:val="270"/>
        </w:trPr>
        <w:tc>
          <w:tcPr>
            <w:tcW w:w="8180" w:type="dxa"/>
            <w:vAlign w:val="bottom"/>
          </w:tcPr>
          <w:p>
            <w:pPr>
              <w:ind w:left="240"/>
              <w:spacing w:after="0"/>
              <w:rPr>
                <w:sz w:val="20"/>
                <w:szCs w:val="20"/>
                <w:color w:val="auto"/>
              </w:rPr>
            </w:pPr>
            <w:r>
              <w:rPr>
                <w:rFonts w:ascii="Arial" w:cs="Arial" w:eastAsia="Arial" w:hAnsi="Arial"/>
                <w:sz w:val="16"/>
                <w:szCs w:val="16"/>
                <w:color w:val="auto"/>
              </w:rPr>
              <w:t>Loans repaid</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321,718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328,079</w:t>
            </w:r>
          </w:p>
        </w:tc>
        <w:tc>
          <w:tcPr>
            <w:tcW w:w="0" w:type="dxa"/>
            <w:vAlign w:val="bottom"/>
          </w:tcPr>
          <w:p>
            <w:pPr>
              <w:spacing w:after="0"/>
              <w:rPr>
                <w:sz w:val="1"/>
                <w:szCs w:val="1"/>
                <w:color w:val="auto"/>
              </w:rPr>
            </w:pPr>
          </w:p>
        </w:tc>
      </w:tr>
      <w:tr>
        <w:trPr>
          <w:trHeight w:val="270"/>
        </w:trPr>
        <w:tc>
          <w:tcPr>
            <w:tcW w:w="8180" w:type="dxa"/>
            <w:vAlign w:val="bottom"/>
          </w:tcPr>
          <w:p>
            <w:pPr>
              <w:ind w:left="240"/>
              <w:spacing w:after="0"/>
              <w:rPr>
                <w:sz w:val="20"/>
                <w:szCs w:val="20"/>
                <w:color w:val="auto"/>
              </w:rPr>
            </w:pPr>
            <w:r>
              <w:rPr>
                <w:rFonts w:ascii="Arial" w:cs="Arial" w:eastAsia="Arial" w:hAnsi="Arial"/>
                <w:sz w:val="16"/>
                <w:szCs w:val="16"/>
                <w:color w:val="auto"/>
              </w:rPr>
              <w:t>Recovery of pawn loan principal through sale of forfeited collateral</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248,290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211,979</w:t>
            </w:r>
          </w:p>
        </w:tc>
        <w:tc>
          <w:tcPr>
            <w:tcW w:w="0" w:type="dxa"/>
            <w:vAlign w:val="bottom"/>
          </w:tcPr>
          <w:p>
            <w:pPr>
              <w:spacing w:after="0"/>
              <w:rPr>
                <w:sz w:val="1"/>
                <w:szCs w:val="1"/>
                <w:color w:val="auto"/>
              </w:rPr>
            </w:pPr>
          </w:p>
        </w:tc>
      </w:tr>
      <w:tr>
        <w:trPr>
          <w:trHeight w:val="270"/>
        </w:trPr>
        <w:tc>
          <w:tcPr>
            <w:tcW w:w="8180" w:type="dxa"/>
            <w:vAlign w:val="bottom"/>
          </w:tcPr>
          <w:p>
            <w:pPr>
              <w:ind w:left="240"/>
              <w:spacing w:after="0"/>
              <w:rPr>
                <w:sz w:val="20"/>
                <w:szCs w:val="20"/>
                <w:color w:val="auto"/>
              </w:rPr>
            </w:pPr>
            <w:r>
              <w:rPr>
                <w:rFonts w:ascii="Arial" w:cs="Arial" w:eastAsia="Arial" w:hAnsi="Arial"/>
                <w:sz w:val="16"/>
                <w:szCs w:val="16"/>
                <w:color w:val="auto"/>
              </w:rPr>
              <w:t>Additions to property and equipment, net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(20,867)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(24,568)</w:t>
            </w:r>
          </w:p>
        </w:tc>
        <w:tc>
          <w:tcPr>
            <w:tcW w:w="0" w:type="dxa"/>
            <w:vAlign w:val="bottom"/>
          </w:tcPr>
          <w:p>
            <w:pPr>
              <w:spacing w:after="0"/>
              <w:rPr>
                <w:sz w:val="1"/>
                <w:szCs w:val="1"/>
                <w:color w:val="auto"/>
              </w:rPr>
            </w:pPr>
          </w:p>
        </w:tc>
      </w:tr>
      <w:tr>
        <w:trPr>
          <w:trHeight w:val="270"/>
        </w:trPr>
        <w:tc>
          <w:tcPr>
            <w:tcW w:w="8180" w:type="dxa"/>
            <w:vAlign w:val="bottom"/>
          </w:tcPr>
          <w:p>
            <w:pPr>
              <w:ind w:left="240"/>
              <w:spacing w:after="0"/>
              <w:rPr>
                <w:sz w:val="20"/>
                <w:szCs w:val="20"/>
                <w:color w:val="auto"/>
              </w:rPr>
            </w:pPr>
            <w:r>
              <w:rPr>
                <w:rFonts w:ascii="Arial" w:cs="Arial" w:eastAsia="Arial" w:hAnsi="Arial"/>
                <w:sz w:val="16"/>
                <w:szCs w:val="16"/>
                <w:color w:val="auto"/>
              </w:rPr>
              <w:t>Acquisitions, net of cash acquired</w:t>
            </w:r>
          </w:p>
        </w:tc>
        <w:tc>
          <w:tcPr>
            <w:tcW w:w="3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(8,116)</w:t>
            </w:r>
          </w:p>
        </w:tc>
        <w:tc>
          <w:tcPr>
            <w:tcW w:w="0" w:type="dxa"/>
            <w:vAlign w:val="bottom"/>
          </w:tcPr>
          <w:p>
            <w:pPr>
              <w:spacing w:after="0"/>
              <w:rPr>
                <w:sz w:val="1"/>
                <w:szCs w:val="1"/>
                <w:color w:val="auto"/>
              </w:rPr>
            </w:pPr>
          </w:p>
        </w:tc>
      </w:tr>
      <w:tr>
        <w:trPr>
          <w:trHeight w:val="270"/>
        </w:trPr>
        <w:tc>
          <w:tcPr>
            <w:tcW w:w="8180" w:type="dxa"/>
            <w:vAlign w:val="bottom"/>
          </w:tcPr>
          <w:p>
            <w:pPr>
              <w:ind w:left="240"/>
              <w:spacing w:after="0"/>
              <w:rPr>
                <w:sz w:val="20"/>
                <w:szCs w:val="20"/>
                <w:color w:val="auto"/>
              </w:rPr>
            </w:pPr>
            <w:r>
              <w:rPr>
                <w:rFonts w:ascii="Arial" w:cs="Arial" w:eastAsia="Arial" w:hAnsi="Arial"/>
                <w:sz w:val="16"/>
                <w:szCs w:val="16"/>
                <w:color w:val="auto"/>
              </w:rPr>
              <w:t>Principal collections on notes receivable</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4,000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21,900</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180" w:type="dxa"/>
            <w:vAlign w:val="bottom"/>
          </w:tcPr>
          <w:p>
            <w:pPr>
              <w:ind w:left="780"/>
              <w:spacing w:after="0"/>
              <w:rPr>
                <w:sz w:val="20"/>
                <w:szCs w:val="20"/>
                <w:color w:val="auto"/>
              </w:rPr>
            </w:pPr>
            <w:r>
              <w:rPr>
                <w:rFonts w:ascii="Arial" w:cs="Arial" w:eastAsia="Arial" w:hAnsi="Arial"/>
                <w:sz w:val="16"/>
                <w:szCs w:val="16"/>
                <w:color w:val="auto"/>
              </w:rPr>
              <w:t>Net cash provided by (used in) investing activities</w:t>
            </w:r>
          </w:p>
        </w:tc>
        <w:tc>
          <w:tcPr>
            <w:tcW w:w="340" w:type="dxa"/>
            <w:vAlign w:val="bottom"/>
          </w:tcPr>
          <w:p>
            <w:pPr>
              <w:spacing w:after="0"/>
              <w:rPr>
                <w:sz w:val="18"/>
                <w:szCs w:val="18"/>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110,389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(13,238)</w:t>
            </w:r>
          </w:p>
        </w:tc>
        <w:tc>
          <w:tcPr>
            <w:tcW w:w="0" w:type="dxa"/>
            <w:vAlign w:val="bottom"/>
          </w:tcPr>
          <w:p>
            <w:pPr>
              <w:spacing w:after="0"/>
              <w:rPr>
                <w:sz w:val="1"/>
                <w:szCs w:val="1"/>
                <w:color w:val="auto"/>
              </w:rPr>
            </w:pPr>
          </w:p>
        </w:tc>
      </w:tr>
      <w:tr>
        <w:trPr>
          <w:trHeight w:val="270"/>
        </w:trPr>
        <w:tc>
          <w:tcPr>
            <w:tcW w:w="8180" w:type="dxa"/>
            <w:vAlign w:val="bottom"/>
          </w:tcPr>
          <w:p>
            <w:pPr>
              <w:spacing w:after="0"/>
              <w:rPr>
                <w:sz w:val="20"/>
                <w:szCs w:val="20"/>
                <w:color w:val="auto"/>
              </w:rPr>
            </w:pPr>
            <w:r>
              <w:rPr>
                <w:rFonts w:ascii="Arial" w:cs="Arial" w:eastAsia="Arial" w:hAnsi="Arial"/>
                <w:sz w:val="16"/>
                <w:szCs w:val="16"/>
                <w:color w:val="auto"/>
              </w:rPr>
              <w:t>Financing activities:</w:t>
            </w: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80" w:type="dxa"/>
            <w:vAlign w:val="bottom"/>
          </w:tcPr>
          <w:p>
            <w:pPr>
              <w:ind w:left="240"/>
              <w:spacing w:after="0"/>
              <w:rPr>
                <w:sz w:val="20"/>
                <w:szCs w:val="20"/>
                <w:color w:val="auto"/>
              </w:rPr>
            </w:pPr>
            <w:r>
              <w:rPr>
                <w:rFonts w:ascii="Arial" w:cs="Arial" w:eastAsia="Arial" w:hAnsi="Arial"/>
                <w:sz w:val="16"/>
                <w:szCs w:val="16"/>
                <w:color w:val="auto"/>
              </w:rPr>
              <w:t>Taxes paid related to net share settlement of equity awards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(1,458)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(3,288)</w:t>
            </w:r>
          </w:p>
        </w:tc>
        <w:tc>
          <w:tcPr>
            <w:tcW w:w="0" w:type="dxa"/>
            <w:vAlign w:val="bottom"/>
          </w:tcPr>
          <w:p>
            <w:pPr>
              <w:spacing w:after="0"/>
              <w:rPr>
                <w:sz w:val="1"/>
                <w:szCs w:val="1"/>
                <w:color w:val="auto"/>
              </w:rPr>
            </w:pPr>
          </w:p>
        </w:tc>
      </w:tr>
      <w:tr>
        <w:trPr>
          <w:trHeight w:val="270"/>
        </w:trPr>
        <w:tc>
          <w:tcPr>
            <w:tcW w:w="8180" w:type="dxa"/>
            <w:vAlign w:val="bottom"/>
          </w:tcPr>
          <w:p>
            <w:pPr>
              <w:ind w:left="240"/>
              <w:spacing w:after="0"/>
              <w:rPr>
                <w:sz w:val="20"/>
                <w:szCs w:val="20"/>
                <w:color w:val="auto"/>
              </w:rPr>
            </w:pPr>
            <w:r>
              <w:rPr>
                <w:rFonts w:ascii="Arial" w:cs="Arial" w:eastAsia="Arial" w:hAnsi="Arial"/>
                <w:sz w:val="16"/>
                <w:szCs w:val="16"/>
                <w:color w:val="auto"/>
              </w:rPr>
              <w:t>Payout of deferred consideration</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180" w:type="dxa"/>
            <w:vAlign w:val="bottom"/>
          </w:tcPr>
          <w:p>
            <w:pPr>
              <w:ind w:left="240"/>
              <w:spacing w:after="0"/>
              <w:rPr>
                <w:sz w:val="20"/>
                <w:szCs w:val="20"/>
                <w:color w:val="auto"/>
              </w:rPr>
            </w:pPr>
            <w:r>
              <w:rPr>
                <w:rFonts w:ascii="Arial" w:cs="Arial" w:eastAsia="Arial" w:hAnsi="Arial"/>
                <w:sz w:val="16"/>
                <w:szCs w:val="16"/>
                <w:color w:val="auto"/>
              </w:rPr>
              <w:t>Proceeds from borrowings, net of issuance costs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1,064</w:t>
            </w:r>
          </w:p>
        </w:tc>
        <w:tc>
          <w:tcPr>
            <w:tcW w:w="0" w:type="dxa"/>
            <w:vAlign w:val="bottom"/>
          </w:tcPr>
          <w:p>
            <w:pPr>
              <w:spacing w:after="0"/>
              <w:rPr>
                <w:sz w:val="1"/>
                <w:szCs w:val="1"/>
                <w:color w:val="auto"/>
              </w:rPr>
            </w:pPr>
          </w:p>
        </w:tc>
      </w:tr>
      <w:tr>
        <w:trPr>
          <w:trHeight w:val="270"/>
        </w:trPr>
        <w:tc>
          <w:tcPr>
            <w:tcW w:w="8180" w:type="dxa"/>
            <w:vAlign w:val="bottom"/>
          </w:tcPr>
          <w:p>
            <w:pPr>
              <w:ind w:left="240"/>
              <w:spacing w:after="0"/>
              <w:rPr>
                <w:sz w:val="20"/>
                <w:szCs w:val="20"/>
                <w:color w:val="auto"/>
              </w:rPr>
            </w:pPr>
            <w:r>
              <w:rPr>
                <w:rFonts w:ascii="Arial" w:cs="Arial" w:eastAsia="Arial" w:hAnsi="Arial"/>
                <w:sz w:val="16"/>
                <w:szCs w:val="16"/>
                <w:color w:val="auto"/>
              </w:rPr>
              <w:t>Payments on borrowings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(195,877)</w:t>
            </w:r>
          </w:p>
        </w:tc>
        <w:tc>
          <w:tcPr>
            <w:tcW w:w="0" w:type="dxa"/>
            <w:vAlign w:val="bottom"/>
          </w:tcPr>
          <w:p>
            <w:pPr>
              <w:spacing w:after="0"/>
              <w:rPr>
                <w:sz w:val="1"/>
                <w:szCs w:val="1"/>
                <w:color w:val="auto"/>
              </w:rPr>
            </w:pPr>
          </w:p>
        </w:tc>
      </w:tr>
      <w:tr>
        <w:trPr>
          <w:trHeight w:val="270"/>
        </w:trPr>
        <w:tc>
          <w:tcPr>
            <w:tcW w:w="8180" w:type="dxa"/>
            <w:vAlign w:val="bottom"/>
          </w:tcPr>
          <w:p>
            <w:pPr>
              <w:ind w:left="240"/>
              <w:spacing w:after="0"/>
              <w:rPr>
                <w:sz w:val="20"/>
                <w:szCs w:val="20"/>
                <w:color w:val="auto"/>
              </w:rPr>
            </w:pPr>
            <w:r>
              <w:rPr>
                <w:rFonts w:ascii="Arial" w:cs="Arial" w:eastAsia="Arial" w:hAnsi="Arial"/>
                <w:sz w:val="16"/>
                <w:szCs w:val="16"/>
                <w:color w:val="auto"/>
              </w:rPr>
              <w:t>Repurchase of common stock</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(5,158)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180" w:type="dxa"/>
            <w:vAlign w:val="bottom"/>
          </w:tcPr>
          <w:p>
            <w:pPr>
              <w:ind w:left="780"/>
              <w:spacing w:after="0"/>
              <w:rPr>
                <w:sz w:val="20"/>
                <w:szCs w:val="20"/>
                <w:color w:val="auto"/>
              </w:rPr>
            </w:pPr>
            <w:r>
              <w:rPr>
                <w:rFonts w:ascii="Arial" w:cs="Arial" w:eastAsia="Arial" w:hAnsi="Arial"/>
                <w:sz w:val="16"/>
                <w:szCs w:val="16"/>
                <w:color w:val="auto"/>
              </w:rPr>
              <w:t>Net cash used in financing activities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(7,388)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(198,101)</w:t>
            </w:r>
          </w:p>
        </w:tc>
        <w:tc>
          <w:tcPr>
            <w:tcW w:w="0" w:type="dxa"/>
            <w:vAlign w:val="bottom"/>
          </w:tcPr>
          <w:p>
            <w:pPr>
              <w:spacing w:after="0"/>
              <w:rPr>
                <w:sz w:val="1"/>
                <w:szCs w:val="1"/>
                <w:color w:val="auto"/>
              </w:rPr>
            </w:pPr>
          </w:p>
        </w:tc>
      </w:tr>
      <w:tr>
        <w:trPr>
          <w:trHeight w:val="270"/>
        </w:trPr>
        <w:tc>
          <w:tcPr>
            <w:tcW w:w="8180" w:type="dxa"/>
            <w:vAlign w:val="bottom"/>
          </w:tcPr>
          <w:p>
            <w:pPr>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(6,678)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180" w:type="dxa"/>
            <w:vAlign w:val="bottom"/>
          </w:tcPr>
          <w:p>
            <w:pPr>
              <w:spacing w:after="0"/>
              <w:rPr>
                <w:sz w:val="20"/>
                <w:szCs w:val="20"/>
                <w:color w:val="auto"/>
              </w:rPr>
            </w:pPr>
            <w:r>
              <w:rPr>
                <w:rFonts w:ascii="Arial" w:cs="Arial" w:eastAsia="Arial" w:hAnsi="Arial"/>
                <w:sz w:val="16"/>
                <w:szCs w:val="16"/>
                <w:color w:val="auto"/>
              </w:rPr>
              <w:t>Net increase in cash, cash equivalents and restricted cash</w:t>
            </w:r>
          </w:p>
        </w:tc>
        <w:tc>
          <w:tcPr>
            <w:tcW w:w="340" w:type="dxa"/>
            <w:vAlign w:val="bottom"/>
          </w:tcPr>
          <w:p>
            <w:pPr>
              <w:spacing w:after="0"/>
              <w:rPr>
                <w:sz w:val="18"/>
                <w:szCs w:val="18"/>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152,688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(146,656)</w:t>
            </w:r>
          </w:p>
        </w:tc>
        <w:tc>
          <w:tcPr>
            <w:tcW w:w="0" w:type="dxa"/>
            <w:vAlign w:val="bottom"/>
          </w:tcPr>
          <w:p>
            <w:pPr>
              <w:spacing w:after="0"/>
              <w:rPr>
                <w:sz w:val="1"/>
                <w:szCs w:val="1"/>
                <w:color w:val="auto"/>
              </w:rPr>
            </w:pPr>
          </w:p>
        </w:tc>
      </w:tr>
      <w:tr>
        <w:trPr>
          <w:trHeight w:val="270"/>
        </w:trPr>
        <w:tc>
          <w:tcPr>
            <w:tcW w:w="8180" w:type="dxa"/>
            <w:vAlign w:val="bottom"/>
          </w:tcPr>
          <w:p>
            <w:pPr>
              <w:spacing w:after="0"/>
              <w:rPr>
                <w:sz w:val="20"/>
                <w:szCs w:val="20"/>
                <w:color w:val="auto"/>
              </w:rPr>
            </w:pPr>
            <w:r>
              <w:rPr>
                <w:rFonts w:ascii="Arial" w:cs="Arial" w:eastAsia="Arial" w:hAnsi="Arial"/>
                <w:sz w:val="16"/>
                <w:szCs w:val="16"/>
                <w:color w:val="auto"/>
              </w:rPr>
              <w:t>Cash, cash equivalents and restricted cash at beginning of period</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162,442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285,578</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80" w:type="dxa"/>
            <w:vAlign w:val="bottom"/>
          </w:tcPr>
          <w:p>
            <w:pPr>
              <w:spacing w:after="0"/>
              <w:rPr>
                <w:sz w:val="20"/>
                <w:szCs w:val="20"/>
                <w:color w:val="auto"/>
              </w:rPr>
            </w:pPr>
            <w:r>
              <w:rPr>
                <w:rFonts w:ascii="Arial" w:cs="Arial" w:eastAsia="Arial" w:hAnsi="Arial"/>
                <w:sz w:val="16"/>
                <w:szCs w:val="16"/>
                <w:color w:val="auto"/>
              </w:rPr>
              <w:t>Cash, cash equivalents and restricted cash at end of period</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315,130</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138,922</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Arial" w:cs="Arial" w:eastAsia="Arial" w:hAnsi="Arial"/>
                <w:sz w:val="16"/>
                <w:szCs w:val="16"/>
                <w:color w:val="auto"/>
              </w:rPr>
              <w:t>Non-cash investing and financing activities:</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180" w:type="dxa"/>
            <w:vAlign w:val="bottom"/>
          </w:tcPr>
          <w:p>
            <w:pPr>
              <w:ind w:left="240"/>
              <w:spacing w:after="0"/>
              <w:rPr>
                <w:sz w:val="20"/>
                <w:szCs w:val="20"/>
                <w:color w:val="auto"/>
              </w:rPr>
            </w:pPr>
            <w:r>
              <w:rPr>
                <w:rFonts w:ascii="Arial" w:cs="Arial" w:eastAsia="Arial" w:hAnsi="Arial"/>
                <w:sz w:val="16"/>
                <w:szCs w:val="16"/>
                <w:color w:val="auto"/>
              </w:rPr>
              <w:t>Pawn loans forfeited and transferred to inventory</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200,160</w:t>
            </w:r>
          </w:p>
        </w:tc>
        <w:tc>
          <w:tcPr>
            <w:tcW w:w="120" w:type="dxa"/>
            <w:vAlign w:val="bottom"/>
          </w:tcPr>
          <w:p>
            <w:pPr>
              <w:spacing w:after="0"/>
              <w:rPr>
                <w:sz w:val="23"/>
                <w:szCs w:val="23"/>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221,940</w:t>
            </w:r>
          </w:p>
        </w:tc>
        <w:tc>
          <w:tcPr>
            <w:tcW w:w="0" w:type="dxa"/>
            <w:vAlign w:val="bottom"/>
          </w:tcPr>
          <w:p>
            <w:pPr>
              <w:spacing w:after="0"/>
              <w:rPr>
                <w:sz w:val="1"/>
                <w:szCs w:val="1"/>
                <w:color w:val="auto"/>
              </w:rPr>
            </w:pPr>
          </w:p>
        </w:tc>
      </w:tr>
    </w:tbl>
    <w:p>
      <w:pPr>
        <w:sectPr>
          <w:pgSz w:w="11900" w:h="16838" w:orient="portrait"/>
          <w:cols w:equalWidth="0" w:num="1">
            <w:col w:w="11200"/>
          </w:cols>
          <w:pgMar w:left="360" w:top="909" w:right="339" w:bottom="1440" w:gutter="0" w:footer="0" w:header="0"/>
        </w:sectPr>
      </w:pPr>
    </w:p>
    <w:bookmarkStart w:id="9" w:name="page10"/>
    <w:bookmarkEnd w:id="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jc w:val="center"/>
        <w:ind w:right="40"/>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OPERATING SEGMENT RESULTS</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i w:val="1"/>
          <w:iCs w:val="1"/>
          <w:color w:val="auto"/>
        </w:rPr>
        <w:t>(Unaudited and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8"/>
          </w:tcPr>
          <w:p>
            <w:pPr>
              <w:jc w:val="center"/>
              <w:ind w:right="620"/>
              <w:spacing w:after="0"/>
              <w:rPr>
                <w:sz w:val="20"/>
                <w:szCs w:val="20"/>
                <w:color w:val="auto"/>
              </w:rPr>
            </w:pPr>
            <w:r>
              <w:rPr>
                <w:rFonts w:ascii="Arial" w:cs="Arial" w:eastAsia="Arial" w:hAnsi="Arial"/>
                <w:sz w:val="14"/>
                <w:szCs w:val="14"/>
                <w:b w:val="1"/>
                <w:bCs w:val="1"/>
                <w:color w:val="auto"/>
                <w:w w:val="93"/>
              </w:rPr>
              <w:t>Three Months Ended June 30, 2020</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Latin</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4"/>
              </w:rPr>
              <w:t>U.S. Pawn</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America</w:t>
            </w:r>
          </w:p>
        </w:tc>
        <w:tc>
          <w:tcPr>
            <w:tcW w:w="200" w:type="dxa"/>
            <w:vAlign w:val="bottom"/>
          </w:tcPr>
          <w:p>
            <w:pPr>
              <w:spacing w:after="0"/>
              <w:rPr>
                <w:sz w:val="12"/>
                <w:szCs w:val="12"/>
                <w:color w:val="auto"/>
              </w:rPr>
            </w:pPr>
          </w:p>
        </w:tc>
        <w:tc>
          <w:tcPr>
            <w:tcW w:w="64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Lana</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5"/>
              </w:rPr>
              <w:t>Total Segments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8"/>
              </w:rPr>
              <w:t>Pawn</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International</w:t>
            </w:r>
          </w:p>
        </w:tc>
        <w:tc>
          <w:tcPr>
            <w:tcW w:w="120" w:type="dxa"/>
            <w:vAlign w:val="bottom"/>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1"/>
        </w:trPr>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left="172"/>
              <w:spacing w:after="0"/>
              <w:rPr>
                <w:sz w:val="20"/>
                <w:szCs w:val="20"/>
                <w:color w:val="auto"/>
              </w:rPr>
            </w:pPr>
            <w:r>
              <w:rPr>
                <w:rFonts w:ascii="Arial" w:cs="Arial" w:eastAsia="Arial" w:hAnsi="Arial"/>
                <w:sz w:val="14"/>
                <w:szCs w:val="14"/>
                <w:i w:val="1"/>
                <w:iCs w:val="1"/>
                <w:color w:val="auto"/>
                <w:w w:val="92"/>
              </w:rPr>
              <w:t>(in thousands)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240" w:type="dxa"/>
            <w:vAlign w:val="bottom"/>
          </w:tcPr>
          <w:p>
            <w:pPr>
              <w:spacing w:after="0"/>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240"/>
              <w:spacing w:after="0"/>
              <w:rPr>
                <w:sz w:val="20"/>
                <w:szCs w:val="20"/>
                <w:color w:val="auto"/>
              </w:rPr>
            </w:pPr>
            <w:r>
              <w:rPr>
                <w:rFonts w:ascii="Arial" w:cs="Arial" w:eastAsia="Arial" w:hAnsi="Arial"/>
                <w:sz w:val="18"/>
                <w:szCs w:val="18"/>
                <w:color w:val="auto"/>
              </w:rPr>
              <w:t>Merchandise sales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116,258</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20,279</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5"/>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136,537</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136,537</w:t>
            </w:r>
          </w:p>
        </w:tc>
        <w:tc>
          <w:tcPr>
            <w:tcW w:w="0" w:type="dxa"/>
            <w:vAlign w:val="bottom"/>
          </w:tcPr>
          <w:p>
            <w:pPr>
              <w:spacing w:after="0"/>
              <w:rPr>
                <w:sz w:val="1"/>
                <w:szCs w:val="1"/>
                <w:color w:val="auto"/>
              </w:rPr>
            </w:pPr>
          </w:p>
        </w:tc>
      </w:tr>
      <w:tr>
        <w:trPr>
          <w:trHeight w:val="270"/>
        </w:trPr>
        <w:tc>
          <w:tcPr>
            <w:tcW w:w="3240" w:type="dxa"/>
            <w:vAlign w:val="bottom"/>
          </w:tcPr>
          <w:p>
            <w:pPr>
              <w:ind w:left="240"/>
              <w:spacing w:after="0"/>
              <w:rPr>
                <w:sz w:val="20"/>
                <w:szCs w:val="20"/>
                <w:color w:val="auto"/>
              </w:rPr>
            </w:pPr>
            <w:r>
              <w:rPr>
                <w:rFonts w:ascii="Arial" w:cs="Arial" w:eastAsia="Arial" w:hAnsi="Arial"/>
                <w:sz w:val="18"/>
                <w:szCs w:val="18"/>
                <w:color w:val="auto"/>
              </w:rPr>
              <w:t>Jewelry scrapping sales</w:t>
            </w:r>
          </w:p>
        </w:tc>
        <w:tc>
          <w:tcPr>
            <w:tcW w:w="12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17,129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3,174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20,303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20,303</w:t>
            </w:r>
          </w:p>
        </w:tc>
        <w:tc>
          <w:tcPr>
            <w:tcW w:w="0" w:type="dxa"/>
            <w:vAlign w:val="bottom"/>
          </w:tcPr>
          <w:p>
            <w:pPr>
              <w:spacing w:after="0"/>
              <w:rPr>
                <w:sz w:val="1"/>
                <w:szCs w:val="1"/>
                <w:color w:val="auto"/>
              </w:rPr>
            </w:pPr>
          </w:p>
        </w:tc>
      </w:tr>
      <w:tr>
        <w:trPr>
          <w:trHeight w:val="270"/>
        </w:trPr>
        <w:tc>
          <w:tcPr>
            <w:tcW w:w="3240" w:type="dxa"/>
            <w:vAlign w:val="bottom"/>
          </w:tcPr>
          <w:p>
            <w:pPr>
              <w:ind w:left="240"/>
              <w:spacing w:after="0"/>
              <w:rPr>
                <w:sz w:val="20"/>
                <w:szCs w:val="20"/>
                <w:color w:val="auto"/>
              </w:rPr>
            </w:pPr>
            <w:r>
              <w:rPr>
                <w:rFonts w:ascii="Arial" w:cs="Arial" w:eastAsia="Arial" w:hAnsi="Arial"/>
                <w:sz w:val="18"/>
                <w:szCs w:val="18"/>
                <w:color w:val="auto"/>
              </w:rPr>
              <w:t>Pawn service charges</w:t>
            </w:r>
          </w:p>
        </w:tc>
        <w:tc>
          <w:tcPr>
            <w:tcW w:w="12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41,069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11,391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52,460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52,460</w:t>
            </w:r>
          </w:p>
        </w:tc>
        <w:tc>
          <w:tcPr>
            <w:tcW w:w="0" w:type="dxa"/>
            <w:vAlign w:val="bottom"/>
          </w:tcPr>
          <w:p>
            <w:pPr>
              <w:spacing w:after="0"/>
              <w:rPr>
                <w:sz w:val="1"/>
                <w:szCs w:val="1"/>
                <w:color w:val="auto"/>
              </w:rPr>
            </w:pPr>
          </w:p>
        </w:tc>
      </w:tr>
      <w:tr>
        <w:trPr>
          <w:trHeight w:val="270"/>
        </w:trPr>
        <w:tc>
          <w:tcPr>
            <w:tcW w:w="3240" w:type="dxa"/>
            <w:vAlign w:val="bottom"/>
          </w:tcPr>
          <w:p>
            <w:pPr>
              <w:ind w:left="240"/>
              <w:spacing w:after="0"/>
              <w:rPr>
                <w:sz w:val="20"/>
                <w:szCs w:val="20"/>
                <w:color w:val="auto"/>
              </w:rPr>
            </w:pPr>
            <w:r>
              <w:rPr>
                <w:rFonts w:ascii="Arial" w:cs="Arial" w:eastAsia="Arial" w:hAnsi="Arial"/>
                <w:sz w:val="18"/>
                <w:szCs w:val="18"/>
                <w:color w:val="auto"/>
              </w:rPr>
              <w:t>Other revenues</w:t>
            </w:r>
          </w:p>
        </w:tc>
        <w:tc>
          <w:tcPr>
            <w:tcW w:w="12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884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tcPr>
          <w:p>
            <w:pPr>
              <w:ind w:left="460"/>
              <w:spacing w:after="0"/>
              <w:rPr>
                <w:sz w:val="20"/>
                <w:szCs w:val="20"/>
                <w:color w:val="auto"/>
              </w:rPr>
            </w:pPr>
            <w:r>
              <w:rPr>
                <w:rFonts w:ascii="Arial" w:cs="Arial" w:eastAsia="Arial" w:hAnsi="Arial"/>
                <w:sz w:val="18"/>
                <w:szCs w:val="18"/>
                <w:color w:val="auto"/>
              </w:rPr>
              <w:t>Total revenues</w:t>
            </w:r>
          </w:p>
        </w:tc>
        <w:tc>
          <w:tcPr>
            <w:tcW w:w="12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174,496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34,844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884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210,233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210,233</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0"/>
                <w:szCs w:val="20"/>
                <w:color w:val="auto"/>
              </w:rPr>
            </w:pPr>
            <w:r>
              <w:rPr>
                <w:rFonts w:ascii="Arial" w:cs="Arial" w:eastAsia="Arial" w:hAnsi="Arial"/>
                <w:sz w:val="18"/>
                <w:szCs w:val="18"/>
                <w:color w:val="auto"/>
              </w:rPr>
              <w:t>Merchandise cost of goods sold</w:t>
            </w:r>
          </w:p>
        </w:tc>
        <w:tc>
          <w:tcPr>
            <w:tcW w:w="12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75,838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16,021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91,859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91,859</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0"/>
                <w:szCs w:val="20"/>
                <w:color w:val="auto"/>
              </w:rPr>
            </w:pPr>
            <w:r>
              <w:rPr>
                <w:rFonts w:ascii="Arial" w:cs="Arial" w:eastAsia="Arial" w:hAnsi="Arial"/>
                <w:sz w:val="18"/>
                <w:szCs w:val="18"/>
                <w:color w:val="auto"/>
              </w:rPr>
              <w:t>Jewelry scrapping cost of goods sold</w:t>
            </w:r>
          </w:p>
        </w:tc>
        <w:tc>
          <w:tcPr>
            <w:tcW w:w="12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12,875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3,283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16,158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16,158</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0"/>
                <w:szCs w:val="20"/>
                <w:color w:val="auto"/>
              </w:rPr>
            </w:pPr>
            <w:r>
              <w:rPr>
                <w:rFonts w:ascii="Arial" w:cs="Arial" w:eastAsia="Arial" w:hAnsi="Arial"/>
                <w:sz w:val="18"/>
                <w:szCs w:val="18"/>
                <w:color w:val="auto"/>
              </w:rPr>
              <w:t>Other cost of revenues</w:t>
            </w:r>
          </w:p>
        </w:tc>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tcPr>
          <w:p>
            <w:pPr>
              <w:ind w:left="460"/>
              <w:spacing w:after="0"/>
              <w:rPr>
                <w:sz w:val="20"/>
                <w:szCs w:val="20"/>
                <w:color w:val="auto"/>
              </w:rPr>
            </w:pPr>
            <w:r>
              <w:rPr>
                <w:rFonts w:ascii="Arial" w:cs="Arial" w:eastAsia="Arial" w:hAnsi="Arial"/>
                <w:sz w:val="18"/>
                <w:szCs w:val="18"/>
                <w:color w:val="auto"/>
              </w:rPr>
              <w:t>Net revenues</w:t>
            </w:r>
          </w:p>
        </w:tc>
        <w:tc>
          <w:tcPr>
            <w:tcW w:w="12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85,783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15,508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884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102,184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102,184</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0"/>
                <w:szCs w:val="20"/>
                <w:color w:val="auto"/>
              </w:rPr>
            </w:pPr>
            <w:r>
              <w:rPr>
                <w:rFonts w:ascii="Arial" w:cs="Arial" w:eastAsia="Arial" w:hAnsi="Arial"/>
                <w:sz w:val="18"/>
                <w:szCs w:val="18"/>
                <w:color w:val="auto"/>
                <w:w w:val="91"/>
              </w:rPr>
              <w:t>Segment and corporate expenses (income):</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12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66,243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15,041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1,497</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1,057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83,838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83,838</w:t>
            </w:r>
          </w:p>
        </w:tc>
        <w:tc>
          <w:tcPr>
            <w:tcW w:w="0" w:type="dxa"/>
            <w:vAlign w:val="bottom"/>
          </w:tcPr>
          <w:p>
            <w:pPr>
              <w:spacing w:after="0"/>
              <w:rPr>
                <w:sz w:val="1"/>
                <w:szCs w:val="1"/>
                <w:color w:val="auto"/>
              </w:rPr>
            </w:pPr>
          </w:p>
        </w:tc>
      </w:tr>
      <w:tr>
        <w:trPr>
          <w:trHeight w:val="270"/>
        </w:trPr>
        <w:tc>
          <w:tcPr>
            <w:tcW w:w="3240" w:type="dxa"/>
            <w:vAlign w:val="bottom"/>
          </w:tcPr>
          <w:p>
            <w:pPr>
              <w:ind w:left="240"/>
              <w:spacing w:after="0"/>
              <w:rPr>
                <w:sz w:val="20"/>
                <w:szCs w:val="20"/>
                <w:color w:val="auto"/>
              </w:rPr>
            </w:pPr>
            <w:r>
              <w:rPr>
                <w:rFonts w:ascii="Arial" w:cs="Arial" w:eastAsia="Arial" w:hAnsi="Arial"/>
                <w:sz w:val="18"/>
                <w:szCs w:val="18"/>
                <w:color w:val="auto"/>
              </w:rPr>
              <w:t>Administrative</w:t>
            </w:r>
          </w:p>
        </w:tc>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14,688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14,688</w:t>
            </w:r>
          </w:p>
        </w:tc>
        <w:tc>
          <w:tcPr>
            <w:tcW w:w="0" w:type="dxa"/>
            <w:vAlign w:val="bottom"/>
          </w:tcPr>
          <w:p>
            <w:pPr>
              <w:spacing w:after="0"/>
              <w:rPr>
                <w:sz w:val="1"/>
                <w:szCs w:val="1"/>
                <w:color w:val="auto"/>
              </w:rPr>
            </w:pPr>
          </w:p>
        </w:tc>
      </w:tr>
      <w:tr>
        <w:trPr>
          <w:trHeight w:val="270"/>
        </w:trPr>
        <w:tc>
          <w:tcPr>
            <w:tcW w:w="324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2,749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1,647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337</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4,736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2,943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7,679</w:t>
            </w:r>
          </w:p>
        </w:tc>
        <w:tc>
          <w:tcPr>
            <w:tcW w:w="0" w:type="dxa"/>
            <w:vAlign w:val="bottom"/>
          </w:tcPr>
          <w:p>
            <w:pPr>
              <w:spacing w:after="0"/>
              <w:rPr>
                <w:sz w:val="1"/>
                <w:szCs w:val="1"/>
                <w:color w:val="auto"/>
              </w:rPr>
            </w:pPr>
          </w:p>
        </w:tc>
      </w:tr>
      <w:tr>
        <w:trPr>
          <w:trHeight w:val="256"/>
        </w:trPr>
        <w:tc>
          <w:tcPr>
            <w:tcW w:w="3240" w:type="dxa"/>
            <w:vAlign w:val="bottom"/>
          </w:tcPr>
          <w:p>
            <w:pPr>
              <w:ind w:left="240"/>
              <w:spacing w:after="0"/>
              <w:rPr>
                <w:sz w:val="20"/>
                <w:szCs w:val="20"/>
                <w:color w:val="auto"/>
              </w:rPr>
            </w:pPr>
            <w:r>
              <w:rPr>
                <w:rFonts w:ascii="Arial" w:cs="Arial" w:eastAsia="Arial" w:hAnsi="Arial"/>
                <w:sz w:val="18"/>
                <w:szCs w:val="18"/>
                <w:color w:val="auto"/>
                <w:w w:val="92"/>
              </w:rPr>
              <w:t>Loss (gain) on sale or disposal of assets</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40"/>
              <w:spacing w:after="0"/>
              <w:rPr>
                <w:sz w:val="20"/>
                <w:szCs w:val="20"/>
                <w:color w:val="auto"/>
              </w:rPr>
            </w:pPr>
            <w:r>
              <w:rPr>
                <w:rFonts w:ascii="Arial" w:cs="Arial" w:eastAsia="Arial" w:hAnsi="Arial"/>
                <w:sz w:val="18"/>
                <w:szCs w:val="18"/>
                <w:color w:val="auto"/>
              </w:rPr>
              <w:t>and other</w:t>
            </w:r>
          </w:p>
        </w:tc>
        <w:tc>
          <w:tcPr>
            <w:tcW w:w="12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0"/>
        </w:trPr>
        <w:tc>
          <w:tcPr>
            <w:tcW w:w="324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5,203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5,379</w:t>
            </w:r>
          </w:p>
        </w:tc>
        <w:tc>
          <w:tcPr>
            <w:tcW w:w="0" w:type="dxa"/>
            <w:vAlign w:val="bottom"/>
          </w:tcPr>
          <w:p>
            <w:pPr>
              <w:spacing w:after="0"/>
              <w:rPr>
                <w:sz w:val="1"/>
                <w:szCs w:val="1"/>
                <w:color w:val="auto"/>
              </w:rPr>
            </w:pPr>
          </w:p>
        </w:tc>
      </w:tr>
      <w:tr>
        <w:trPr>
          <w:trHeight w:val="270"/>
        </w:trPr>
        <w:tc>
          <w:tcPr>
            <w:tcW w:w="324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56"/>
        </w:trPr>
        <w:tc>
          <w:tcPr>
            <w:tcW w:w="3240" w:type="dxa"/>
            <w:vAlign w:val="bottom"/>
          </w:tcPr>
          <w:p>
            <w:pPr>
              <w:ind w:left="240"/>
              <w:spacing w:after="0"/>
              <w:rPr>
                <w:sz w:val="20"/>
                <w:szCs w:val="20"/>
                <w:color w:val="auto"/>
              </w:rPr>
            </w:pPr>
            <w:r>
              <w:rPr>
                <w:rFonts w:ascii="Arial" w:cs="Arial" w:eastAsia="Arial" w:hAnsi="Arial"/>
                <w:sz w:val="18"/>
                <w:szCs w:val="18"/>
                <w:color w:val="auto"/>
              </w:rPr>
              <w:t>Equity in net loss of unconsolidated</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40"/>
              <w:spacing w:after="0"/>
              <w:rPr>
                <w:sz w:val="20"/>
                <w:szCs w:val="20"/>
                <w:color w:val="auto"/>
              </w:rPr>
            </w:pPr>
            <w:r>
              <w:rPr>
                <w:rFonts w:ascii="Arial" w:cs="Arial" w:eastAsia="Arial" w:hAnsi="Arial"/>
                <w:sz w:val="18"/>
                <w:szCs w:val="18"/>
                <w:color w:val="auto"/>
              </w:rPr>
              <w:t>affiliates</w:t>
            </w: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1,183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56"/>
        </w:trPr>
        <w:tc>
          <w:tcPr>
            <w:tcW w:w="3240" w:type="dxa"/>
            <w:vAlign w:val="bottom"/>
          </w:tcPr>
          <w:p>
            <w:pPr>
              <w:ind w:left="240"/>
              <w:spacing w:after="0"/>
              <w:rPr>
                <w:sz w:val="20"/>
                <w:szCs w:val="20"/>
                <w:color w:val="auto"/>
              </w:rPr>
            </w:pPr>
            <w:r>
              <w:rPr>
                <w:rFonts w:ascii="Arial" w:cs="Arial" w:eastAsia="Arial" w:hAnsi="Arial"/>
                <w:sz w:val="18"/>
                <w:szCs w:val="18"/>
                <w:color w:val="auto"/>
              </w:rPr>
              <w:t>Impairment of goodwill and intangible</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4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240" w:type="dxa"/>
            <w:vAlign w:val="bottom"/>
          </w:tcPr>
          <w:p>
            <w:pPr>
              <w:ind w:left="240"/>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0"/>
                <w:szCs w:val="20"/>
                <w:color w:val="auto"/>
              </w:rPr>
            </w:pPr>
            <w:r>
              <w:rPr>
                <w:rFonts w:ascii="Arial" w:cs="Arial" w:eastAsia="Arial" w:hAnsi="Arial"/>
                <w:sz w:val="18"/>
                <w:szCs w:val="18"/>
                <w:color w:val="auto"/>
              </w:rPr>
              <w:t>Segment contribution (loss)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16,557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(1,861)</w:t>
            </w: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(1,474)</w:t>
            </w:r>
          </w:p>
        </w:tc>
        <w:tc>
          <w:tcPr>
            <w:tcW w:w="120" w:type="dxa"/>
            <w:vAlign w:val="bottom"/>
          </w:tcPr>
          <w:p>
            <w:pPr>
              <w:spacing w:after="0"/>
              <w:rPr>
                <w:sz w:val="22"/>
                <w:szCs w:val="22"/>
                <w:color w:val="auto"/>
              </w:rPr>
            </w:pPr>
          </w:p>
        </w:tc>
        <w:tc>
          <w:tcPr>
            <w:tcW w:w="260" w:type="dxa"/>
            <w:vAlign w:val="bottom"/>
          </w:tcPr>
          <w:p>
            <w:pPr>
              <w:jc w:val="right"/>
              <w:ind w:right="75"/>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12,484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Arial" w:cs="Arial" w:eastAsia="Arial" w:hAnsi="Arial"/>
                <w:sz w:val="18"/>
                <w:szCs w:val="18"/>
                <w:color w:val="auto"/>
                <w:w w:val="99"/>
              </w:rPr>
              <w:t>Income (loss) from continuing operations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vMerge w:val="restart"/>
          </w:tcPr>
          <w:p>
            <w:pPr>
              <w:jc w:val="right"/>
              <w:ind w:right="75"/>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color w:val="auto"/>
              </w:rPr>
              <w:t>12,484</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(22,702)</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(10,218)</w:t>
            </w:r>
          </w:p>
        </w:tc>
        <w:tc>
          <w:tcPr>
            <w:tcW w:w="0" w:type="dxa"/>
            <w:vAlign w:val="bottom"/>
          </w:tcPr>
          <w:p>
            <w:pPr>
              <w:spacing w:after="0"/>
              <w:rPr>
                <w:sz w:val="1"/>
                <w:szCs w:val="1"/>
                <w:color w:val="auto"/>
              </w:rPr>
            </w:pPr>
          </w:p>
        </w:tc>
      </w:tr>
      <w:tr>
        <w:trPr>
          <w:trHeight w:val="242"/>
        </w:trPr>
        <w:tc>
          <w:tcPr>
            <w:tcW w:w="3240" w:type="dxa"/>
            <w:vAlign w:val="bottom"/>
          </w:tcPr>
          <w:p>
            <w:pPr>
              <w:spacing w:after="0"/>
              <w:rPr>
                <w:sz w:val="20"/>
                <w:szCs w:val="20"/>
                <w:color w:val="auto"/>
              </w:rPr>
            </w:pPr>
            <w:r>
              <w:rPr>
                <w:rFonts w:ascii="Arial" w:cs="Arial" w:eastAsia="Arial" w:hAnsi="Arial"/>
                <w:sz w:val="18"/>
                <w:szCs w:val="18"/>
                <w:color w:val="auto"/>
              </w:rPr>
              <w:t>before income taxes</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00"/>
          </w:cols>
          <w:pgMar w:left="360" w:top="558"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8"/>
          </w:tcPr>
          <w:p>
            <w:pPr>
              <w:jc w:val="center"/>
              <w:ind w:right="120"/>
              <w:spacing w:after="0"/>
              <w:rPr>
                <w:sz w:val="20"/>
                <w:szCs w:val="20"/>
                <w:color w:val="auto"/>
              </w:rPr>
            </w:pPr>
            <w:r>
              <w:rPr>
                <w:rFonts w:ascii="Arial" w:cs="Arial" w:eastAsia="Arial" w:hAnsi="Arial"/>
                <w:sz w:val="14"/>
                <w:szCs w:val="14"/>
                <w:b w:val="1"/>
                <w:bCs w:val="1"/>
                <w:color w:val="auto"/>
                <w:w w:val="93"/>
              </w:rPr>
              <w:t>Three Months Ended June 30, 2019</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Latin</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7"/>
              </w:rPr>
              <w:t>U.S. Pawn</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America</w:t>
            </w:r>
          </w:p>
        </w:tc>
        <w:tc>
          <w:tcPr>
            <w:tcW w:w="220" w:type="dxa"/>
            <w:vAlign w:val="bottom"/>
          </w:tcPr>
          <w:p>
            <w:pPr>
              <w:spacing w:after="0"/>
              <w:rPr>
                <w:sz w:val="12"/>
                <w:szCs w:val="12"/>
                <w:color w:val="auto"/>
              </w:rPr>
            </w:pPr>
          </w:p>
        </w:tc>
        <w:tc>
          <w:tcPr>
            <w:tcW w:w="78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Lana</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5"/>
              </w:rPr>
              <w:t>Total Segments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8"/>
              </w:rPr>
              <w:t>Pawn</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International</w:t>
            </w:r>
          </w:p>
        </w:tc>
        <w:tc>
          <w:tcPr>
            <w:tcW w:w="120" w:type="dxa"/>
            <w:vAlign w:val="bottom"/>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3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i w:val="1"/>
                <w:iCs w:val="1"/>
                <w:color w:val="auto"/>
                <w:w w:val="92"/>
              </w:rPr>
              <w:t>(in thousands)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000" w:type="dxa"/>
            <w:vAlign w:val="bottom"/>
          </w:tcPr>
          <w:p>
            <w:pPr>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000" w:type="dxa"/>
            <w:vAlign w:val="bottom"/>
          </w:tcPr>
          <w:p>
            <w:pPr>
              <w:ind w:left="240"/>
              <w:spacing w:after="0"/>
              <w:rPr>
                <w:sz w:val="20"/>
                <w:szCs w:val="20"/>
                <w:color w:val="auto"/>
              </w:rPr>
            </w:pPr>
            <w:r>
              <w:rPr>
                <w:rFonts w:ascii="Arial" w:cs="Arial" w:eastAsia="Arial" w:hAnsi="Arial"/>
                <w:sz w:val="18"/>
                <w:szCs w:val="18"/>
                <w:color w:val="auto"/>
              </w:rPr>
              <w:t>Merchandise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83,904</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19,998</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5"/>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103,902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103,902</w:t>
            </w:r>
          </w:p>
        </w:tc>
        <w:tc>
          <w:tcPr>
            <w:tcW w:w="0" w:type="dxa"/>
            <w:vAlign w:val="bottom"/>
          </w:tcPr>
          <w:p>
            <w:pPr>
              <w:spacing w:after="0"/>
              <w:rPr>
                <w:sz w:val="1"/>
                <w:szCs w:val="1"/>
                <w:color w:val="auto"/>
              </w:rPr>
            </w:pPr>
          </w:p>
        </w:tc>
      </w:tr>
      <w:tr>
        <w:trPr>
          <w:trHeight w:val="270"/>
        </w:trPr>
        <w:tc>
          <w:tcPr>
            <w:tcW w:w="3000" w:type="dxa"/>
            <w:vAlign w:val="bottom"/>
          </w:tcPr>
          <w:p>
            <w:pPr>
              <w:ind w:left="240"/>
              <w:spacing w:after="0"/>
              <w:rPr>
                <w:sz w:val="20"/>
                <w:szCs w:val="20"/>
                <w:color w:val="auto"/>
              </w:rPr>
            </w:pPr>
            <w:r>
              <w:rPr>
                <w:rFonts w:ascii="Arial" w:cs="Arial" w:eastAsia="Arial" w:hAnsi="Arial"/>
                <w:sz w:val="18"/>
                <w:szCs w:val="18"/>
                <w:color w:val="auto"/>
              </w:rPr>
              <w:t>Jewelry scrapping sales</w:t>
            </w:r>
          </w:p>
        </w:tc>
        <w:tc>
          <w:tcPr>
            <w:tcW w:w="16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13,889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4,323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18,212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18,212</w:t>
            </w:r>
          </w:p>
        </w:tc>
        <w:tc>
          <w:tcPr>
            <w:tcW w:w="0" w:type="dxa"/>
            <w:vAlign w:val="bottom"/>
          </w:tcPr>
          <w:p>
            <w:pPr>
              <w:spacing w:after="0"/>
              <w:rPr>
                <w:sz w:val="1"/>
                <w:szCs w:val="1"/>
                <w:color w:val="auto"/>
              </w:rPr>
            </w:pPr>
          </w:p>
        </w:tc>
      </w:tr>
      <w:tr>
        <w:trPr>
          <w:trHeight w:val="270"/>
        </w:trPr>
        <w:tc>
          <w:tcPr>
            <w:tcW w:w="3000" w:type="dxa"/>
            <w:vAlign w:val="bottom"/>
          </w:tcPr>
          <w:p>
            <w:pPr>
              <w:ind w:left="240"/>
              <w:spacing w:after="0"/>
              <w:rPr>
                <w:sz w:val="20"/>
                <w:szCs w:val="20"/>
                <w:color w:val="auto"/>
              </w:rPr>
            </w:pPr>
            <w:r>
              <w:rPr>
                <w:rFonts w:ascii="Arial" w:cs="Arial" w:eastAsia="Arial" w:hAnsi="Arial"/>
                <w:sz w:val="18"/>
                <w:szCs w:val="18"/>
                <w:color w:val="auto"/>
              </w:rPr>
              <w:t>Pawn service charges</w:t>
            </w:r>
          </w:p>
        </w:tc>
        <w:tc>
          <w:tcPr>
            <w:tcW w:w="16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58,635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20,345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78,980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78,980</w:t>
            </w:r>
          </w:p>
        </w:tc>
        <w:tc>
          <w:tcPr>
            <w:tcW w:w="0" w:type="dxa"/>
            <w:vAlign w:val="bottom"/>
          </w:tcPr>
          <w:p>
            <w:pPr>
              <w:spacing w:after="0"/>
              <w:rPr>
                <w:sz w:val="1"/>
                <w:szCs w:val="1"/>
                <w:color w:val="auto"/>
              </w:rPr>
            </w:pPr>
          </w:p>
        </w:tc>
      </w:tr>
      <w:tr>
        <w:trPr>
          <w:trHeight w:val="270"/>
        </w:trPr>
        <w:tc>
          <w:tcPr>
            <w:tcW w:w="3000" w:type="dxa"/>
            <w:vAlign w:val="bottom"/>
          </w:tcPr>
          <w:p>
            <w:pPr>
              <w:ind w:left="240"/>
              <w:spacing w:after="0"/>
              <w:rPr>
                <w:sz w:val="20"/>
                <w:szCs w:val="20"/>
                <w:color w:val="auto"/>
              </w:rPr>
            </w:pPr>
            <w:r>
              <w:rPr>
                <w:rFonts w:ascii="Arial" w:cs="Arial" w:eastAsia="Arial" w:hAnsi="Arial"/>
                <w:sz w:val="18"/>
                <w:szCs w:val="18"/>
                <w:color w:val="auto"/>
              </w:rPr>
              <w:t>Other revenues</w:t>
            </w:r>
          </w:p>
        </w:tc>
        <w:tc>
          <w:tcPr>
            <w:tcW w:w="16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1,270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000" w:type="dxa"/>
            <w:vAlign w:val="bottom"/>
          </w:tcPr>
          <w:p>
            <w:pPr>
              <w:ind w:left="460"/>
              <w:spacing w:after="0"/>
              <w:rPr>
                <w:sz w:val="20"/>
                <w:szCs w:val="20"/>
                <w:color w:val="auto"/>
              </w:rPr>
            </w:pPr>
            <w:r>
              <w:rPr>
                <w:rFonts w:ascii="Arial" w:cs="Arial" w:eastAsia="Arial" w:hAnsi="Arial"/>
                <w:sz w:val="18"/>
                <w:szCs w:val="18"/>
                <w:color w:val="auto"/>
              </w:rPr>
              <w:t>Total revenues</w:t>
            </w:r>
          </w:p>
        </w:tc>
        <w:tc>
          <w:tcPr>
            <w:tcW w:w="16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156,462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44,733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1,270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202,465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202,465</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Merchandise cost of goods sold</w:t>
            </w:r>
          </w:p>
        </w:tc>
        <w:tc>
          <w:tcPr>
            <w:tcW w:w="16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52,855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17,416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70,271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70,271</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Jewelry scrapping cost of goods sold</w:t>
            </w:r>
          </w:p>
        </w:tc>
        <w:tc>
          <w:tcPr>
            <w:tcW w:w="16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11,599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4,166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15,765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15,765</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Other cost of revenues</w:t>
            </w:r>
          </w:p>
        </w:tc>
        <w:tc>
          <w:tcPr>
            <w:tcW w:w="1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0" w:type="dxa"/>
            <w:vAlign w:val="bottom"/>
          </w:tcPr>
          <w:p>
            <w:pPr>
              <w:ind w:left="460"/>
              <w:spacing w:after="0"/>
              <w:rPr>
                <w:sz w:val="20"/>
                <w:szCs w:val="20"/>
                <w:color w:val="auto"/>
              </w:rPr>
            </w:pPr>
            <w:r>
              <w:rPr>
                <w:rFonts w:ascii="Arial" w:cs="Arial" w:eastAsia="Arial" w:hAnsi="Arial"/>
                <w:sz w:val="18"/>
                <w:szCs w:val="18"/>
                <w:color w:val="auto"/>
              </w:rPr>
              <w:t>Net revenues</w:t>
            </w:r>
          </w:p>
        </w:tc>
        <w:tc>
          <w:tcPr>
            <w:tcW w:w="16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92,008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23,151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115,853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115,853</w:t>
            </w:r>
          </w:p>
        </w:tc>
        <w:tc>
          <w:tcPr>
            <w:tcW w:w="0" w:type="dxa"/>
            <w:vAlign w:val="bottom"/>
          </w:tcPr>
          <w:p>
            <w:pPr>
              <w:spacing w:after="0"/>
              <w:rPr>
                <w:sz w:val="1"/>
                <w:szCs w:val="1"/>
                <w:color w:val="auto"/>
              </w:rPr>
            </w:pPr>
          </w:p>
        </w:tc>
      </w:tr>
      <w:tr>
        <w:trPr>
          <w:trHeight w:val="256"/>
        </w:trPr>
        <w:tc>
          <w:tcPr>
            <w:tcW w:w="3000" w:type="dxa"/>
            <w:vAlign w:val="bottom"/>
          </w:tcPr>
          <w:p>
            <w:pPr>
              <w:spacing w:after="0"/>
              <w:rPr>
                <w:sz w:val="20"/>
                <w:szCs w:val="20"/>
                <w:color w:val="auto"/>
              </w:rPr>
            </w:pPr>
            <w:r>
              <w:rPr>
                <w:rFonts w:ascii="Arial" w:cs="Arial" w:eastAsia="Arial" w:hAnsi="Arial"/>
                <w:sz w:val="18"/>
                <w:szCs w:val="18"/>
                <w:color w:val="auto"/>
              </w:rPr>
              <w:t>Segment and corporate expenses</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(income):</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00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65,449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18,284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1,368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994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86,095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86,095</w:t>
            </w:r>
          </w:p>
        </w:tc>
        <w:tc>
          <w:tcPr>
            <w:tcW w:w="0" w:type="dxa"/>
            <w:vAlign w:val="bottom"/>
          </w:tcPr>
          <w:p>
            <w:pPr>
              <w:spacing w:after="0"/>
              <w:rPr>
                <w:sz w:val="1"/>
                <w:szCs w:val="1"/>
                <w:color w:val="auto"/>
              </w:rPr>
            </w:pPr>
          </w:p>
        </w:tc>
      </w:tr>
      <w:tr>
        <w:trPr>
          <w:trHeight w:val="270"/>
        </w:trPr>
        <w:tc>
          <w:tcPr>
            <w:tcW w:w="3000" w:type="dxa"/>
            <w:vAlign w:val="bottom"/>
          </w:tcPr>
          <w:p>
            <w:pPr>
              <w:ind w:left="240"/>
              <w:spacing w:after="0"/>
              <w:rPr>
                <w:sz w:val="20"/>
                <w:szCs w:val="20"/>
                <w:color w:val="auto"/>
              </w:rPr>
            </w:pPr>
            <w:r>
              <w:rPr>
                <w:rFonts w:ascii="Arial" w:cs="Arial" w:eastAsia="Arial" w:hAnsi="Arial"/>
                <w:sz w:val="18"/>
                <w:szCs w:val="18"/>
                <w:color w:val="auto"/>
              </w:rPr>
              <w:t>Administrative</w:t>
            </w:r>
          </w:p>
        </w:tc>
        <w:tc>
          <w:tcPr>
            <w:tcW w:w="1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13,685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13,685</w:t>
            </w:r>
          </w:p>
        </w:tc>
        <w:tc>
          <w:tcPr>
            <w:tcW w:w="0" w:type="dxa"/>
            <w:vAlign w:val="bottom"/>
          </w:tcPr>
          <w:p>
            <w:pPr>
              <w:spacing w:after="0"/>
              <w:rPr>
                <w:sz w:val="1"/>
                <w:szCs w:val="1"/>
                <w:color w:val="auto"/>
              </w:rPr>
            </w:pPr>
          </w:p>
        </w:tc>
      </w:tr>
      <w:tr>
        <w:trPr>
          <w:trHeight w:val="270"/>
        </w:trPr>
        <w:tc>
          <w:tcPr>
            <w:tcW w:w="30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2,934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1,626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4,632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2,622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7,254</w:t>
            </w:r>
          </w:p>
        </w:tc>
        <w:tc>
          <w:tcPr>
            <w:tcW w:w="0" w:type="dxa"/>
            <w:vAlign w:val="bottom"/>
          </w:tcPr>
          <w:p>
            <w:pPr>
              <w:spacing w:after="0"/>
              <w:rPr>
                <w:sz w:val="1"/>
                <w:szCs w:val="1"/>
                <w:color w:val="auto"/>
              </w:rPr>
            </w:pPr>
          </w:p>
        </w:tc>
      </w:tr>
      <w:tr>
        <w:trPr>
          <w:trHeight w:val="256"/>
        </w:trPr>
        <w:tc>
          <w:tcPr>
            <w:tcW w:w="3000" w:type="dxa"/>
            <w:vAlign w:val="bottom"/>
          </w:tcPr>
          <w:p>
            <w:pPr>
              <w:ind w:left="240"/>
              <w:spacing w:after="0"/>
              <w:rPr>
                <w:sz w:val="20"/>
                <w:szCs w:val="20"/>
                <w:color w:val="auto"/>
              </w:rPr>
            </w:pPr>
            <w:r>
              <w:rPr>
                <w:rFonts w:ascii="Arial" w:cs="Arial" w:eastAsia="Arial" w:hAnsi="Arial"/>
                <w:sz w:val="18"/>
                <w:szCs w:val="18"/>
                <w:color w:val="auto"/>
              </w:rPr>
              <w:t>(Gain) loss on sale or disposal of</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40"/>
              <w:spacing w:after="0"/>
              <w:rPr>
                <w:sz w:val="20"/>
                <w:szCs w:val="20"/>
                <w:color w:val="auto"/>
              </w:rPr>
            </w:pPr>
            <w:r>
              <w:rPr>
                <w:rFonts w:ascii="Arial" w:cs="Arial" w:eastAsia="Arial" w:hAnsi="Arial"/>
                <w:sz w:val="18"/>
                <w:szCs w:val="18"/>
                <w:color w:val="auto"/>
              </w:rPr>
              <w:t>assets and other</w:t>
            </w:r>
          </w:p>
        </w:tc>
        <w:tc>
          <w:tcPr>
            <w:tcW w:w="16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0"/>
        </w:trPr>
        <w:tc>
          <w:tcPr>
            <w:tcW w:w="300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1,491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8,265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9,832</w:t>
            </w:r>
          </w:p>
        </w:tc>
        <w:tc>
          <w:tcPr>
            <w:tcW w:w="0" w:type="dxa"/>
            <w:vAlign w:val="bottom"/>
          </w:tcPr>
          <w:p>
            <w:pPr>
              <w:spacing w:after="0"/>
              <w:rPr>
                <w:sz w:val="1"/>
                <w:szCs w:val="1"/>
                <w:color w:val="auto"/>
              </w:rPr>
            </w:pPr>
          </w:p>
        </w:tc>
      </w:tr>
      <w:tr>
        <w:trPr>
          <w:trHeight w:val="270"/>
        </w:trPr>
        <w:tc>
          <w:tcPr>
            <w:tcW w:w="300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(2,796)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(3,172)</w:t>
            </w:r>
          </w:p>
        </w:tc>
        <w:tc>
          <w:tcPr>
            <w:tcW w:w="0" w:type="dxa"/>
            <w:vAlign w:val="bottom"/>
          </w:tcPr>
          <w:p>
            <w:pPr>
              <w:spacing w:after="0"/>
              <w:rPr>
                <w:sz w:val="1"/>
                <w:szCs w:val="1"/>
                <w:color w:val="auto"/>
              </w:rPr>
            </w:pPr>
          </w:p>
        </w:tc>
      </w:tr>
      <w:tr>
        <w:trPr>
          <w:trHeight w:val="256"/>
        </w:trPr>
        <w:tc>
          <w:tcPr>
            <w:tcW w:w="3000" w:type="dxa"/>
            <w:vAlign w:val="bottom"/>
          </w:tcPr>
          <w:p>
            <w:pPr>
              <w:ind w:left="240"/>
              <w:spacing w:after="0"/>
              <w:rPr>
                <w:sz w:val="20"/>
                <w:szCs w:val="20"/>
                <w:color w:val="auto"/>
              </w:rPr>
            </w:pPr>
            <w:r>
              <w:rPr>
                <w:rFonts w:ascii="Arial" w:cs="Arial" w:eastAsia="Arial" w:hAnsi="Arial"/>
                <w:sz w:val="18"/>
                <w:szCs w:val="18"/>
                <w:color w:val="auto"/>
              </w:rPr>
              <w:t>Equity in net income of</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40"/>
              <w:spacing w:after="0"/>
              <w:rPr>
                <w:sz w:val="20"/>
                <w:szCs w:val="20"/>
                <w:color w:val="auto"/>
              </w:rPr>
            </w:pPr>
            <w:r>
              <w:rPr>
                <w:rFonts w:ascii="Arial" w:cs="Arial" w:eastAsia="Arial" w:hAnsi="Arial"/>
                <w:sz w:val="18"/>
                <w:szCs w:val="18"/>
                <w:color w:val="auto"/>
              </w:rPr>
              <w:t>unconsolidated affiliates</w:t>
            </w:r>
          </w:p>
        </w:tc>
        <w:tc>
          <w:tcPr>
            <w:tcW w:w="1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56"/>
        </w:trPr>
        <w:tc>
          <w:tcPr>
            <w:tcW w:w="3000" w:type="dxa"/>
            <w:vAlign w:val="bottom"/>
          </w:tcPr>
          <w:p>
            <w:pPr>
              <w:ind w:left="240"/>
              <w:spacing w:after="0"/>
              <w:rPr>
                <w:sz w:val="20"/>
                <w:szCs w:val="20"/>
                <w:color w:val="auto"/>
              </w:rPr>
            </w:pPr>
            <w:r>
              <w:rPr>
                <w:rFonts w:ascii="Arial" w:cs="Arial" w:eastAsia="Arial" w:hAnsi="Arial"/>
                <w:sz w:val="18"/>
                <w:szCs w:val="18"/>
                <w:color w:val="auto"/>
              </w:rPr>
              <w:t>Impairment of investment in</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40"/>
              <w:spacing w:after="0"/>
              <w:rPr>
                <w:sz w:val="20"/>
                <w:szCs w:val="20"/>
                <w:color w:val="auto"/>
              </w:rPr>
            </w:pPr>
            <w:r>
              <w:rPr>
                <w:rFonts w:ascii="Arial" w:cs="Arial" w:eastAsia="Arial" w:hAnsi="Arial"/>
                <w:sz w:val="18"/>
                <w:szCs w:val="18"/>
                <w:color w:val="auto"/>
              </w:rPr>
              <w:t>unconsolidated affiliates</w:t>
            </w:r>
          </w:p>
        </w:tc>
        <w:tc>
          <w:tcPr>
            <w:tcW w:w="1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000" w:type="dxa"/>
            <w:vAlign w:val="bottom"/>
          </w:tcPr>
          <w:p>
            <w:pPr>
              <w:ind w:left="240"/>
              <w:spacing w:after="0"/>
              <w:rPr>
                <w:sz w:val="20"/>
                <w:szCs w:val="20"/>
                <w:color w:val="auto"/>
              </w:rPr>
            </w:pPr>
            <w:r>
              <w:rPr>
                <w:rFonts w:ascii="Arial" w:cs="Arial" w:eastAsia="Arial" w:hAnsi="Arial"/>
                <w:sz w:val="18"/>
                <w:szCs w:val="18"/>
                <w:color w:val="auto"/>
              </w:rPr>
              <w:t>Other expense (income)</w:t>
            </w:r>
          </w:p>
        </w:tc>
        <w:tc>
          <w:tcPr>
            <w:tcW w:w="1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00" w:type="dxa"/>
            <w:vAlign w:val="bottom"/>
          </w:tcPr>
          <w:p>
            <w:pPr>
              <w:spacing w:after="0"/>
              <w:rPr>
                <w:sz w:val="20"/>
                <w:szCs w:val="20"/>
                <w:color w:val="auto"/>
              </w:rPr>
            </w:pPr>
            <w:r>
              <w:rPr>
                <w:rFonts w:ascii="Arial" w:cs="Arial" w:eastAsia="Arial" w:hAnsi="Arial"/>
                <w:sz w:val="18"/>
                <w:szCs w:val="18"/>
                <w:color w:val="auto"/>
              </w:rPr>
              <w:t>Segment contribution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23,621</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2,100</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860</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25,213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0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vMerge w:val="restart"/>
          </w:tcPr>
          <w:p>
            <w:pPr>
              <w:jc w:val="right"/>
              <w:ind w:right="75"/>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color w:val="auto"/>
              </w:rPr>
              <w:t>25,213</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(21,754)</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ind w:right="11"/>
              <w:spacing w:after="0"/>
              <w:rPr>
                <w:sz w:val="20"/>
                <w:szCs w:val="20"/>
                <w:color w:val="auto"/>
              </w:rPr>
            </w:pPr>
            <w:r>
              <w:rPr>
                <w:rFonts w:ascii="Arial" w:cs="Arial" w:eastAsia="Arial" w:hAnsi="Arial"/>
                <w:sz w:val="18"/>
                <w:szCs w:val="18"/>
                <w:color w:val="auto"/>
              </w:rPr>
              <w:t>3,459</w:t>
            </w:r>
          </w:p>
        </w:tc>
        <w:tc>
          <w:tcPr>
            <w:tcW w:w="0" w:type="dxa"/>
            <w:vAlign w:val="bottom"/>
          </w:tcPr>
          <w:p>
            <w:pPr>
              <w:spacing w:after="0"/>
              <w:rPr>
                <w:sz w:val="1"/>
                <w:szCs w:val="1"/>
                <w:color w:val="auto"/>
              </w:rPr>
            </w:pPr>
          </w:p>
        </w:tc>
      </w:tr>
      <w:tr>
        <w:trPr>
          <w:trHeight w:val="242"/>
        </w:trPr>
        <w:tc>
          <w:tcPr>
            <w:tcW w:w="3000" w:type="dxa"/>
            <w:vAlign w:val="bottom"/>
          </w:tcPr>
          <w:p>
            <w:pPr>
              <w:spacing w:after="0"/>
              <w:rPr>
                <w:sz w:val="20"/>
                <w:szCs w:val="20"/>
                <w:color w:val="auto"/>
              </w:rPr>
            </w:pPr>
            <w:r>
              <w:rPr>
                <w:rFonts w:ascii="Arial" w:cs="Arial" w:eastAsia="Arial" w:hAnsi="Arial"/>
                <w:sz w:val="18"/>
                <w:szCs w:val="18"/>
                <w:color w:val="auto"/>
              </w:rPr>
              <w:t>before income taxes</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00"/>
          </w:cols>
          <w:pgMar w:left="360" w:top="873"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8"/>
          </w:tcPr>
          <w:p>
            <w:pPr>
              <w:jc w:val="center"/>
              <w:ind w:right="220"/>
              <w:spacing w:after="0"/>
              <w:rPr>
                <w:sz w:val="20"/>
                <w:szCs w:val="20"/>
                <w:color w:val="auto"/>
              </w:rPr>
            </w:pPr>
            <w:r>
              <w:rPr>
                <w:rFonts w:ascii="Arial" w:cs="Arial" w:eastAsia="Arial" w:hAnsi="Arial"/>
                <w:sz w:val="14"/>
                <w:szCs w:val="14"/>
                <w:b w:val="1"/>
                <w:bCs w:val="1"/>
                <w:color w:val="auto"/>
                <w:w w:val="93"/>
              </w:rPr>
              <w:t>Nine Months Ended June 30, 2020</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7"/>
              </w:rPr>
              <w:t>U.S. Pawn</w:t>
            </w:r>
          </w:p>
        </w:tc>
        <w:tc>
          <w:tcPr>
            <w:tcW w:w="120" w:type="dxa"/>
            <w:vAlign w:val="bottom"/>
            <w:vMerge w:val="restart"/>
          </w:tcPr>
          <w:p>
            <w:pPr>
              <w:spacing w:after="0"/>
              <w:rPr>
                <w:sz w:val="13"/>
                <w:szCs w:val="13"/>
                <w:color w:val="auto"/>
              </w:rPr>
            </w:pPr>
          </w:p>
        </w:tc>
        <w:tc>
          <w:tcPr>
            <w:tcW w:w="112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Latin America</w:t>
            </w:r>
          </w:p>
        </w:tc>
        <w:tc>
          <w:tcPr>
            <w:tcW w:w="200" w:type="dxa"/>
            <w:vAlign w:val="bottom"/>
          </w:tcPr>
          <w:p>
            <w:pPr>
              <w:spacing w:after="0"/>
              <w:rPr>
                <w:sz w:val="13"/>
                <w:szCs w:val="13"/>
                <w:color w:val="auto"/>
              </w:rPr>
            </w:pPr>
          </w:p>
        </w:tc>
        <w:tc>
          <w:tcPr>
            <w:tcW w:w="6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Lana</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Other</w:t>
            </w:r>
          </w:p>
        </w:tc>
        <w:tc>
          <w:tcPr>
            <w:tcW w:w="11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5"/>
              </w:rPr>
              <w:t>Total Segments</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Pawn</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9"/>
              </w:rPr>
              <w:t>International</w:t>
            </w:r>
          </w:p>
        </w:tc>
        <w:tc>
          <w:tcPr>
            <w:tcW w:w="120" w:type="dxa"/>
            <w:vAlign w:val="bottom"/>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3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i w:val="1"/>
                <w:iCs w:val="1"/>
                <w:color w:val="auto"/>
                <w:w w:val="92"/>
              </w:rPr>
              <w:t>(in thousands)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120" w:type="dxa"/>
            <w:vAlign w:val="bottom"/>
          </w:tcPr>
          <w:p>
            <w:pPr>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240"/>
              <w:spacing w:after="0"/>
              <w:rPr>
                <w:sz w:val="20"/>
                <w:szCs w:val="20"/>
                <w:color w:val="auto"/>
              </w:rPr>
            </w:pPr>
            <w:r>
              <w:rPr>
                <w:rFonts w:ascii="Arial" w:cs="Arial" w:eastAsia="Arial" w:hAnsi="Arial"/>
                <w:sz w:val="18"/>
                <w:szCs w:val="18"/>
                <w:color w:val="auto"/>
              </w:rPr>
              <w:t>Merchandise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314,059</w:t>
            </w:r>
          </w:p>
        </w:tc>
        <w:tc>
          <w:tcPr>
            <w:tcW w:w="120" w:type="dxa"/>
            <w:vAlign w:val="bottom"/>
          </w:tcPr>
          <w:p>
            <w:pPr>
              <w:spacing w:after="0"/>
              <w:rPr>
                <w:sz w:val="23"/>
                <w:szCs w:val="23"/>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79,036</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5"/>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393,095</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393,095</w:t>
            </w:r>
          </w:p>
        </w:tc>
        <w:tc>
          <w:tcPr>
            <w:tcW w:w="0" w:type="dxa"/>
            <w:vAlign w:val="bottom"/>
          </w:tcPr>
          <w:p>
            <w:pPr>
              <w:spacing w:after="0"/>
              <w:rPr>
                <w:sz w:val="1"/>
                <w:szCs w:val="1"/>
                <w:color w:val="auto"/>
              </w:rPr>
            </w:pPr>
          </w:p>
        </w:tc>
      </w:tr>
      <w:tr>
        <w:trPr>
          <w:trHeight w:val="270"/>
        </w:trPr>
        <w:tc>
          <w:tcPr>
            <w:tcW w:w="3120" w:type="dxa"/>
            <w:vAlign w:val="bottom"/>
          </w:tcPr>
          <w:p>
            <w:pPr>
              <w:ind w:left="240"/>
              <w:spacing w:after="0"/>
              <w:rPr>
                <w:sz w:val="20"/>
                <w:szCs w:val="20"/>
                <w:color w:val="auto"/>
              </w:rPr>
            </w:pPr>
            <w:r>
              <w:rPr>
                <w:rFonts w:ascii="Arial" w:cs="Arial" w:eastAsia="Arial" w:hAnsi="Arial"/>
                <w:sz w:val="18"/>
                <w:szCs w:val="18"/>
                <w:color w:val="auto"/>
              </w:rPr>
              <w:t>Jewelry scrapping sales</w:t>
            </w:r>
          </w:p>
        </w:tc>
        <w:tc>
          <w:tcPr>
            <w:tcW w:w="16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32,905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8,804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41,709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41,709</w:t>
            </w:r>
          </w:p>
        </w:tc>
        <w:tc>
          <w:tcPr>
            <w:tcW w:w="0" w:type="dxa"/>
            <w:vAlign w:val="bottom"/>
          </w:tcPr>
          <w:p>
            <w:pPr>
              <w:spacing w:after="0"/>
              <w:rPr>
                <w:sz w:val="1"/>
                <w:szCs w:val="1"/>
                <w:color w:val="auto"/>
              </w:rPr>
            </w:pPr>
          </w:p>
        </w:tc>
      </w:tr>
      <w:tr>
        <w:trPr>
          <w:trHeight w:val="270"/>
        </w:trPr>
        <w:tc>
          <w:tcPr>
            <w:tcW w:w="3120" w:type="dxa"/>
            <w:vAlign w:val="bottom"/>
          </w:tcPr>
          <w:p>
            <w:pPr>
              <w:ind w:left="240"/>
              <w:spacing w:after="0"/>
              <w:rPr>
                <w:sz w:val="20"/>
                <w:szCs w:val="20"/>
                <w:color w:val="auto"/>
              </w:rPr>
            </w:pPr>
            <w:r>
              <w:rPr>
                <w:rFonts w:ascii="Arial" w:cs="Arial" w:eastAsia="Arial" w:hAnsi="Arial"/>
                <w:sz w:val="18"/>
                <w:szCs w:val="18"/>
                <w:color w:val="auto"/>
              </w:rPr>
              <w:t>Pawn service charges</w:t>
            </w:r>
          </w:p>
        </w:tc>
        <w:tc>
          <w:tcPr>
            <w:tcW w:w="16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166,859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50,548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217,407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217,407</w:t>
            </w:r>
          </w:p>
        </w:tc>
        <w:tc>
          <w:tcPr>
            <w:tcW w:w="0" w:type="dxa"/>
            <w:vAlign w:val="bottom"/>
          </w:tcPr>
          <w:p>
            <w:pPr>
              <w:spacing w:after="0"/>
              <w:rPr>
                <w:sz w:val="1"/>
                <w:szCs w:val="1"/>
                <w:color w:val="auto"/>
              </w:rPr>
            </w:pPr>
          </w:p>
        </w:tc>
      </w:tr>
      <w:tr>
        <w:trPr>
          <w:trHeight w:val="270"/>
        </w:trPr>
        <w:tc>
          <w:tcPr>
            <w:tcW w:w="3120" w:type="dxa"/>
            <w:vAlign w:val="bottom"/>
          </w:tcPr>
          <w:p>
            <w:pPr>
              <w:ind w:left="240"/>
              <w:spacing w:after="0"/>
              <w:rPr>
                <w:sz w:val="20"/>
                <w:szCs w:val="20"/>
                <w:color w:val="auto"/>
              </w:rPr>
            </w:pPr>
            <w:r>
              <w:rPr>
                <w:rFonts w:ascii="Arial" w:cs="Arial" w:eastAsia="Arial" w:hAnsi="Arial"/>
                <w:sz w:val="18"/>
                <w:szCs w:val="18"/>
                <w:color w:val="auto"/>
              </w:rPr>
              <w:t>Other revenues</w:t>
            </w:r>
          </w:p>
        </w:tc>
        <w:tc>
          <w:tcPr>
            <w:tcW w:w="16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3,570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3,740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3,740</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20" w:type="dxa"/>
            <w:vAlign w:val="bottom"/>
          </w:tcPr>
          <w:p>
            <w:pPr>
              <w:ind w:left="460"/>
              <w:spacing w:after="0"/>
              <w:rPr>
                <w:sz w:val="20"/>
                <w:szCs w:val="20"/>
                <w:color w:val="auto"/>
              </w:rPr>
            </w:pPr>
            <w:r>
              <w:rPr>
                <w:rFonts w:ascii="Arial" w:cs="Arial" w:eastAsia="Arial" w:hAnsi="Arial"/>
                <w:sz w:val="18"/>
                <w:szCs w:val="18"/>
                <w:color w:val="auto"/>
              </w:rPr>
              <w:t>Total revenues</w:t>
            </w:r>
          </w:p>
        </w:tc>
        <w:tc>
          <w:tcPr>
            <w:tcW w:w="1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513,930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138,438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3,570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655,951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655,951</w:t>
            </w:r>
          </w:p>
        </w:tc>
        <w:tc>
          <w:tcPr>
            <w:tcW w:w="0" w:type="dxa"/>
            <w:vAlign w:val="bottom"/>
          </w:tcPr>
          <w:p>
            <w:pPr>
              <w:spacing w:after="0"/>
              <w:rPr>
                <w:sz w:val="1"/>
                <w:szCs w:val="1"/>
                <w:color w:val="auto"/>
              </w:rPr>
            </w:pPr>
          </w:p>
        </w:tc>
      </w:tr>
      <w:tr>
        <w:trPr>
          <w:trHeight w:val="270"/>
        </w:trPr>
        <w:tc>
          <w:tcPr>
            <w:tcW w:w="3120" w:type="dxa"/>
            <w:vAlign w:val="bottom"/>
          </w:tcPr>
          <w:p>
            <w:pPr>
              <w:spacing w:after="0"/>
              <w:rPr>
                <w:sz w:val="20"/>
                <w:szCs w:val="20"/>
                <w:color w:val="auto"/>
              </w:rPr>
            </w:pPr>
            <w:r>
              <w:rPr>
                <w:rFonts w:ascii="Arial" w:cs="Arial" w:eastAsia="Arial" w:hAnsi="Arial"/>
                <w:sz w:val="18"/>
                <w:szCs w:val="18"/>
                <w:color w:val="auto"/>
              </w:rPr>
              <w:t>Merchandise cost of goods sold</w:t>
            </w:r>
          </w:p>
        </w:tc>
        <w:tc>
          <w:tcPr>
            <w:tcW w:w="16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202,488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59,223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261,711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261,711</w:t>
            </w:r>
          </w:p>
        </w:tc>
        <w:tc>
          <w:tcPr>
            <w:tcW w:w="0" w:type="dxa"/>
            <w:vAlign w:val="bottom"/>
          </w:tcPr>
          <w:p>
            <w:pPr>
              <w:spacing w:after="0"/>
              <w:rPr>
                <w:sz w:val="1"/>
                <w:szCs w:val="1"/>
                <w:color w:val="auto"/>
              </w:rPr>
            </w:pPr>
          </w:p>
        </w:tc>
      </w:tr>
      <w:tr>
        <w:trPr>
          <w:trHeight w:val="270"/>
        </w:trPr>
        <w:tc>
          <w:tcPr>
            <w:tcW w:w="3120" w:type="dxa"/>
            <w:vAlign w:val="bottom"/>
          </w:tcPr>
          <w:p>
            <w:pPr>
              <w:spacing w:after="0"/>
              <w:rPr>
                <w:sz w:val="20"/>
                <w:szCs w:val="20"/>
                <w:color w:val="auto"/>
              </w:rPr>
            </w:pPr>
            <w:r>
              <w:rPr>
                <w:rFonts w:ascii="Arial" w:cs="Arial" w:eastAsia="Arial" w:hAnsi="Arial"/>
                <w:sz w:val="18"/>
                <w:szCs w:val="18"/>
                <w:color w:val="auto"/>
              </w:rPr>
              <w:t>Jewelry scrapping cost of goods sold</w:t>
            </w:r>
          </w:p>
        </w:tc>
        <w:tc>
          <w:tcPr>
            <w:tcW w:w="16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25,430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8,099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33,529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33,529</w:t>
            </w:r>
          </w:p>
        </w:tc>
        <w:tc>
          <w:tcPr>
            <w:tcW w:w="0" w:type="dxa"/>
            <w:vAlign w:val="bottom"/>
          </w:tcPr>
          <w:p>
            <w:pPr>
              <w:spacing w:after="0"/>
              <w:rPr>
                <w:sz w:val="1"/>
                <w:szCs w:val="1"/>
                <w:color w:val="auto"/>
              </w:rPr>
            </w:pPr>
          </w:p>
        </w:tc>
      </w:tr>
      <w:tr>
        <w:trPr>
          <w:trHeight w:val="270"/>
        </w:trPr>
        <w:tc>
          <w:tcPr>
            <w:tcW w:w="3120" w:type="dxa"/>
            <w:vAlign w:val="bottom"/>
          </w:tcPr>
          <w:p>
            <w:pPr>
              <w:spacing w:after="0"/>
              <w:rPr>
                <w:sz w:val="20"/>
                <w:szCs w:val="20"/>
                <w:color w:val="auto"/>
              </w:rPr>
            </w:pPr>
            <w:r>
              <w:rPr>
                <w:rFonts w:ascii="Arial" w:cs="Arial" w:eastAsia="Arial" w:hAnsi="Arial"/>
                <w:sz w:val="18"/>
                <w:szCs w:val="18"/>
                <w:color w:val="auto"/>
              </w:rPr>
              <w:t>Other cost of revenues</w:t>
            </w:r>
          </w:p>
        </w:tc>
        <w:tc>
          <w:tcPr>
            <w:tcW w:w="16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20" w:type="dxa"/>
            <w:vAlign w:val="bottom"/>
          </w:tcPr>
          <w:p>
            <w:pPr>
              <w:ind w:left="460"/>
              <w:spacing w:after="0"/>
              <w:rPr>
                <w:sz w:val="20"/>
                <w:szCs w:val="20"/>
                <w:color w:val="auto"/>
              </w:rPr>
            </w:pPr>
            <w:r>
              <w:rPr>
                <w:rFonts w:ascii="Arial" w:cs="Arial" w:eastAsia="Arial" w:hAnsi="Arial"/>
                <w:sz w:val="18"/>
                <w:szCs w:val="18"/>
                <w:color w:val="auto"/>
              </w:rPr>
              <w:t>Net revenues</w:t>
            </w:r>
          </w:p>
        </w:tc>
        <w:tc>
          <w:tcPr>
            <w:tcW w:w="1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286,012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71,047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2,546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359,618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359,618</w:t>
            </w:r>
          </w:p>
        </w:tc>
        <w:tc>
          <w:tcPr>
            <w:tcW w:w="0" w:type="dxa"/>
            <w:vAlign w:val="bottom"/>
          </w:tcPr>
          <w:p>
            <w:pPr>
              <w:spacing w:after="0"/>
              <w:rPr>
                <w:sz w:val="1"/>
                <w:szCs w:val="1"/>
                <w:color w:val="auto"/>
              </w:rPr>
            </w:pPr>
          </w:p>
        </w:tc>
      </w:tr>
      <w:tr>
        <w:trPr>
          <w:trHeight w:val="256"/>
        </w:trPr>
        <w:tc>
          <w:tcPr>
            <w:tcW w:w="3120" w:type="dxa"/>
            <w:vAlign w:val="bottom"/>
          </w:tcPr>
          <w:p>
            <w:pPr>
              <w:spacing w:after="0"/>
              <w:rPr>
                <w:sz w:val="20"/>
                <w:szCs w:val="20"/>
                <w:color w:val="auto"/>
              </w:rPr>
            </w:pPr>
            <w:r>
              <w:rPr>
                <w:rFonts w:ascii="Arial" w:cs="Arial" w:eastAsia="Arial" w:hAnsi="Arial"/>
                <w:sz w:val="18"/>
                <w:szCs w:val="18"/>
                <w:color w:val="auto"/>
              </w:rPr>
              <w:t>Segment and corporate expenses</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(income):</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201,921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53,493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3,571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3,850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262,835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262,835</w:t>
            </w:r>
          </w:p>
        </w:tc>
        <w:tc>
          <w:tcPr>
            <w:tcW w:w="0" w:type="dxa"/>
            <w:vAlign w:val="bottom"/>
          </w:tcPr>
          <w:p>
            <w:pPr>
              <w:spacing w:after="0"/>
              <w:rPr>
                <w:sz w:val="1"/>
                <w:szCs w:val="1"/>
                <w:color w:val="auto"/>
              </w:rPr>
            </w:pPr>
          </w:p>
        </w:tc>
      </w:tr>
      <w:tr>
        <w:trPr>
          <w:trHeight w:val="270"/>
        </w:trPr>
        <w:tc>
          <w:tcPr>
            <w:tcW w:w="3120" w:type="dxa"/>
            <w:vAlign w:val="bottom"/>
          </w:tcPr>
          <w:p>
            <w:pPr>
              <w:ind w:left="240"/>
              <w:spacing w:after="0"/>
              <w:rPr>
                <w:sz w:val="20"/>
                <w:szCs w:val="20"/>
                <w:color w:val="auto"/>
              </w:rPr>
            </w:pPr>
            <w:r>
              <w:rPr>
                <w:rFonts w:ascii="Arial" w:cs="Arial" w:eastAsia="Arial" w:hAnsi="Arial"/>
                <w:sz w:val="18"/>
                <w:szCs w:val="18"/>
                <w:color w:val="auto"/>
              </w:rPr>
              <w:t>Administrative</w:t>
            </w:r>
          </w:p>
        </w:tc>
        <w:tc>
          <w:tcPr>
            <w:tcW w:w="16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46,797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46,797</w:t>
            </w:r>
          </w:p>
        </w:tc>
        <w:tc>
          <w:tcPr>
            <w:tcW w:w="0" w:type="dxa"/>
            <w:vAlign w:val="bottom"/>
          </w:tcPr>
          <w:p>
            <w:pPr>
              <w:spacing w:after="0"/>
              <w:rPr>
                <w:sz w:val="1"/>
                <w:szCs w:val="1"/>
                <w:color w:val="auto"/>
              </w:rPr>
            </w:pPr>
          </w:p>
        </w:tc>
      </w:tr>
      <w:tr>
        <w:trPr>
          <w:trHeight w:val="270"/>
        </w:trPr>
        <w:tc>
          <w:tcPr>
            <w:tcW w:w="31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8,325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5,476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14,587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8,587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23,174</w:t>
            </w:r>
          </w:p>
        </w:tc>
        <w:tc>
          <w:tcPr>
            <w:tcW w:w="0" w:type="dxa"/>
            <w:vAlign w:val="bottom"/>
          </w:tcPr>
          <w:p>
            <w:pPr>
              <w:spacing w:after="0"/>
              <w:rPr>
                <w:sz w:val="1"/>
                <w:szCs w:val="1"/>
                <w:color w:val="auto"/>
              </w:rPr>
            </w:pPr>
          </w:p>
        </w:tc>
      </w:tr>
      <w:tr>
        <w:trPr>
          <w:trHeight w:val="256"/>
        </w:trPr>
        <w:tc>
          <w:tcPr>
            <w:tcW w:w="3120" w:type="dxa"/>
            <w:vAlign w:val="bottom"/>
          </w:tcPr>
          <w:p>
            <w:pPr>
              <w:ind w:left="240"/>
              <w:spacing w:after="0"/>
              <w:rPr>
                <w:sz w:val="20"/>
                <w:szCs w:val="20"/>
                <w:color w:val="auto"/>
              </w:rPr>
            </w:pPr>
            <w:r>
              <w:rPr>
                <w:rFonts w:ascii="Arial" w:cs="Arial" w:eastAsia="Arial" w:hAnsi="Arial"/>
                <w:sz w:val="18"/>
                <w:szCs w:val="18"/>
                <w:color w:val="auto"/>
              </w:rPr>
              <w:t>Loss (gain) on sale or disposal of</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40"/>
              <w:spacing w:after="0"/>
              <w:rPr>
                <w:sz w:val="20"/>
                <w:szCs w:val="20"/>
                <w:color w:val="auto"/>
              </w:rPr>
            </w:pPr>
            <w:r>
              <w:rPr>
                <w:rFonts w:ascii="Arial" w:cs="Arial" w:eastAsia="Arial" w:hAnsi="Arial"/>
                <w:sz w:val="18"/>
                <w:szCs w:val="18"/>
                <w:color w:val="auto"/>
              </w:rPr>
              <w:t>assets and other</w:t>
            </w:r>
          </w:p>
        </w:tc>
        <w:tc>
          <w:tcPr>
            <w:tcW w:w="1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70"/>
        </w:trPr>
        <w:tc>
          <w:tcPr>
            <w:tcW w:w="312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15,695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16,589</w:t>
            </w:r>
          </w:p>
        </w:tc>
        <w:tc>
          <w:tcPr>
            <w:tcW w:w="0" w:type="dxa"/>
            <w:vAlign w:val="bottom"/>
          </w:tcPr>
          <w:p>
            <w:pPr>
              <w:spacing w:after="0"/>
              <w:rPr>
                <w:sz w:val="1"/>
                <w:szCs w:val="1"/>
                <w:color w:val="auto"/>
              </w:rPr>
            </w:pPr>
          </w:p>
        </w:tc>
      </w:tr>
      <w:tr>
        <w:trPr>
          <w:trHeight w:val="270"/>
        </w:trPr>
        <w:tc>
          <w:tcPr>
            <w:tcW w:w="312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56"/>
        </w:trPr>
        <w:tc>
          <w:tcPr>
            <w:tcW w:w="3120" w:type="dxa"/>
            <w:vAlign w:val="bottom"/>
          </w:tcPr>
          <w:p>
            <w:pPr>
              <w:ind w:left="240"/>
              <w:spacing w:after="0"/>
              <w:rPr>
                <w:sz w:val="20"/>
                <w:szCs w:val="20"/>
                <w:color w:val="auto"/>
              </w:rPr>
            </w:pPr>
            <w:r>
              <w:rPr>
                <w:rFonts w:ascii="Arial" w:cs="Arial" w:eastAsia="Arial" w:hAnsi="Arial"/>
                <w:sz w:val="18"/>
                <w:szCs w:val="18"/>
                <w:color w:val="auto"/>
              </w:rPr>
              <w:t>Equity in net loss of unconsolidated</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40"/>
              <w:spacing w:after="0"/>
              <w:rPr>
                <w:sz w:val="20"/>
                <w:szCs w:val="20"/>
                <w:color w:val="auto"/>
              </w:rPr>
            </w:pPr>
            <w:r>
              <w:rPr>
                <w:rFonts w:ascii="Arial" w:cs="Arial" w:eastAsia="Arial" w:hAnsi="Arial"/>
                <w:sz w:val="18"/>
                <w:szCs w:val="18"/>
                <w:color w:val="auto"/>
              </w:rPr>
              <w:t>affiliates</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5,896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5,896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5,896</w:t>
            </w:r>
          </w:p>
        </w:tc>
        <w:tc>
          <w:tcPr>
            <w:tcW w:w="0" w:type="dxa"/>
            <w:vAlign w:val="bottom"/>
          </w:tcPr>
          <w:p>
            <w:pPr>
              <w:spacing w:after="0"/>
              <w:rPr>
                <w:sz w:val="1"/>
                <w:szCs w:val="1"/>
                <w:color w:val="auto"/>
              </w:rPr>
            </w:pPr>
          </w:p>
        </w:tc>
      </w:tr>
      <w:tr>
        <w:trPr>
          <w:trHeight w:val="256"/>
        </w:trPr>
        <w:tc>
          <w:tcPr>
            <w:tcW w:w="3120" w:type="dxa"/>
            <w:vAlign w:val="bottom"/>
          </w:tcPr>
          <w:p>
            <w:pPr>
              <w:ind w:left="240"/>
              <w:spacing w:after="0"/>
              <w:rPr>
                <w:sz w:val="20"/>
                <w:szCs w:val="20"/>
                <w:color w:val="auto"/>
              </w:rPr>
            </w:pPr>
            <w:r>
              <w:rPr>
                <w:rFonts w:ascii="Arial" w:cs="Arial" w:eastAsia="Arial" w:hAnsi="Arial"/>
                <w:sz w:val="18"/>
                <w:szCs w:val="18"/>
                <w:color w:val="auto"/>
                <w:w w:val="96"/>
              </w:rPr>
              <w:t>Impairment of goodwill and intangible</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4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35,936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1,124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47,060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47,060</w:t>
            </w:r>
          </w:p>
        </w:tc>
        <w:tc>
          <w:tcPr>
            <w:tcW w:w="0" w:type="dxa"/>
            <w:vAlign w:val="bottom"/>
          </w:tcPr>
          <w:p>
            <w:pPr>
              <w:spacing w:after="0"/>
              <w:rPr>
                <w:sz w:val="1"/>
                <w:szCs w:val="1"/>
                <w:color w:val="auto"/>
              </w:rPr>
            </w:pPr>
          </w:p>
        </w:tc>
      </w:tr>
      <w:tr>
        <w:trPr>
          <w:trHeight w:val="270"/>
        </w:trPr>
        <w:tc>
          <w:tcPr>
            <w:tcW w:w="3120" w:type="dxa"/>
            <w:vAlign w:val="bottom"/>
          </w:tcPr>
          <w:p>
            <w:pPr>
              <w:ind w:left="240"/>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20" w:type="dxa"/>
            <w:vAlign w:val="bottom"/>
          </w:tcPr>
          <w:p>
            <w:pPr>
              <w:spacing w:after="0"/>
              <w:rPr>
                <w:sz w:val="20"/>
                <w:szCs w:val="20"/>
                <w:color w:val="auto"/>
              </w:rPr>
            </w:pPr>
            <w:r>
              <w:rPr>
                <w:rFonts w:ascii="Arial" w:cs="Arial" w:eastAsia="Arial" w:hAnsi="Arial"/>
                <w:sz w:val="18"/>
                <w:szCs w:val="18"/>
                <w:color w:val="auto"/>
              </w:rPr>
              <w:t>Segment contribution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65,532</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(22,752)</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(4,284)</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(8,842)</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29,654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8"/>
                <w:szCs w:val="18"/>
                <w:color w:val="auto"/>
                <w:w w:val="95"/>
              </w:rPr>
              <w:t>Income (loss) from continuing operations</w:t>
            </w: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1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vMerge w:val="restart"/>
          </w:tcPr>
          <w:p>
            <w:pPr>
              <w:jc w:val="right"/>
              <w:ind w:right="75"/>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color w:val="auto"/>
              </w:rPr>
              <w:t>29,654</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(70,953)</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(41,299)</w:t>
            </w:r>
          </w:p>
        </w:tc>
        <w:tc>
          <w:tcPr>
            <w:tcW w:w="0" w:type="dxa"/>
            <w:vAlign w:val="bottom"/>
          </w:tcPr>
          <w:p>
            <w:pPr>
              <w:spacing w:after="0"/>
              <w:rPr>
                <w:sz w:val="1"/>
                <w:szCs w:val="1"/>
                <w:color w:val="auto"/>
              </w:rPr>
            </w:pPr>
          </w:p>
        </w:tc>
      </w:tr>
      <w:tr>
        <w:trPr>
          <w:trHeight w:val="242"/>
        </w:trPr>
        <w:tc>
          <w:tcPr>
            <w:tcW w:w="3120" w:type="dxa"/>
            <w:vAlign w:val="bottom"/>
          </w:tcPr>
          <w:p>
            <w:pPr>
              <w:spacing w:after="0"/>
              <w:rPr>
                <w:sz w:val="20"/>
                <w:szCs w:val="20"/>
                <w:color w:val="auto"/>
              </w:rPr>
            </w:pPr>
            <w:r>
              <w:rPr>
                <w:rFonts w:ascii="Arial" w:cs="Arial" w:eastAsia="Arial" w:hAnsi="Arial"/>
                <w:sz w:val="18"/>
                <w:szCs w:val="18"/>
                <w:color w:val="auto"/>
              </w:rPr>
              <w:t>before income taxes</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00"/>
          </w:cols>
          <w:pgMar w:left="360" w:top="873"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12"/>
          </w:tcPr>
          <w:p>
            <w:pPr>
              <w:ind w:left="260"/>
              <w:spacing w:after="0"/>
              <w:rPr>
                <w:sz w:val="20"/>
                <w:szCs w:val="20"/>
                <w:color w:val="auto"/>
              </w:rPr>
            </w:pPr>
            <w:r>
              <w:rPr>
                <w:rFonts w:ascii="Arial" w:cs="Arial" w:eastAsia="Arial" w:hAnsi="Arial"/>
                <w:sz w:val="14"/>
                <w:szCs w:val="14"/>
                <w:b w:val="1"/>
                <w:bCs w:val="1"/>
                <w:color w:val="auto"/>
              </w:rPr>
              <w:t>Nine Months Ended June 30, 2019</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Latin</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7"/>
              </w:rPr>
              <w:t>U.S. Pawn</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America</w:t>
            </w:r>
          </w:p>
        </w:tc>
        <w:tc>
          <w:tcPr>
            <w:tcW w:w="200" w:type="dxa"/>
            <w:vAlign w:val="bottom"/>
          </w:tcPr>
          <w:p>
            <w:pPr>
              <w:spacing w:after="0"/>
              <w:rPr>
                <w:sz w:val="12"/>
                <w:szCs w:val="12"/>
                <w:color w:val="auto"/>
              </w:rPr>
            </w:pPr>
          </w:p>
        </w:tc>
        <w:tc>
          <w:tcPr>
            <w:tcW w:w="680" w:type="dxa"/>
            <w:vAlign w:val="bottom"/>
            <w:gridSpan w:val="2"/>
            <w:vMerge w:val="restart"/>
          </w:tcPr>
          <w:p>
            <w:pPr>
              <w:jc w:val="right"/>
              <w:ind w:right="192"/>
              <w:spacing w:after="0"/>
              <w:rPr>
                <w:sz w:val="20"/>
                <w:szCs w:val="20"/>
                <w:color w:val="auto"/>
              </w:rPr>
            </w:pPr>
            <w:r>
              <w:rPr>
                <w:rFonts w:ascii="Arial" w:cs="Arial" w:eastAsia="Arial" w:hAnsi="Arial"/>
                <w:sz w:val="14"/>
                <w:szCs w:val="14"/>
                <w:b w:val="1"/>
                <w:bCs w:val="1"/>
                <w:color w:val="auto"/>
              </w:rPr>
              <w:t>Lana</w:t>
            </w:r>
          </w:p>
        </w:tc>
        <w:tc>
          <w:tcPr>
            <w:tcW w:w="120" w:type="dxa"/>
            <w:vAlign w:val="bottom"/>
            <w:vMerge w:val="restart"/>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1120" w:type="dxa"/>
            <w:vAlign w:val="bottom"/>
            <w:gridSpan w:val="4"/>
            <w:vMerge w:val="restart"/>
          </w:tcPr>
          <w:p>
            <w:pPr>
              <w:jc w:val="right"/>
              <w:ind w:right="19"/>
              <w:spacing w:after="0"/>
              <w:rPr>
                <w:sz w:val="20"/>
                <w:szCs w:val="20"/>
                <w:color w:val="auto"/>
              </w:rPr>
            </w:pPr>
            <w:r>
              <w:rPr>
                <w:rFonts w:ascii="Arial" w:cs="Arial" w:eastAsia="Arial" w:hAnsi="Arial"/>
                <w:sz w:val="14"/>
                <w:szCs w:val="14"/>
                <w:b w:val="1"/>
                <w:bCs w:val="1"/>
                <w:color w:val="auto"/>
                <w:w w:val="95"/>
              </w:rPr>
              <w:t>Total Segments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8"/>
              </w:rPr>
              <w:t>Pawn</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20" w:type="dxa"/>
            <w:vAlign w:val="bottom"/>
            <w:tcBorders>
              <w:bottom w:val="single" w:sz="8" w:color="auto"/>
            </w:tcBorders>
            <w:gridSpan w:val="4"/>
          </w:tcPr>
          <w:p>
            <w:pPr>
              <w:jc w:val="right"/>
              <w:ind w:right="115"/>
              <w:spacing w:after="0"/>
              <w:rPr>
                <w:sz w:val="20"/>
                <w:szCs w:val="20"/>
                <w:color w:val="auto"/>
              </w:rPr>
            </w:pPr>
            <w:r>
              <w:rPr>
                <w:rFonts w:ascii="Arial" w:cs="Arial" w:eastAsia="Arial" w:hAnsi="Arial"/>
                <w:sz w:val="14"/>
                <w:szCs w:val="14"/>
                <w:b w:val="1"/>
                <w:bCs w:val="1"/>
                <w:color w:val="auto"/>
              </w:rPr>
              <w:t>International</w:t>
            </w:r>
          </w:p>
        </w:tc>
        <w:tc>
          <w:tcPr>
            <w:tcW w:w="120" w:type="dxa"/>
            <w:vAlign w:val="bottom"/>
          </w:tcPr>
          <w:p>
            <w:pPr>
              <w:spacing w:after="0"/>
              <w:rPr>
                <w:sz w:val="16"/>
                <w:szCs w:val="16"/>
                <w:color w:val="auto"/>
              </w:rPr>
            </w:pPr>
          </w:p>
        </w:tc>
        <w:tc>
          <w:tcPr>
            <w:tcW w:w="112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3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5"/>
          </w:tcPr>
          <w:p>
            <w:pPr>
              <w:ind w:left="4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240" w:type="dxa"/>
            <w:vAlign w:val="bottom"/>
          </w:tcPr>
          <w:p>
            <w:pPr>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240"/>
              <w:spacing w:after="0"/>
              <w:rPr>
                <w:sz w:val="20"/>
                <w:szCs w:val="20"/>
                <w:color w:val="auto"/>
              </w:rPr>
            </w:pPr>
            <w:r>
              <w:rPr>
                <w:rFonts w:ascii="Arial" w:cs="Arial" w:eastAsia="Arial" w:hAnsi="Arial"/>
                <w:sz w:val="18"/>
                <w:szCs w:val="18"/>
                <w:color w:val="auto"/>
              </w:rPr>
              <w:t>Merchandise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275,639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70,547</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5"/>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ind w:right="39"/>
              <w:spacing w:after="0"/>
              <w:rPr>
                <w:sz w:val="20"/>
                <w:szCs w:val="20"/>
                <w:color w:val="auto"/>
              </w:rPr>
            </w:pPr>
            <w:r>
              <w:rPr>
                <w:rFonts w:ascii="Arial" w:cs="Arial" w:eastAsia="Arial" w:hAnsi="Arial"/>
                <w:sz w:val="18"/>
                <w:szCs w:val="18"/>
                <w:color w:val="auto"/>
              </w:rPr>
              <w:t>346,186</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346,186</w:t>
            </w:r>
          </w:p>
        </w:tc>
        <w:tc>
          <w:tcPr>
            <w:tcW w:w="0" w:type="dxa"/>
            <w:vAlign w:val="bottom"/>
          </w:tcPr>
          <w:p>
            <w:pPr>
              <w:spacing w:after="0"/>
              <w:rPr>
                <w:sz w:val="1"/>
                <w:szCs w:val="1"/>
                <w:color w:val="auto"/>
              </w:rPr>
            </w:pPr>
          </w:p>
        </w:tc>
      </w:tr>
      <w:tr>
        <w:trPr>
          <w:trHeight w:val="270"/>
        </w:trPr>
        <w:tc>
          <w:tcPr>
            <w:tcW w:w="3240" w:type="dxa"/>
            <w:vAlign w:val="bottom"/>
          </w:tcPr>
          <w:p>
            <w:pPr>
              <w:ind w:left="240"/>
              <w:spacing w:after="0"/>
              <w:rPr>
                <w:sz w:val="20"/>
                <w:szCs w:val="20"/>
                <w:color w:val="auto"/>
              </w:rPr>
            </w:pPr>
            <w:r>
              <w:rPr>
                <w:rFonts w:ascii="Arial" w:cs="Arial" w:eastAsia="Arial" w:hAnsi="Arial"/>
                <w:sz w:val="18"/>
                <w:szCs w:val="18"/>
                <w:color w:val="auto"/>
              </w:rPr>
              <w:t>Jewelry scrapping sales</w:t>
            </w:r>
          </w:p>
        </w:tc>
        <w:tc>
          <w:tcPr>
            <w:tcW w:w="16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28,357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9,516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60" w:type="dxa"/>
            <w:vAlign w:val="bottom"/>
            <w:gridSpan w:val="3"/>
          </w:tcPr>
          <w:p>
            <w:pPr>
              <w:jc w:val="right"/>
              <w:ind w:right="39"/>
              <w:spacing w:after="0"/>
              <w:rPr>
                <w:sz w:val="20"/>
                <w:szCs w:val="20"/>
                <w:color w:val="auto"/>
              </w:rPr>
            </w:pPr>
            <w:r>
              <w:rPr>
                <w:rFonts w:ascii="Arial" w:cs="Arial" w:eastAsia="Arial" w:hAnsi="Arial"/>
                <w:sz w:val="18"/>
                <w:szCs w:val="18"/>
                <w:color w:val="auto"/>
              </w:rPr>
              <w:t>37,873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37,873</w:t>
            </w:r>
          </w:p>
        </w:tc>
        <w:tc>
          <w:tcPr>
            <w:tcW w:w="0" w:type="dxa"/>
            <w:vAlign w:val="bottom"/>
          </w:tcPr>
          <w:p>
            <w:pPr>
              <w:spacing w:after="0"/>
              <w:rPr>
                <w:sz w:val="1"/>
                <w:szCs w:val="1"/>
                <w:color w:val="auto"/>
              </w:rPr>
            </w:pPr>
          </w:p>
        </w:tc>
      </w:tr>
      <w:tr>
        <w:trPr>
          <w:trHeight w:val="270"/>
        </w:trPr>
        <w:tc>
          <w:tcPr>
            <w:tcW w:w="3240" w:type="dxa"/>
            <w:vAlign w:val="bottom"/>
          </w:tcPr>
          <w:p>
            <w:pPr>
              <w:ind w:left="240"/>
              <w:spacing w:after="0"/>
              <w:rPr>
                <w:sz w:val="20"/>
                <w:szCs w:val="20"/>
                <w:color w:val="auto"/>
              </w:rPr>
            </w:pPr>
            <w:r>
              <w:rPr>
                <w:rFonts w:ascii="Arial" w:cs="Arial" w:eastAsia="Arial" w:hAnsi="Arial"/>
                <w:sz w:val="18"/>
                <w:szCs w:val="18"/>
                <w:color w:val="auto"/>
              </w:rPr>
              <w:t>Pawn service charges</w:t>
            </w:r>
          </w:p>
        </w:tc>
        <w:tc>
          <w:tcPr>
            <w:tcW w:w="16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184,658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59,640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60" w:type="dxa"/>
            <w:vAlign w:val="bottom"/>
            <w:gridSpan w:val="3"/>
          </w:tcPr>
          <w:p>
            <w:pPr>
              <w:jc w:val="right"/>
              <w:ind w:right="39"/>
              <w:spacing w:after="0"/>
              <w:rPr>
                <w:sz w:val="20"/>
                <w:szCs w:val="20"/>
                <w:color w:val="auto"/>
              </w:rPr>
            </w:pPr>
            <w:r>
              <w:rPr>
                <w:rFonts w:ascii="Arial" w:cs="Arial" w:eastAsia="Arial" w:hAnsi="Arial"/>
                <w:sz w:val="18"/>
                <w:szCs w:val="18"/>
                <w:color w:val="auto"/>
              </w:rPr>
              <w:t>244,298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244,298</w:t>
            </w:r>
          </w:p>
        </w:tc>
        <w:tc>
          <w:tcPr>
            <w:tcW w:w="0" w:type="dxa"/>
            <w:vAlign w:val="bottom"/>
          </w:tcPr>
          <w:p>
            <w:pPr>
              <w:spacing w:after="0"/>
              <w:rPr>
                <w:sz w:val="1"/>
                <w:szCs w:val="1"/>
                <w:color w:val="auto"/>
              </w:rPr>
            </w:pPr>
          </w:p>
        </w:tc>
      </w:tr>
      <w:tr>
        <w:trPr>
          <w:trHeight w:val="270"/>
        </w:trPr>
        <w:tc>
          <w:tcPr>
            <w:tcW w:w="3240" w:type="dxa"/>
            <w:vAlign w:val="bottom"/>
          </w:tcPr>
          <w:p>
            <w:pPr>
              <w:ind w:left="240"/>
              <w:spacing w:after="0"/>
              <w:rPr>
                <w:sz w:val="20"/>
                <w:szCs w:val="20"/>
                <w:color w:val="auto"/>
              </w:rPr>
            </w:pPr>
            <w:r>
              <w:rPr>
                <w:rFonts w:ascii="Arial" w:cs="Arial" w:eastAsia="Arial" w:hAnsi="Arial"/>
                <w:sz w:val="18"/>
                <w:szCs w:val="18"/>
                <w:color w:val="auto"/>
              </w:rPr>
              <w:t>Other revenues</w:t>
            </w:r>
          </w:p>
        </w:tc>
        <w:tc>
          <w:tcPr>
            <w:tcW w:w="16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800" w:type="dxa"/>
            <w:vAlign w:val="bottom"/>
            <w:gridSpan w:val="3"/>
          </w:tcPr>
          <w:p>
            <w:pPr>
              <w:jc w:val="right"/>
              <w:ind w:right="15"/>
              <w:spacing w:after="0"/>
              <w:rPr>
                <w:sz w:val="20"/>
                <w:szCs w:val="20"/>
                <w:color w:val="auto"/>
              </w:rPr>
            </w:pPr>
            <w:r>
              <w:rPr>
                <w:rFonts w:ascii="Arial" w:cs="Arial" w:eastAsia="Arial" w:hAnsi="Arial"/>
                <w:sz w:val="18"/>
                <w:szCs w:val="18"/>
                <w:color w:val="auto"/>
              </w:rPr>
              <w:t>4,274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3"/>
          </w:tcPr>
          <w:p>
            <w:pPr>
              <w:jc w:val="right"/>
              <w:ind w:right="39"/>
              <w:spacing w:after="0"/>
              <w:rPr>
                <w:sz w:val="20"/>
                <w:szCs w:val="20"/>
                <w:color w:val="auto"/>
              </w:rPr>
            </w:pPr>
            <w:r>
              <w:rPr>
                <w:rFonts w:ascii="Arial" w:cs="Arial" w:eastAsia="Arial" w:hAnsi="Arial"/>
                <w:sz w:val="18"/>
                <w:szCs w:val="18"/>
                <w:color w:val="auto"/>
              </w:rPr>
              <w:t>4,533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4,533</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tcPr>
          <w:p>
            <w:pPr>
              <w:ind w:left="460"/>
              <w:spacing w:after="0"/>
              <w:rPr>
                <w:sz w:val="20"/>
                <w:szCs w:val="20"/>
                <w:color w:val="auto"/>
              </w:rPr>
            </w:pPr>
            <w:r>
              <w:rPr>
                <w:rFonts w:ascii="Arial" w:cs="Arial" w:eastAsia="Arial" w:hAnsi="Arial"/>
                <w:sz w:val="18"/>
                <w:szCs w:val="18"/>
                <w:color w:val="auto"/>
              </w:rPr>
              <w:t>Total revenues</w:t>
            </w:r>
          </w:p>
        </w:tc>
        <w:tc>
          <w:tcPr>
            <w:tcW w:w="1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488,779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w w:val="95"/>
              </w:rPr>
              <w:t>139,837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00" w:type="dxa"/>
            <w:vAlign w:val="bottom"/>
            <w:gridSpan w:val="3"/>
          </w:tcPr>
          <w:p>
            <w:pPr>
              <w:jc w:val="right"/>
              <w:ind w:right="15"/>
              <w:spacing w:after="0"/>
              <w:rPr>
                <w:sz w:val="20"/>
                <w:szCs w:val="20"/>
                <w:color w:val="auto"/>
              </w:rPr>
            </w:pPr>
            <w:r>
              <w:rPr>
                <w:rFonts w:ascii="Arial" w:cs="Arial" w:eastAsia="Arial" w:hAnsi="Arial"/>
                <w:sz w:val="18"/>
                <w:szCs w:val="18"/>
                <w:color w:val="auto"/>
              </w:rPr>
              <w:t>4,274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3"/>
          </w:tcPr>
          <w:p>
            <w:pPr>
              <w:jc w:val="right"/>
              <w:ind w:right="39"/>
              <w:spacing w:after="0"/>
              <w:rPr>
                <w:sz w:val="20"/>
                <w:szCs w:val="20"/>
                <w:color w:val="auto"/>
              </w:rPr>
            </w:pPr>
            <w:r>
              <w:rPr>
                <w:rFonts w:ascii="Arial" w:cs="Arial" w:eastAsia="Arial" w:hAnsi="Arial"/>
                <w:sz w:val="18"/>
                <w:szCs w:val="18"/>
                <w:color w:val="auto"/>
              </w:rPr>
              <w:t>632,890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632,890</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0"/>
                <w:szCs w:val="20"/>
                <w:color w:val="auto"/>
              </w:rPr>
            </w:pPr>
            <w:r>
              <w:rPr>
                <w:rFonts w:ascii="Arial" w:cs="Arial" w:eastAsia="Arial" w:hAnsi="Arial"/>
                <w:sz w:val="18"/>
                <w:szCs w:val="18"/>
                <w:color w:val="auto"/>
              </w:rPr>
              <w:t>Merchandise cost of goods sold</w:t>
            </w:r>
          </w:p>
        </w:tc>
        <w:tc>
          <w:tcPr>
            <w:tcW w:w="16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172,931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52,252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60" w:type="dxa"/>
            <w:vAlign w:val="bottom"/>
            <w:gridSpan w:val="3"/>
          </w:tcPr>
          <w:p>
            <w:pPr>
              <w:jc w:val="right"/>
              <w:ind w:right="39"/>
              <w:spacing w:after="0"/>
              <w:rPr>
                <w:sz w:val="20"/>
                <w:szCs w:val="20"/>
                <w:color w:val="auto"/>
              </w:rPr>
            </w:pPr>
            <w:r>
              <w:rPr>
                <w:rFonts w:ascii="Arial" w:cs="Arial" w:eastAsia="Arial" w:hAnsi="Arial"/>
                <w:sz w:val="18"/>
                <w:szCs w:val="18"/>
                <w:color w:val="auto"/>
              </w:rPr>
              <w:t>225,183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225,183</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0"/>
                <w:szCs w:val="20"/>
                <w:color w:val="auto"/>
              </w:rPr>
            </w:pPr>
            <w:r>
              <w:rPr>
                <w:rFonts w:ascii="Arial" w:cs="Arial" w:eastAsia="Arial" w:hAnsi="Arial"/>
                <w:sz w:val="18"/>
                <w:szCs w:val="18"/>
                <w:color w:val="auto"/>
              </w:rPr>
              <w:t>Jewelry scrapping cost of goods sold</w:t>
            </w:r>
          </w:p>
        </w:tc>
        <w:tc>
          <w:tcPr>
            <w:tcW w:w="16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23,680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8,968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60" w:type="dxa"/>
            <w:vAlign w:val="bottom"/>
            <w:gridSpan w:val="3"/>
          </w:tcPr>
          <w:p>
            <w:pPr>
              <w:jc w:val="right"/>
              <w:ind w:right="39"/>
              <w:spacing w:after="0"/>
              <w:rPr>
                <w:sz w:val="20"/>
                <w:szCs w:val="20"/>
                <w:color w:val="auto"/>
              </w:rPr>
            </w:pPr>
            <w:r>
              <w:rPr>
                <w:rFonts w:ascii="Arial" w:cs="Arial" w:eastAsia="Arial" w:hAnsi="Arial"/>
                <w:sz w:val="18"/>
                <w:szCs w:val="18"/>
                <w:color w:val="auto"/>
              </w:rPr>
              <w:t>32,648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32,648</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0"/>
                <w:szCs w:val="20"/>
                <w:color w:val="auto"/>
              </w:rPr>
            </w:pPr>
            <w:r>
              <w:rPr>
                <w:rFonts w:ascii="Arial" w:cs="Arial" w:eastAsia="Arial" w:hAnsi="Arial"/>
                <w:sz w:val="18"/>
                <w:szCs w:val="18"/>
                <w:color w:val="auto"/>
              </w:rPr>
              <w:t>Other cost of revenues</w:t>
            </w:r>
          </w:p>
        </w:tc>
        <w:tc>
          <w:tcPr>
            <w:tcW w:w="16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800" w:type="dxa"/>
            <w:vAlign w:val="bottom"/>
            <w:gridSpan w:val="3"/>
          </w:tcPr>
          <w:p>
            <w:pPr>
              <w:jc w:val="right"/>
              <w:ind w:right="15"/>
              <w:spacing w:after="0"/>
              <w:rPr>
                <w:sz w:val="20"/>
                <w:szCs w:val="20"/>
                <w:color w:val="auto"/>
              </w:rPr>
            </w:pPr>
            <w:r>
              <w:rPr>
                <w:rFonts w:ascii="Arial" w:cs="Arial" w:eastAsia="Arial" w:hAnsi="Arial"/>
                <w:sz w:val="18"/>
                <w:szCs w:val="18"/>
                <w:color w:val="auto"/>
              </w:rPr>
              <w:t>1,467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3"/>
          </w:tcPr>
          <w:p>
            <w:pPr>
              <w:jc w:val="right"/>
              <w:ind w:right="39"/>
              <w:spacing w:after="0"/>
              <w:rPr>
                <w:sz w:val="20"/>
                <w:szCs w:val="20"/>
                <w:color w:val="auto"/>
              </w:rPr>
            </w:pPr>
            <w:r>
              <w:rPr>
                <w:rFonts w:ascii="Arial" w:cs="Arial" w:eastAsia="Arial" w:hAnsi="Arial"/>
                <w:sz w:val="18"/>
                <w:szCs w:val="18"/>
                <w:color w:val="auto"/>
              </w:rPr>
              <w:t>1,467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tcPr>
          <w:p>
            <w:pPr>
              <w:ind w:left="460"/>
              <w:spacing w:after="0"/>
              <w:rPr>
                <w:sz w:val="20"/>
                <w:szCs w:val="20"/>
                <w:color w:val="auto"/>
              </w:rPr>
            </w:pPr>
            <w:r>
              <w:rPr>
                <w:rFonts w:ascii="Arial" w:cs="Arial" w:eastAsia="Arial" w:hAnsi="Arial"/>
                <w:sz w:val="18"/>
                <w:szCs w:val="18"/>
                <w:color w:val="auto"/>
              </w:rPr>
              <w:t>Net revenues</w:t>
            </w:r>
          </w:p>
        </w:tc>
        <w:tc>
          <w:tcPr>
            <w:tcW w:w="1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292,168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78,617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00" w:type="dxa"/>
            <w:vAlign w:val="bottom"/>
            <w:gridSpan w:val="3"/>
          </w:tcPr>
          <w:p>
            <w:pPr>
              <w:jc w:val="right"/>
              <w:ind w:right="15"/>
              <w:spacing w:after="0"/>
              <w:rPr>
                <w:sz w:val="20"/>
                <w:szCs w:val="20"/>
                <w:color w:val="auto"/>
              </w:rPr>
            </w:pPr>
            <w:r>
              <w:rPr>
                <w:rFonts w:ascii="Arial" w:cs="Arial" w:eastAsia="Arial" w:hAnsi="Arial"/>
                <w:sz w:val="18"/>
                <w:szCs w:val="18"/>
                <w:color w:val="auto"/>
              </w:rPr>
              <w:t>2,807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3"/>
          </w:tcPr>
          <w:p>
            <w:pPr>
              <w:jc w:val="right"/>
              <w:ind w:right="39"/>
              <w:spacing w:after="0"/>
              <w:rPr>
                <w:sz w:val="20"/>
                <w:szCs w:val="20"/>
                <w:color w:val="auto"/>
              </w:rPr>
            </w:pPr>
            <w:r>
              <w:rPr>
                <w:rFonts w:ascii="Arial" w:cs="Arial" w:eastAsia="Arial" w:hAnsi="Arial"/>
                <w:sz w:val="18"/>
                <w:szCs w:val="18"/>
                <w:color w:val="auto"/>
              </w:rPr>
              <w:t>373,592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373,592</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0"/>
                <w:szCs w:val="20"/>
                <w:color w:val="auto"/>
              </w:rPr>
            </w:pPr>
            <w:r>
              <w:rPr>
                <w:rFonts w:ascii="Arial" w:cs="Arial" w:eastAsia="Arial" w:hAnsi="Arial"/>
                <w:sz w:val="18"/>
                <w:szCs w:val="18"/>
                <w:color w:val="auto"/>
                <w:w w:val="91"/>
              </w:rPr>
              <w:t>Segment and corporate expenses (income):</w:t>
            </w: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200,884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54,703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gridSpan w:val="2"/>
          </w:tcPr>
          <w:p>
            <w:pPr>
              <w:jc w:val="right"/>
              <w:ind w:right="12"/>
              <w:spacing w:after="0"/>
              <w:rPr>
                <w:sz w:val="20"/>
                <w:szCs w:val="20"/>
                <w:color w:val="auto"/>
              </w:rPr>
            </w:pPr>
            <w:r>
              <w:rPr>
                <w:rFonts w:ascii="Arial" w:cs="Arial" w:eastAsia="Arial" w:hAnsi="Arial"/>
                <w:sz w:val="18"/>
                <w:szCs w:val="18"/>
                <w:color w:val="auto"/>
              </w:rPr>
              <w:t>4,981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gridSpan w:val="3"/>
          </w:tcPr>
          <w:p>
            <w:pPr>
              <w:jc w:val="right"/>
              <w:ind w:right="15"/>
              <w:spacing w:after="0"/>
              <w:rPr>
                <w:sz w:val="20"/>
                <w:szCs w:val="20"/>
                <w:color w:val="auto"/>
              </w:rPr>
            </w:pPr>
            <w:r>
              <w:rPr>
                <w:rFonts w:ascii="Arial" w:cs="Arial" w:eastAsia="Arial" w:hAnsi="Arial"/>
                <w:sz w:val="18"/>
                <w:szCs w:val="18"/>
                <w:color w:val="auto"/>
              </w:rPr>
              <w:t>6,169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3"/>
          </w:tcPr>
          <w:p>
            <w:pPr>
              <w:jc w:val="right"/>
              <w:ind w:right="39"/>
              <w:spacing w:after="0"/>
              <w:rPr>
                <w:sz w:val="20"/>
                <w:szCs w:val="20"/>
                <w:color w:val="auto"/>
              </w:rPr>
            </w:pPr>
            <w:r>
              <w:rPr>
                <w:rFonts w:ascii="Arial" w:cs="Arial" w:eastAsia="Arial" w:hAnsi="Arial"/>
                <w:sz w:val="18"/>
                <w:szCs w:val="18"/>
                <w:color w:val="auto"/>
              </w:rPr>
              <w:t>266,737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266,737</w:t>
            </w:r>
          </w:p>
        </w:tc>
        <w:tc>
          <w:tcPr>
            <w:tcW w:w="0" w:type="dxa"/>
            <w:vAlign w:val="bottom"/>
          </w:tcPr>
          <w:p>
            <w:pPr>
              <w:spacing w:after="0"/>
              <w:rPr>
                <w:sz w:val="1"/>
                <w:szCs w:val="1"/>
                <w:color w:val="auto"/>
              </w:rPr>
            </w:pPr>
          </w:p>
        </w:tc>
      </w:tr>
      <w:tr>
        <w:trPr>
          <w:trHeight w:val="270"/>
        </w:trPr>
        <w:tc>
          <w:tcPr>
            <w:tcW w:w="3240" w:type="dxa"/>
            <w:vAlign w:val="bottom"/>
          </w:tcPr>
          <w:p>
            <w:pPr>
              <w:ind w:left="240"/>
              <w:spacing w:after="0"/>
              <w:rPr>
                <w:sz w:val="20"/>
                <w:szCs w:val="20"/>
                <w:color w:val="auto"/>
              </w:rPr>
            </w:pPr>
            <w:r>
              <w:rPr>
                <w:rFonts w:ascii="Arial" w:cs="Arial" w:eastAsia="Arial" w:hAnsi="Arial"/>
                <w:sz w:val="18"/>
                <w:szCs w:val="18"/>
                <w:color w:val="auto"/>
              </w:rPr>
              <w:t>Administrative</w:t>
            </w:r>
          </w:p>
        </w:tc>
        <w:tc>
          <w:tcPr>
            <w:tcW w:w="16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41,814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41,814</w:t>
            </w:r>
          </w:p>
        </w:tc>
        <w:tc>
          <w:tcPr>
            <w:tcW w:w="0" w:type="dxa"/>
            <w:vAlign w:val="bottom"/>
          </w:tcPr>
          <w:p>
            <w:pPr>
              <w:spacing w:after="0"/>
              <w:rPr>
                <w:sz w:val="1"/>
                <w:szCs w:val="1"/>
                <w:color w:val="auto"/>
              </w:rPr>
            </w:pPr>
          </w:p>
        </w:tc>
      </w:tr>
      <w:tr>
        <w:trPr>
          <w:trHeight w:val="270"/>
        </w:trPr>
        <w:tc>
          <w:tcPr>
            <w:tcW w:w="324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8,951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4,543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800" w:type="dxa"/>
            <w:vAlign w:val="bottom"/>
            <w:gridSpan w:val="3"/>
          </w:tcPr>
          <w:p>
            <w:pPr>
              <w:jc w:val="right"/>
              <w:ind w:right="15"/>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3"/>
          </w:tcPr>
          <w:p>
            <w:pPr>
              <w:jc w:val="right"/>
              <w:ind w:right="39"/>
              <w:spacing w:after="0"/>
              <w:rPr>
                <w:sz w:val="20"/>
                <w:szCs w:val="20"/>
                <w:color w:val="auto"/>
              </w:rPr>
            </w:pPr>
            <w:r>
              <w:rPr>
                <w:rFonts w:ascii="Arial" w:cs="Arial" w:eastAsia="Arial" w:hAnsi="Arial"/>
                <w:sz w:val="18"/>
                <w:szCs w:val="18"/>
                <w:color w:val="auto"/>
              </w:rPr>
              <w:t>13,684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7,430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21,114</w:t>
            </w:r>
          </w:p>
        </w:tc>
        <w:tc>
          <w:tcPr>
            <w:tcW w:w="0" w:type="dxa"/>
            <w:vAlign w:val="bottom"/>
          </w:tcPr>
          <w:p>
            <w:pPr>
              <w:spacing w:after="0"/>
              <w:rPr>
                <w:sz w:val="1"/>
                <w:szCs w:val="1"/>
                <w:color w:val="auto"/>
              </w:rPr>
            </w:pPr>
          </w:p>
        </w:tc>
      </w:tr>
      <w:tr>
        <w:trPr>
          <w:trHeight w:val="256"/>
        </w:trPr>
        <w:tc>
          <w:tcPr>
            <w:tcW w:w="3240" w:type="dxa"/>
            <w:vAlign w:val="bottom"/>
          </w:tcPr>
          <w:p>
            <w:pPr>
              <w:ind w:left="240"/>
              <w:spacing w:after="0"/>
              <w:rPr>
                <w:sz w:val="20"/>
                <w:szCs w:val="20"/>
                <w:color w:val="auto"/>
              </w:rPr>
            </w:pPr>
            <w:r>
              <w:rPr>
                <w:rFonts w:ascii="Arial" w:cs="Arial" w:eastAsia="Arial" w:hAnsi="Arial"/>
                <w:sz w:val="18"/>
                <w:szCs w:val="18"/>
                <w:color w:val="auto"/>
                <w:w w:val="97"/>
              </w:rPr>
              <w:t>Loss on sale or disposal of assets and</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2,856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00" w:type="dxa"/>
            <w:vAlign w:val="bottom"/>
            <w:gridSpan w:val="3"/>
          </w:tcPr>
          <w:p>
            <w:pPr>
              <w:jc w:val="right"/>
              <w:ind w:right="15"/>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3"/>
          </w:tcPr>
          <w:p>
            <w:pPr>
              <w:jc w:val="right"/>
              <w:ind w:right="39"/>
              <w:spacing w:after="0"/>
              <w:rPr>
                <w:sz w:val="20"/>
                <w:szCs w:val="20"/>
                <w:color w:val="auto"/>
              </w:rPr>
            </w:pPr>
            <w:r>
              <w:rPr>
                <w:rFonts w:ascii="Arial" w:cs="Arial" w:eastAsia="Arial" w:hAnsi="Arial"/>
                <w:sz w:val="18"/>
                <w:szCs w:val="18"/>
                <w:color w:val="auto"/>
              </w:rPr>
              <w:t>3,621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3,643</w:t>
            </w:r>
          </w:p>
        </w:tc>
        <w:tc>
          <w:tcPr>
            <w:tcW w:w="0" w:type="dxa"/>
            <w:vAlign w:val="bottom"/>
          </w:tcPr>
          <w:p>
            <w:pPr>
              <w:spacing w:after="0"/>
              <w:rPr>
                <w:sz w:val="1"/>
                <w:szCs w:val="1"/>
                <w:color w:val="auto"/>
              </w:rPr>
            </w:pPr>
          </w:p>
        </w:tc>
      </w:tr>
      <w:tr>
        <w:trPr>
          <w:trHeight w:val="270"/>
        </w:trPr>
        <w:tc>
          <w:tcPr>
            <w:tcW w:w="324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1,570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800" w:type="dxa"/>
            <w:vAlign w:val="bottom"/>
            <w:gridSpan w:val="3"/>
          </w:tcPr>
          <w:p>
            <w:pPr>
              <w:jc w:val="right"/>
              <w:ind w:right="15"/>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3"/>
          </w:tcPr>
          <w:p>
            <w:pPr>
              <w:jc w:val="right"/>
              <w:ind w:right="39"/>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25,362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27,212</w:t>
            </w:r>
          </w:p>
        </w:tc>
        <w:tc>
          <w:tcPr>
            <w:tcW w:w="0" w:type="dxa"/>
            <w:vAlign w:val="bottom"/>
          </w:tcPr>
          <w:p>
            <w:pPr>
              <w:spacing w:after="0"/>
              <w:rPr>
                <w:sz w:val="1"/>
                <w:szCs w:val="1"/>
                <w:color w:val="auto"/>
              </w:rPr>
            </w:pPr>
          </w:p>
        </w:tc>
      </w:tr>
      <w:tr>
        <w:trPr>
          <w:trHeight w:val="270"/>
        </w:trPr>
        <w:tc>
          <w:tcPr>
            <w:tcW w:w="324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(1,226)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(1,226)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(8,411)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(9,637)</w:t>
            </w:r>
          </w:p>
        </w:tc>
        <w:tc>
          <w:tcPr>
            <w:tcW w:w="0" w:type="dxa"/>
            <w:vAlign w:val="bottom"/>
          </w:tcPr>
          <w:p>
            <w:pPr>
              <w:spacing w:after="0"/>
              <w:rPr>
                <w:sz w:val="1"/>
                <w:szCs w:val="1"/>
                <w:color w:val="auto"/>
              </w:rPr>
            </w:pPr>
          </w:p>
        </w:tc>
      </w:tr>
      <w:tr>
        <w:trPr>
          <w:trHeight w:val="256"/>
        </w:trPr>
        <w:tc>
          <w:tcPr>
            <w:tcW w:w="3240" w:type="dxa"/>
            <w:vAlign w:val="bottom"/>
          </w:tcPr>
          <w:p>
            <w:pPr>
              <w:ind w:left="240"/>
              <w:spacing w:after="0"/>
              <w:rPr>
                <w:sz w:val="20"/>
                <w:szCs w:val="20"/>
                <w:color w:val="auto"/>
              </w:rPr>
            </w:pPr>
            <w:r>
              <w:rPr>
                <w:rFonts w:ascii="Arial" w:cs="Arial" w:eastAsia="Arial" w:hAnsi="Arial"/>
                <w:sz w:val="18"/>
                <w:szCs w:val="18"/>
                <w:color w:val="auto"/>
              </w:rPr>
              <w:t>Equity in net loss of unconsolidated</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40"/>
              <w:spacing w:after="0"/>
              <w:rPr>
                <w:sz w:val="20"/>
                <w:szCs w:val="20"/>
                <w:color w:val="auto"/>
              </w:rPr>
            </w:pPr>
            <w:r>
              <w:rPr>
                <w:rFonts w:ascii="Arial" w:cs="Arial" w:eastAsia="Arial" w:hAnsi="Arial"/>
                <w:sz w:val="18"/>
                <w:szCs w:val="18"/>
                <w:color w:val="auto"/>
              </w:rPr>
              <w:t>affiliates</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56"/>
        </w:trPr>
        <w:tc>
          <w:tcPr>
            <w:tcW w:w="3240" w:type="dxa"/>
            <w:vAlign w:val="bottom"/>
          </w:tcPr>
          <w:p>
            <w:pPr>
              <w:ind w:left="240"/>
              <w:spacing w:after="0"/>
              <w:rPr>
                <w:sz w:val="20"/>
                <w:szCs w:val="20"/>
                <w:color w:val="auto"/>
              </w:rPr>
            </w:pPr>
            <w:r>
              <w:rPr>
                <w:rFonts w:ascii="Arial" w:cs="Arial" w:eastAsia="Arial" w:hAnsi="Arial"/>
                <w:sz w:val="18"/>
                <w:szCs w:val="18"/>
                <w:color w:val="auto"/>
              </w:rPr>
              <w:t>Impairment of investment in</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40"/>
              <w:spacing w:after="0"/>
              <w:rPr>
                <w:sz w:val="20"/>
                <w:szCs w:val="20"/>
                <w:color w:val="auto"/>
              </w:rPr>
            </w:pPr>
            <w:r>
              <w:rPr>
                <w:rFonts w:ascii="Arial" w:cs="Arial" w:eastAsia="Arial" w:hAnsi="Arial"/>
                <w:sz w:val="18"/>
                <w:szCs w:val="18"/>
                <w:color w:val="auto"/>
              </w:rPr>
              <w:t>unconsolidated affiliates</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00" w:type="dxa"/>
            <w:vAlign w:val="bottom"/>
            <w:gridSpan w:val="3"/>
          </w:tcPr>
          <w:p>
            <w:pPr>
              <w:jc w:val="right"/>
              <w:ind w:right="15"/>
              <w:spacing w:after="0"/>
              <w:rPr>
                <w:sz w:val="20"/>
                <w:szCs w:val="20"/>
                <w:color w:val="auto"/>
              </w:rPr>
            </w:pPr>
            <w:r>
              <w:rPr>
                <w:rFonts w:ascii="Arial" w:cs="Arial" w:eastAsia="Arial" w:hAnsi="Arial"/>
                <w:sz w:val="18"/>
                <w:szCs w:val="18"/>
                <w:color w:val="auto"/>
              </w:rPr>
              <w:t>19,725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3"/>
          </w:tcPr>
          <w:p>
            <w:pPr>
              <w:jc w:val="right"/>
              <w:ind w:right="39"/>
              <w:spacing w:after="0"/>
              <w:rPr>
                <w:sz w:val="20"/>
                <w:szCs w:val="20"/>
                <w:color w:val="auto"/>
              </w:rPr>
            </w:pPr>
            <w:r>
              <w:rPr>
                <w:rFonts w:ascii="Arial" w:cs="Arial" w:eastAsia="Arial" w:hAnsi="Arial"/>
                <w:sz w:val="18"/>
                <w:szCs w:val="18"/>
                <w:color w:val="auto"/>
              </w:rPr>
              <w:t>19,725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19,725</w:t>
            </w:r>
          </w:p>
        </w:tc>
        <w:tc>
          <w:tcPr>
            <w:tcW w:w="0" w:type="dxa"/>
            <w:vAlign w:val="bottom"/>
          </w:tcPr>
          <w:p>
            <w:pPr>
              <w:spacing w:after="0"/>
              <w:rPr>
                <w:sz w:val="1"/>
                <w:szCs w:val="1"/>
                <w:color w:val="auto"/>
              </w:rPr>
            </w:pPr>
          </w:p>
        </w:tc>
      </w:tr>
      <w:tr>
        <w:trPr>
          <w:trHeight w:val="270"/>
        </w:trPr>
        <w:tc>
          <w:tcPr>
            <w:tcW w:w="3240" w:type="dxa"/>
            <w:vAlign w:val="bottom"/>
          </w:tcPr>
          <w:p>
            <w:pPr>
              <w:ind w:left="240"/>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800" w:type="dxa"/>
            <w:vAlign w:val="bottom"/>
            <w:gridSpan w:val="3"/>
          </w:tcPr>
          <w:p>
            <w:pPr>
              <w:jc w:val="right"/>
              <w:ind w:right="15"/>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3"/>
          </w:tcPr>
          <w:p>
            <w:pPr>
              <w:jc w:val="right"/>
              <w:ind w:right="39"/>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0"/>
                <w:szCs w:val="20"/>
                <w:color w:val="auto"/>
              </w:rPr>
            </w:pPr>
            <w:r>
              <w:rPr>
                <w:rFonts w:ascii="Arial" w:cs="Arial" w:eastAsia="Arial" w:hAnsi="Arial"/>
                <w:sz w:val="18"/>
                <w:szCs w:val="18"/>
                <w:color w:val="auto"/>
              </w:rPr>
              <w:t>Segment contribution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79,477</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18,347</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(4,981)</w:t>
            </w:r>
          </w:p>
        </w:tc>
        <w:tc>
          <w:tcPr>
            <w:tcW w:w="120" w:type="dxa"/>
            <w:vAlign w:val="bottom"/>
          </w:tcPr>
          <w:p>
            <w:pPr>
              <w:spacing w:after="0"/>
              <w:rPr>
                <w:sz w:val="22"/>
                <w:szCs w:val="22"/>
                <w:color w:val="auto"/>
              </w:rPr>
            </w:pPr>
          </w:p>
        </w:tc>
        <w:tc>
          <w:tcPr>
            <w:tcW w:w="42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(23,237)</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8"/>
                <w:szCs w:val="18"/>
                <w:color w:val="auto"/>
              </w:rPr>
              <w:t>69,606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Arial" w:cs="Arial" w:eastAsia="Arial" w:hAnsi="Arial"/>
                <w:sz w:val="18"/>
                <w:szCs w:val="18"/>
                <w:color w:val="auto"/>
                <w:w w:val="96"/>
              </w:rPr>
              <w:t>Income from continuing operations before</w:t>
            </w: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2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vMerge w:val="restart"/>
          </w:tcPr>
          <w:p>
            <w:pPr>
              <w:jc w:val="right"/>
              <w:ind w:right="39"/>
              <w:spacing w:after="0"/>
              <w:rPr>
                <w:sz w:val="20"/>
                <w:szCs w:val="20"/>
                <w:color w:val="auto"/>
              </w:rPr>
            </w:pPr>
            <w:r>
              <w:rPr>
                <w:rFonts w:ascii="Arial" w:cs="Arial" w:eastAsia="Arial" w:hAnsi="Arial"/>
                <w:sz w:val="18"/>
                <w:szCs w:val="18"/>
                <w:color w:val="auto"/>
              </w:rPr>
              <w:t>69,606</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(65,869)</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ind w:right="11"/>
              <w:spacing w:after="0"/>
              <w:rPr>
                <w:sz w:val="20"/>
                <w:szCs w:val="20"/>
                <w:color w:val="auto"/>
              </w:rPr>
            </w:pPr>
            <w:r>
              <w:rPr>
                <w:rFonts w:ascii="Arial" w:cs="Arial" w:eastAsia="Arial" w:hAnsi="Arial"/>
                <w:sz w:val="18"/>
                <w:szCs w:val="18"/>
                <w:color w:val="auto"/>
              </w:rPr>
              <w:t>3,737</w:t>
            </w:r>
          </w:p>
        </w:tc>
        <w:tc>
          <w:tcPr>
            <w:tcW w:w="0" w:type="dxa"/>
            <w:vAlign w:val="bottom"/>
          </w:tcPr>
          <w:p>
            <w:pPr>
              <w:spacing w:after="0"/>
              <w:rPr>
                <w:sz w:val="1"/>
                <w:szCs w:val="1"/>
                <w:color w:val="auto"/>
              </w:rPr>
            </w:pPr>
          </w:p>
        </w:tc>
      </w:tr>
      <w:tr>
        <w:trPr>
          <w:trHeight w:val="242"/>
        </w:trPr>
        <w:tc>
          <w:tcPr>
            <w:tcW w:w="3240" w:type="dxa"/>
            <w:vAlign w:val="bottom"/>
          </w:tcPr>
          <w:p>
            <w:pPr>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gridSpan w:val="6"/>
            <w:vMerge w:val="restart"/>
          </w:tcPr>
          <w:p>
            <w:pPr>
              <w:jc w:val="center"/>
              <w:ind w:left="133"/>
              <w:spacing w:after="0"/>
              <w:rPr>
                <w:sz w:val="20"/>
                <w:szCs w:val="20"/>
                <w:color w:val="auto"/>
              </w:rPr>
            </w:pPr>
            <w:r>
              <w:rPr>
                <w:rFonts w:ascii="Arial" w:cs="Arial" w:eastAsia="Arial" w:hAnsi="Arial"/>
                <w:sz w:val="16"/>
                <w:szCs w:val="16"/>
                <w:b w:val="1"/>
                <w:bCs w:val="1"/>
                <w:color w:val="auto"/>
                <w:w w:val="96"/>
              </w:rPr>
              <w:t>EZCORP, Inc.</w:t>
            </w: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3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6"/>
            <w:vMerge w:val="continue"/>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80" w:type="dxa"/>
            <w:vAlign w:val="bottom"/>
            <w:gridSpan w:val="7"/>
          </w:tcPr>
          <w:p>
            <w:pPr>
              <w:jc w:val="center"/>
              <w:ind w:right="95"/>
              <w:spacing w:after="0"/>
              <w:rPr>
                <w:sz w:val="20"/>
                <w:szCs w:val="20"/>
                <w:color w:val="auto"/>
              </w:rPr>
            </w:pPr>
            <w:r>
              <w:rPr>
                <w:rFonts w:ascii="Arial" w:cs="Arial" w:eastAsia="Arial" w:hAnsi="Arial"/>
                <w:sz w:val="16"/>
                <w:szCs w:val="16"/>
                <w:b w:val="1"/>
                <w:bCs w:val="1"/>
                <w:color w:val="auto"/>
              </w:rPr>
              <w:t>STORE COUNT ACTIVITY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gridSpan w:val="6"/>
          </w:tcPr>
          <w:p>
            <w:pPr>
              <w:jc w:val="center"/>
              <w:ind w:left="133"/>
              <w:spacing w:after="0"/>
              <w:rPr>
                <w:sz w:val="20"/>
                <w:szCs w:val="20"/>
                <w:color w:val="auto"/>
              </w:rPr>
            </w:pPr>
            <w:r>
              <w:rPr>
                <w:rFonts w:ascii="Arial" w:cs="Arial" w:eastAsia="Arial" w:hAnsi="Arial"/>
                <w:sz w:val="16"/>
                <w:szCs w:val="16"/>
                <w:i w:val="1"/>
                <w:iCs w:val="1"/>
                <w:color w:val="auto"/>
                <w:w w:val="95"/>
              </w:rPr>
              <w:t>(Unaudited)</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3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11"/>
          </w:tcPr>
          <w:p>
            <w:pPr>
              <w:ind w:left="420"/>
              <w:spacing w:after="0"/>
              <w:rPr>
                <w:sz w:val="20"/>
                <w:szCs w:val="20"/>
                <w:color w:val="auto"/>
              </w:rPr>
            </w:pPr>
            <w:r>
              <w:rPr>
                <w:rFonts w:ascii="Arial" w:cs="Arial" w:eastAsia="Arial" w:hAnsi="Arial"/>
                <w:sz w:val="14"/>
                <w:szCs w:val="14"/>
                <w:b w:val="1"/>
                <w:bCs w:val="1"/>
                <w:color w:val="auto"/>
              </w:rPr>
              <w:t>Three Months Ended June 30, 2020</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U.S. Pawn</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gridSpan w:val="7"/>
          </w:tcPr>
          <w:p>
            <w:pPr>
              <w:ind w:left="180"/>
              <w:spacing w:after="0" w:line="153" w:lineRule="exact"/>
              <w:rPr>
                <w:sz w:val="20"/>
                <w:szCs w:val="20"/>
                <w:color w:val="auto"/>
              </w:rPr>
            </w:pPr>
            <w:r>
              <w:rPr>
                <w:rFonts w:ascii="Arial" w:cs="Arial" w:eastAsia="Arial" w:hAnsi="Arial"/>
                <w:sz w:val="14"/>
                <w:szCs w:val="14"/>
                <w:b w:val="1"/>
                <w:bCs w:val="1"/>
                <w:color w:val="auto"/>
              </w:rPr>
              <w:t>Latin America</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right"/>
              <w:ind w:right="131"/>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3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rPr>
              <w:t>Pawn</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Other International</w:t>
            </w: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3240" w:type="dxa"/>
            <w:vAlign w:val="bottom"/>
          </w:tcPr>
          <w:p>
            <w:pPr>
              <w:spacing w:after="0"/>
              <w:rPr>
                <w:sz w:val="20"/>
                <w:szCs w:val="20"/>
                <w:color w:val="auto"/>
              </w:rPr>
            </w:pPr>
            <w:r>
              <w:rPr>
                <w:rFonts w:ascii="Arial" w:cs="Arial" w:eastAsia="Arial" w:hAnsi="Arial"/>
                <w:sz w:val="18"/>
                <w:szCs w:val="18"/>
                <w:color w:val="auto"/>
              </w:rPr>
              <w:t>As of March 31, 2020</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493</w:t>
            </w: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70"/>
        </w:trPr>
        <w:tc>
          <w:tcPr>
            <w:tcW w:w="3240" w:type="dxa"/>
            <w:vAlign w:val="bottom"/>
          </w:tcPr>
          <w:p>
            <w:pPr>
              <w:ind w:left="240"/>
              <w:spacing w:after="0"/>
              <w:rPr>
                <w:sz w:val="20"/>
                <w:szCs w:val="20"/>
                <w:color w:val="auto"/>
              </w:rPr>
            </w:pPr>
            <w:r>
              <w:rPr>
                <w:rFonts w:ascii="Arial" w:cs="Arial" w:eastAsia="Arial" w:hAnsi="Arial"/>
                <w:sz w:val="18"/>
                <w:szCs w:val="18"/>
                <w:color w:val="auto"/>
              </w:rPr>
              <w:t>New locations opened</w:t>
            </w: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3240" w:type="dxa"/>
            <w:vAlign w:val="bottom"/>
          </w:tcPr>
          <w:p>
            <w:pPr>
              <w:ind w:left="240"/>
              <w:spacing w:after="0"/>
              <w:rPr>
                <w:sz w:val="20"/>
                <w:szCs w:val="20"/>
                <w:color w:val="auto"/>
              </w:rPr>
            </w:pPr>
            <w:r>
              <w:rPr>
                <w:rFonts w:ascii="Arial" w:cs="Arial" w:eastAsia="Arial" w:hAnsi="Arial"/>
                <w:sz w:val="18"/>
                <w:szCs w:val="18"/>
                <w:color w:val="auto"/>
              </w:rPr>
              <w:t>Locations sold, combined or closed</w:t>
            </w: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4"/>
          </w:tcPr>
          <w:p>
            <w:pPr>
              <w:jc w:val="right"/>
              <w:ind w:righ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240" w:type="dxa"/>
            <w:vAlign w:val="bottom"/>
            <w:vMerge w:val="restart"/>
          </w:tcPr>
          <w:p>
            <w:pPr>
              <w:spacing w:after="0"/>
              <w:rPr>
                <w:sz w:val="20"/>
                <w:szCs w:val="20"/>
                <w:color w:val="auto"/>
              </w:rPr>
            </w:pPr>
            <w:r>
              <w:rPr>
                <w:rFonts w:ascii="Arial" w:cs="Arial" w:eastAsia="Arial" w:hAnsi="Arial"/>
                <w:sz w:val="18"/>
                <w:szCs w:val="18"/>
                <w:color w:val="auto"/>
              </w:rPr>
              <w:t>As of June 30, 2020</w:t>
            </w: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496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00"/>
          </w:cols>
          <w:pgMar w:left="360" w:top="873" w:right="339" w:bottom="1440" w:gutter="0" w:footer="0" w:header="0"/>
        </w:sectPr>
      </w:pPr>
    </w:p>
    <w:bookmarkStart w:id="14" w:name="page15"/>
    <w:bookmarkEnd w:id="14"/>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9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8"/>
          </w:tcPr>
          <w:p>
            <w:pPr>
              <w:jc w:val="center"/>
              <w:ind w:left="17"/>
              <w:spacing w:after="0"/>
              <w:rPr>
                <w:sz w:val="20"/>
                <w:szCs w:val="20"/>
                <w:color w:val="auto"/>
              </w:rPr>
            </w:pPr>
            <w:r>
              <w:rPr>
                <w:rFonts w:ascii="Arial" w:cs="Arial" w:eastAsia="Arial" w:hAnsi="Arial"/>
                <w:sz w:val="14"/>
                <w:szCs w:val="14"/>
                <w:b w:val="1"/>
                <w:bCs w:val="1"/>
                <w:color w:val="auto"/>
                <w:w w:val="93"/>
              </w:rPr>
              <w:t>Three Months Ended June 30, 2019</w:t>
            </w:r>
          </w:p>
        </w:tc>
        <w:tc>
          <w:tcPr>
            <w:tcW w:w="1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920" w:type="dxa"/>
            <w:vAlign w:val="bottom"/>
          </w:tcPr>
          <w:p>
            <w:pPr>
              <w:spacing w:after="0"/>
              <w:rPr>
                <w:sz w:val="13"/>
                <w:szCs w:val="13"/>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U.S. Pawn</w:t>
            </w:r>
          </w:p>
        </w:tc>
        <w:tc>
          <w:tcPr>
            <w:tcW w:w="1360" w:type="dxa"/>
            <w:vAlign w:val="bottom"/>
            <w:gridSpan w:val="4"/>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156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59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3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Pawn</w:t>
            </w:r>
          </w:p>
        </w:tc>
        <w:tc>
          <w:tcPr>
            <w:tcW w:w="1560" w:type="dxa"/>
            <w:vAlign w:val="bottom"/>
            <w:gridSpan w:val="4"/>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5920" w:type="dxa"/>
            <w:vAlign w:val="bottom"/>
          </w:tcPr>
          <w:p>
            <w:pPr>
              <w:spacing w:after="0"/>
              <w:rPr>
                <w:sz w:val="20"/>
                <w:szCs w:val="20"/>
                <w:color w:val="auto"/>
              </w:rPr>
            </w:pPr>
            <w:r>
              <w:rPr>
                <w:rFonts w:ascii="Arial" w:cs="Arial" w:eastAsia="Arial" w:hAnsi="Arial"/>
                <w:sz w:val="18"/>
                <w:szCs w:val="18"/>
                <w:color w:val="auto"/>
              </w:rPr>
              <w:t>As of March 31, 2019</w:t>
            </w: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4"/>
                <w:szCs w:val="24"/>
                <w:color w:val="auto"/>
              </w:rPr>
            </w:pPr>
          </w:p>
        </w:tc>
        <w:tc>
          <w:tcPr>
            <w:tcW w:w="12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466</w:t>
            </w: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20" w:type="dxa"/>
            <w:vAlign w:val="bottom"/>
          </w:tcPr>
          <w:p>
            <w:pPr>
              <w:ind w:left="240"/>
              <w:spacing w:after="0"/>
              <w:rPr>
                <w:sz w:val="20"/>
                <w:szCs w:val="20"/>
                <w:color w:val="auto"/>
              </w:rPr>
            </w:pPr>
            <w:r>
              <w:rPr>
                <w:rFonts w:ascii="Arial" w:cs="Arial" w:eastAsia="Arial" w:hAnsi="Arial"/>
                <w:sz w:val="18"/>
                <w:szCs w:val="18"/>
                <w:color w:val="auto"/>
              </w:rPr>
              <w:t>New locations opened</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20" w:type="dxa"/>
            <w:vAlign w:val="bottom"/>
          </w:tcPr>
          <w:p>
            <w:pPr>
              <w:ind w:left="240"/>
              <w:spacing w:after="0"/>
              <w:rPr>
                <w:sz w:val="20"/>
                <w:szCs w:val="20"/>
                <w:color w:val="auto"/>
              </w:rPr>
            </w:pPr>
            <w:r>
              <w:rPr>
                <w:rFonts w:ascii="Arial" w:cs="Arial" w:eastAsia="Arial" w:hAnsi="Arial"/>
                <w:sz w:val="18"/>
                <w:szCs w:val="18"/>
                <w:color w:val="auto"/>
              </w:rPr>
              <w:t>Locations acquired</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13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20" w:type="dxa"/>
            <w:vAlign w:val="bottom"/>
          </w:tcPr>
          <w:p>
            <w:pPr>
              <w:ind w:left="240"/>
              <w:spacing w:after="0"/>
              <w:rPr>
                <w:sz w:val="20"/>
                <w:szCs w:val="20"/>
                <w:color w:val="auto"/>
              </w:rPr>
            </w:pPr>
            <w:r>
              <w:rPr>
                <w:rFonts w:ascii="Arial" w:cs="Arial" w:eastAsia="Arial" w:hAnsi="Arial"/>
                <w:sz w:val="18"/>
                <w:szCs w:val="18"/>
                <w:color w:val="auto"/>
              </w:rPr>
              <w:t>Locations sold, combined or closed</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3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920" w:type="dxa"/>
            <w:vAlign w:val="bottom"/>
            <w:vMerge w:val="restart"/>
          </w:tcPr>
          <w:p>
            <w:pPr>
              <w:spacing w:after="0"/>
              <w:rPr>
                <w:sz w:val="20"/>
                <w:szCs w:val="20"/>
                <w:color w:val="auto"/>
              </w:rPr>
            </w:pPr>
            <w:r>
              <w:rPr>
                <w:rFonts w:ascii="Arial" w:cs="Arial" w:eastAsia="Arial" w:hAnsi="Arial"/>
                <w:sz w:val="18"/>
                <w:szCs w:val="18"/>
                <w:color w:val="auto"/>
              </w:rPr>
              <w:t>As of June 30, 2019</w:t>
            </w: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20" w:type="dxa"/>
            <w:vAlign w:val="bottom"/>
            <w:vMerge w:val="continue"/>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0"/>
                <w:szCs w:val="20"/>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470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59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3"/>
              </w:rPr>
              <w:t>Nine Months Ended June 30, 2020</w:t>
            </w:r>
          </w:p>
        </w:tc>
        <w:tc>
          <w:tcPr>
            <w:tcW w:w="1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920" w:type="dxa"/>
            <w:vAlign w:val="bottom"/>
          </w:tcPr>
          <w:p>
            <w:pPr>
              <w:spacing w:after="0"/>
              <w:rPr>
                <w:sz w:val="13"/>
                <w:szCs w:val="13"/>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U.S. Pawn</w:t>
            </w:r>
          </w:p>
        </w:tc>
        <w:tc>
          <w:tcPr>
            <w:tcW w:w="1360" w:type="dxa"/>
            <w:vAlign w:val="bottom"/>
            <w:gridSpan w:val="4"/>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15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Other International</w:t>
            </w: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59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3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Pawn</w:t>
            </w:r>
          </w:p>
        </w:tc>
        <w:tc>
          <w:tcPr>
            <w:tcW w:w="1560" w:type="dxa"/>
            <w:vAlign w:val="bottom"/>
            <w:gridSpan w:val="4"/>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5920" w:type="dxa"/>
            <w:vAlign w:val="bottom"/>
          </w:tcPr>
          <w:p>
            <w:pPr>
              <w:ind w:left="20"/>
              <w:spacing w:after="0"/>
              <w:rPr>
                <w:sz w:val="20"/>
                <w:szCs w:val="20"/>
                <w:color w:val="auto"/>
              </w:rPr>
            </w:pPr>
            <w:r>
              <w:rPr>
                <w:rFonts w:ascii="Arial" w:cs="Arial" w:eastAsia="Arial" w:hAnsi="Arial"/>
                <w:sz w:val="18"/>
                <w:szCs w:val="18"/>
                <w:color w:val="auto"/>
              </w:rPr>
              <w:t>As of September 30, 2019</w:t>
            </w: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4"/>
                <w:szCs w:val="24"/>
                <w:color w:val="auto"/>
              </w:rPr>
            </w:pPr>
          </w:p>
        </w:tc>
        <w:tc>
          <w:tcPr>
            <w:tcW w:w="12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480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20" w:type="dxa"/>
            <w:vAlign w:val="bottom"/>
          </w:tcPr>
          <w:p>
            <w:pPr>
              <w:ind w:left="260"/>
              <w:spacing w:after="0"/>
              <w:rPr>
                <w:sz w:val="20"/>
                <w:szCs w:val="20"/>
                <w:color w:val="auto"/>
              </w:rPr>
            </w:pPr>
            <w:r>
              <w:rPr>
                <w:rFonts w:ascii="Arial" w:cs="Arial" w:eastAsia="Arial" w:hAnsi="Arial"/>
                <w:sz w:val="18"/>
                <w:szCs w:val="18"/>
                <w:color w:val="auto"/>
              </w:rPr>
              <w:t>New locations opened</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20" w:type="dxa"/>
            <w:vAlign w:val="bottom"/>
          </w:tcPr>
          <w:p>
            <w:pPr>
              <w:ind w:left="260"/>
              <w:spacing w:after="0"/>
              <w:rPr>
                <w:sz w:val="20"/>
                <w:szCs w:val="20"/>
                <w:color w:val="auto"/>
              </w:rPr>
            </w:pPr>
            <w:r>
              <w:rPr>
                <w:rFonts w:ascii="Arial" w:cs="Arial" w:eastAsia="Arial" w:hAnsi="Arial"/>
                <w:sz w:val="18"/>
                <w:szCs w:val="18"/>
                <w:color w:val="auto"/>
              </w:rPr>
              <w:t>Locations sold, combined or closed</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3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920" w:type="dxa"/>
            <w:vAlign w:val="bottom"/>
            <w:vMerge w:val="restart"/>
          </w:tcPr>
          <w:p>
            <w:pPr>
              <w:ind w:left="20"/>
              <w:spacing w:after="0"/>
              <w:rPr>
                <w:sz w:val="20"/>
                <w:szCs w:val="20"/>
                <w:color w:val="auto"/>
              </w:rPr>
            </w:pPr>
            <w:r>
              <w:rPr>
                <w:rFonts w:ascii="Arial" w:cs="Arial" w:eastAsia="Arial" w:hAnsi="Arial"/>
                <w:sz w:val="18"/>
                <w:szCs w:val="18"/>
                <w:color w:val="auto"/>
              </w:rPr>
              <w:t>As of June 30, 2020</w:t>
            </w: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20" w:type="dxa"/>
            <w:vAlign w:val="bottom"/>
            <w:vMerge w:val="continue"/>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20"/>
                <w:szCs w:val="20"/>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496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1,029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gridSpan w:val="2"/>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59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3"/>
              </w:rPr>
              <w:t>Nine Months Ended June 30, 2019</w:t>
            </w:r>
          </w:p>
        </w:tc>
        <w:tc>
          <w:tcPr>
            <w:tcW w:w="1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920" w:type="dxa"/>
            <w:vAlign w:val="bottom"/>
          </w:tcPr>
          <w:p>
            <w:pPr>
              <w:spacing w:after="0"/>
              <w:rPr>
                <w:sz w:val="13"/>
                <w:szCs w:val="13"/>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U.S. Pawn</w:t>
            </w:r>
          </w:p>
        </w:tc>
        <w:tc>
          <w:tcPr>
            <w:tcW w:w="1360" w:type="dxa"/>
            <w:vAlign w:val="bottom"/>
            <w:gridSpan w:val="4"/>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15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Other International</w:t>
            </w: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59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3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Pawn</w:t>
            </w:r>
          </w:p>
        </w:tc>
        <w:tc>
          <w:tcPr>
            <w:tcW w:w="1560" w:type="dxa"/>
            <w:vAlign w:val="bottom"/>
            <w:gridSpan w:val="4"/>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5920" w:type="dxa"/>
            <w:vAlign w:val="bottom"/>
          </w:tcPr>
          <w:p>
            <w:pPr>
              <w:ind w:left="20"/>
              <w:spacing w:after="0"/>
              <w:rPr>
                <w:sz w:val="20"/>
                <w:szCs w:val="20"/>
                <w:color w:val="auto"/>
              </w:rPr>
            </w:pPr>
            <w:r>
              <w:rPr>
                <w:rFonts w:ascii="Arial" w:cs="Arial" w:eastAsia="Arial" w:hAnsi="Arial"/>
                <w:sz w:val="18"/>
                <w:szCs w:val="18"/>
                <w:color w:val="auto"/>
              </w:rPr>
              <w:t>As of September 30, 2018</w:t>
            </w: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4"/>
                <w:szCs w:val="24"/>
                <w:color w:val="auto"/>
              </w:rPr>
            </w:pPr>
          </w:p>
        </w:tc>
        <w:tc>
          <w:tcPr>
            <w:tcW w:w="12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453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988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20" w:type="dxa"/>
            <w:vAlign w:val="bottom"/>
          </w:tcPr>
          <w:p>
            <w:pPr>
              <w:ind w:left="260"/>
              <w:spacing w:after="0"/>
              <w:rPr>
                <w:sz w:val="20"/>
                <w:szCs w:val="20"/>
                <w:color w:val="auto"/>
              </w:rPr>
            </w:pPr>
            <w:r>
              <w:rPr>
                <w:rFonts w:ascii="Arial" w:cs="Arial" w:eastAsia="Arial" w:hAnsi="Arial"/>
                <w:sz w:val="18"/>
                <w:szCs w:val="18"/>
                <w:color w:val="auto"/>
              </w:rPr>
              <w:t>New locations opened</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20" w:type="dxa"/>
            <w:vAlign w:val="bottom"/>
          </w:tcPr>
          <w:p>
            <w:pPr>
              <w:ind w:left="260"/>
              <w:spacing w:after="0"/>
              <w:rPr>
                <w:sz w:val="20"/>
                <w:szCs w:val="20"/>
                <w:color w:val="auto"/>
              </w:rPr>
            </w:pPr>
            <w:r>
              <w:rPr>
                <w:rFonts w:ascii="Arial" w:cs="Arial" w:eastAsia="Arial" w:hAnsi="Arial"/>
                <w:sz w:val="18"/>
                <w:szCs w:val="18"/>
                <w:color w:val="auto"/>
              </w:rPr>
              <w:t>Locations acquired</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20" w:type="dxa"/>
            <w:vAlign w:val="bottom"/>
          </w:tcPr>
          <w:p>
            <w:pPr>
              <w:ind w:left="260"/>
              <w:spacing w:after="0"/>
              <w:rPr>
                <w:sz w:val="20"/>
                <w:szCs w:val="20"/>
                <w:color w:val="auto"/>
              </w:rPr>
            </w:pPr>
            <w:r>
              <w:rPr>
                <w:rFonts w:ascii="Arial" w:cs="Arial" w:eastAsia="Arial" w:hAnsi="Arial"/>
                <w:sz w:val="18"/>
                <w:szCs w:val="18"/>
                <w:color w:val="auto"/>
              </w:rPr>
              <w:t>Locations sold, combined or closed</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3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920" w:type="dxa"/>
            <w:vAlign w:val="bottom"/>
            <w:vMerge w:val="restart"/>
          </w:tcPr>
          <w:p>
            <w:pPr>
              <w:ind w:left="20"/>
              <w:spacing w:after="0"/>
              <w:rPr>
                <w:sz w:val="20"/>
                <w:szCs w:val="20"/>
                <w:color w:val="auto"/>
              </w:rPr>
            </w:pPr>
            <w:r>
              <w:rPr>
                <w:rFonts w:ascii="Arial" w:cs="Arial" w:eastAsia="Arial" w:hAnsi="Arial"/>
                <w:sz w:val="18"/>
                <w:szCs w:val="18"/>
                <w:color w:val="auto"/>
              </w:rPr>
              <w:t>As of June 30, 2019</w:t>
            </w: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20" w:type="dxa"/>
            <w:vAlign w:val="bottom"/>
            <w:vMerge w:val="continue"/>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0"/>
                <w:szCs w:val="20"/>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470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1,006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Information (Unaudited)</w:t>
      </w:r>
    </w:p>
    <w:p>
      <w:pPr>
        <w:spacing w:after="0" w:line="17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In addition to the financial information prepared in conformity with accounting principles generally accepted in the United States ("GAAP"), we provide certain other non-GAAP financial information on a constant currency basis ("constant currency"). We use constant currency results to evaluate our Latin America Pawn operations, which are denominated primarily in Mexican pesos, Guatemalan quetzals and other Latin American currencies. We believe that presentation of constant currency results is meaningful and useful in understanding the activities and business metrics of our Latin America Pawn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3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We used the end-of-period rate for balance sheet items and the average closing daily exchange rate on a monthly basis during the appropriate period for statement of operations items. Our statement of operations constant currency results reflect the monthly exchange rate fluctuations and so are not directly calculable from the above rates. Constant currency results, where presented, also exclude the foreign currency gain or loss. The end-of-period and approximate average exchange rates for each applicable currency as</w:t>
      </w:r>
    </w:p>
    <w:p>
      <w:pPr>
        <w:sectPr>
          <w:pgSz w:w="11900" w:h="16838" w:orient="portrait"/>
          <w:cols w:equalWidth="0" w:num="1">
            <w:col w:w="11240"/>
          </w:cols>
          <w:pgMar w:left="320" w:top="71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compared to U.S. dollars as of and for the three and nine months ended June 30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June 30,</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Three Months Ended June 30,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7"/>
          </w:tcPr>
          <w:p>
            <w:pPr>
              <w:jc w:val="right"/>
              <w:ind w:right="246"/>
              <w:spacing w:after="0"/>
              <w:rPr>
                <w:sz w:val="20"/>
                <w:szCs w:val="20"/>
                <w:color w:val="auto"/>
              </w:rPr>
            </w:pPr>
            <w:r>
              <w:rPr>
                <w:rFonts w:ascii="Arial" w:cs="Arial" w:eastAsia="Arial" w:hAnsi="Arial"/>
                <w:sz w:val="14"/>
                <w:szCs w:val="14"/>
                <w:b w:val="1"/>
                <w:bCs w:val="1"/>
                <w:color w:val="auto"/>
                <w:w w:val="96"/>
              </w:rPr>
              <w:t>Nine Months Ended June 30,</w:t>
            </w:r>
          </w:p>
        </w:tc>
        <w:tc>
          <w:tcPr>
            <w:tcW w:w="0" w:type="dxa"/>
            <w:vAlign w:val="bottom"/>
          </w:tcPr>
          <w:p>
            <w:pPr>
              <w:spacing w:after="0"/>
              <w:rPr>
                <w:sz w:val="1"/>
                <w:szCs w:val="1"/>
                <w:color w:val="auto"/>
              </w:rPr>
            </w:pPr>
          </w:p>
        </w:tc>
      </w:tr>
      <w:tr>
        <w:trPr>
          <w:trHeight w:val="264"/>
        </w:trPr>
        <w:tc>
          <w:tcPr>
            <w:tcW w:w="34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166"/>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364"/>
        </w:trPr>
        <w:tc>
          <w:tcPr>
            <w:tcW w:w="3680" w:type="dxa"/>
            <w:vAlign w:val="bottom"/>
            <w:gridSpan w:val="2"/>
          </w:tcPr>
          <w:p>
            <w:pPr>
              <w:ind w:left="40"/>
              <w:spacing w:after="0"/>
              <w:rPr>
                <w:sz w:val="20"/>
                <w:szCs w:val="20"/>
                <w:color w:val="auto"/>
              </w:rPr>
            </w:pPr>
            <w:r>
              <w:rPr>
                <w:rFonts w:ascii="Arial" w:cs="Arial" w:eastAsia="Arial" w:hAnsi="Arial"/>
                <w:sz w:val="18"/>
                <w:szCs w:val="18"/>
                <w:color w:val="auto"/>
              </w:rPr>
              <w:t>Mexican peso</w:t>
            </w:r>
          </w:p>
        </w:tc>
        <w:tc>
          <w:tcPr>
            <w:tcW w:w="860" w:type="dxa"/>
            <w:vAlign w:val="bottom"/>
          </w:tcPr>
          <w:p>
            <w:pPr>
              <w:jc w:val="right"/>
              <w:ind w:right="56"/>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gridSpan w:val="3"/>
          </w:tcPr>
          <w:p>
            <w:pPr>
              <w:jc w:val="right"/>
              <w:ind w:right="46"/>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jc w:val="right"/>
              <w:ind w:right="164"/>
              <w:spacing w:after="0"/>
              <w:rPr>
                <w:sz w:val="20"/>
                <w:szCs w:val="20"/>
                <w:color w:val="auto"/>
              </w:rPr>
            </w:pPr>
            <w:r>
              <w:rPr>
                <w:rFonts w:ascii="Arial" w:cs="Arial" w:eastAsia="Arial" w:hAnsi="Arial"/>
                <w:sz w:val="18"/>
                <w:szCs w:val="18"/>
                <w:color w:val="auto"/>
                <w:w w:val="96"/>
              </w:rPr>
              <w:t>23.3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25"/>
              <w:spacing w:after="0"/>
              <w:rPr>
                <w:sz w:val="20"/>
                <w:szCs w:val="20"/>
                <w:color w:val="auto"/>
              </w:rPr>
            </w:pPr>
            <w:r>
              <w:rPr>
                <w:rFonts w:ascii="Arial" w:cs="Arial" w:eastAsia="Arial" w:hAnsi="Arial"/>
                <w:sz w:val="18"/>
                <w:szCs w:val="18"/>
                <w:color w:val="auto"/>
              </w:rPr>
              <w:t>20.8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26"/>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0"/>
        </w:trPr>
        <w:tc>
          <w:tcPr>
            <w:tcW w:w="3680" w:type="dxa"/>
            <w:vAlign w:val="bottom"/>
            <w:gridSpan w:val="2"/>
          </w:tcPr>
          <w:p>
            <w:pPr>
              <w:ind w:left="40"/>
              <w:spacing w:after="0"/>
              <w:rPr>
                <w:sz w:val="20"/>
                <w:szCs w:val="20"/>
                <w:color w:val="auto"/>
              </w:rPr>
            </w:pPr>
            <w:r>
              <w:rPr>
                <w:rFonts w:ascii="Arial" w:cs="Arial" w:eastAsia="Arial" w:hAnsi="Arial"/>
                <w:sz w:val="18"/>
                <w:szCs w:val="18"/>
                <w:color w:val="auto"/>
              </w:rPr>
              <w:t>Guatemalan quetzal</w:t>
            </w:r>
          </w:p>
        </w:tc>
        <w:tc>
          <w:tcPr>
            <w:tcW w:w="860" w:type="dxa"/>
            <w:vAlign w:val="bottom"/>
          </w:tcPr>
          <w:p>
            <w:pPr>
              <w:jc w:val="right"/>
              <w:ind w:right="56"/>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jc w:val="right"/>
              <w:ind w:right="46"/>
              <w:spacing w:after="0"/>
              <w:rPr>
                <w:sz w:val="20"/>
                <w:szCs w:val="20"/>
                <w:color w:val="auto"/>
              </w:rPr>
            </w:pPr>
            <w:r>
              <w:rPr>
                <w:rFonts w:ascii="Arial" w:cs="Arial" w:eastAsia="Arial" w:hAnsi="Arial"/>
                <w:sz w:val="18"/>
                <w:szCs w:val="18"/>
                <w:color w:val="auto"/>
                <w:w w:val="87"/>
              </w:rPr>
              <w:t>7.5</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jc w:val="right"/>
              <w:ind w:right="164"/>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25"/>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ind w:right="26"/>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0"/>
        </w:trPr>
        <w:tc>
          <w:tcPr>
            <w:tcW w:w="3680" w:type="dxa"/>
            <w:vAlign w:val="bottom"/>
            <w:gridSpan w:val="2"/>
          </w:tcPr>
          <w:p>
            <w:pPr>
              <w:ind w:left="40"/>
              <w:spacing w:after="0"/>
              <w:rPr>
                <w:sz w:val="20"/>
                <w:szCs w:val="20"/>
                <w:color w:val="auto"/>
              </w:rPr>
            </w:pPr>
            <w:r>
              <w:rPr>
                <w:rFonts w:ascii="Arial" w:cs="Arial" w:eastAsia="Arial" w:hAnsi="Arial"/>
                <w:sz w:val="18"/>
                <w:szCs w:val="18"/>
                <w:color w:val="auto"/>
              </w:rPr>
              <w:t>Honduran lempira</w:t>
            </w:r>
          </w:p>
        </w:tc>
        <w:tc>
          <w:tcPr>
            <w:tcW w:w="860" w:type="dxa"/>
            <w:vAlign w:val="bottom"/>
          </w:tcPr>
          <w:p>
            <w:pPr>
              <w:jc w:val="right"/>
              <w:ind w:right="56"/>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gridSpan w:val="3"/>
          </w:tcPr>
          <w:p>
            <w:pPr>
              <w:jc w:val="right"/>
              <w:ind w:right="46"/>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jc w:val="right"/>
              <w:ind w:right="164"/>
              <w:spacing w:after="0"/>
              <w:rPr>
                <w:sz w:val="20"/>
                <w:szCs w:val="20"/>
                <w:color w:val="auto"/>
              </w:rPr>
            </w:pPr>
            <w:r>
              <w:rPr>
                <w:rFonts w:ascii="Arial" w:cs="Arial" w:eastAsia="Arial" w:hAnsi="Arial"/>
                <w:sz w:val="18"/>
                <w:szCs w:val="18"/>
                <w:color w:val="auto"/>
                <w:w w:val="96"/>
              </w:rPr>
              <w:t>24.4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25"/>
              <w:spacing w:after="0"/>
              <w:rPr>
                <w:sz w:val="20"/>
                <w:szCs w:val="20"/>
                <w:color w:val="auto"/>
              </w:rPr>
            </w:pPr>
            <w:r>
              <w:rPr>
                <w:rFonts w:ascii="Arial" w:cs="Arial" w:eastAsia="Arial" w:hAnsi="Arial"/>
                <w:sz w:val="18"/>
                <w:szCs w:val="18"/>
                <w:color w:val="auto"/>
              </w:rPr>
              <w:t>24.3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ind w:right="26"/>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70"/>
        </w:trPr>
        <w:tc>
          <w:tcPr>
            <w:tcW w:w="3680" w:type="dxa"/>
            <w:vAlign w:val="bottom"/>
            <w:gridSpan w:val="2"/>
          </w:tcPr>
          <w:p>
            <w:pPr>
              <w:ind w:left="40"/>
              <w:spacing w:after="0"/>
              <w:rPr>
                <w:sz w:val="20"/>
                <w:szCs w:val="20"/>
                <w:color w:val="auto"/>
              </w:rPr>
            </w:pPr>
            <w:r>
              <w:rPr>
                <w:rFonts w:ascii="Arial" w:cs="Arial" w:eastAsia="Arial" w:hAnsi="Arial"/>
                <w:sz w:val="18"/>
                <w:szCs w:val="18"/>
                <w:color w:val="auto"/>
              </w:rPr>
              <w:t>Peruvian sol</w:t>
            </w:r>
          </w:p>
        </w:tc>
        <w:tc>
          <w:tcPr>
            <w:tcW w:w="860" w:type="dxa"/>
            <w:vAlign w:val="bottom"/>
          </w:tcPr>
          <w:p>
            <w:pPr>
              <w:jc w:val="right"/>
              <w:ind w:right="56"/>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jc w:val="right"/>
              <w:ind w:right="46"/>
              <w:spacing w:after="0"/>
              <w:rPr>
                <w:sz w:val="20"/>
                <w:szCs w:val="20"/>
                <w:color w:val="auto"/>
              </w:rPr>
            </w:pPr>
            <w:r>
              <w:rPr>
                <w:rFonts w:ascii="Arial" w:cs="Arial" w:eastAsia="Arial" w:hAnsi="Arial"/>
                <w:sz w:val="18"/>
                <w:szCs w:val="18"/>
                <w:color w:val="auto"/>
                <w:w w:val="87"/>
              </w:rPr>
              <w:t>3.3</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jc w:val="right"/>
              <w:ind w:right="164"/>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25"/>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ind w:right="26"/>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05"/>
        </w:trPr>
        <w:tc>
          <w:tcPr>
            <w:tcW w:w="36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3"/>
              </w:rPr>
              <w:t>Miscellaneous Non-GAAP Financial Measures</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3"/>
          </w:tcPr>
          <w:p>
            <w:pPr>
              <w:ind w:left="140"/>
              <w:spacing w:after="0"/>
              <w:rPr>
                <w:sz w:val="20"/>
                <w:szCs w:val="20"/>
                <w:color w:val="auto"/>
              </w:rPr>
            </w:pPr>
            <w:r>
              <w:rPr>
                <w:rFonts w:ascii="Arial" w:cs="Arial" w:eastAsia="Arial" w:hAnsi="Arial"/>
                <w:sz w:val="14"/>
                <w:szCs w:val="14"/>
                <w:b w:val="1"/>
                <w:bCs w:val="1"/>
                <w:color w:val="auto"/>
              </w:rPr>
              <w:t>2020 Q3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226"/>
              <w:spacing w:after="0"/>
              <w:rPr>
                <w:sz w:val="20"/>
                <w:szCs w:val="20"/>
                <w:color w:val="auto"/>
              </w:rPr>
            </w:pPr>
            <w:r>
              <w:rPr>
                <w:rFonts w:ascii="Arial" w:cs="Arial" w:eastAsia="Arial" w:hAnsi="Arial"/>
                <w:sz w:val="14"/>
                <w:szCs w:val="14"/>
                <w:b w:val="1"/>
                <w:bCs w:val="1"/>
                <w:color w:val="auto"/>
              </w:rPr>
              <w:t>2019 Q3</w:t>
            </w:r>
          </w:p>
        </w:tc>
        <w:tc>
          <w:tcPr>
            <w:tcW w:w="0" w:type="dxa"/>
            <w:vAlign w:val="bottom"/>
          </w:tcPr>
          <w:p>
            <w:pPr>
              <w:spacing w:after="0"/>
              <w:rPr>
                <w:sz w:val="1"/>
                <w:szCs w:val="1"/>
                <w:color w:val="auto"/>
              </w:rPr>
            </w:pPr>
          </w:p>
        </w:tc>
      </w:tr>
      <w:tr>
        <w:trPr>
          <w:trHeight w:val="53"/>
        </w:trPr>
        <w:tc>
          <w:tcPr>
            <w:tcW w:w="3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373"/>
        </w:trPr>
        <w:tc>
          <w:tcPr>
            <w:tcW w:w="3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7"/>
          </w:tcPr>
          <w:p>
            <w:pPr>
              <w:jc w:val="center"/>
              <w:ind w:right="66"/>
              <w:spacing w:after="0"/>
              <w:rPr>
                <w:sz w:val="20"/>
                <w:szCs w:val="20"/>
                <w:color w:val="auto"/>
              </w:rPr>
            </w:pPr>
            <w:r>
              <w:rPr>
                <w:rFonts w:ascii="Arial" w:cs="Arial" w:eastAsia="Arial" w:hAnsi="Arial"/>
                <w:sz w:val="14"/>
                <w:szCs w:val="14"/>
                <w:i w:val="1"/>
                <w:iCs w:val="1"/>
                <w:color w:val="auto"/>
              </w:rPr>
              <w:t>(in millions)</w:t>
            </w:r>
          </w:p>
        </w:tc>
        <w:tc>
          <w:tcPr>
            <w:tcW w:w="0" w:type="dxa"/>
            <w:vAlign w:val="bottom"/>
          </w:tcPr>
          <w:p>
            <w:pPr>
              <w:spacing w:after="0"/>
              <w:rPr>
                <w:sz w:val="1"/>
                <w:szCs w:val="1"/>
                <w:color w:val="auto"/>
              </w:rPr>
            </w:pPr>
          </w:p>
        </w:tc>
      </w:tr>
      <w:tr>
        <w:trPr>
          <w:trHeight w:val="270"/>
        </w:trPr>
        <w:tc>
          <w:tcPr>
            <w:tcW w:w="3680" w:type="dxa"/>
            <w:vAlign w:val="bottom"/>
            <w:gridSpan w:val="2"/>
          </w:tcPr>
          <w:p>
            <w:pPr>
              <w:ind w:left="40"/>
              <w:spacing w:after="0"/>
              <w:rPr>
                <w:sz w:val="20"/>
                <w:szCs w:val="20"/>
                <w:color w:val="auto"/>
              </w:rPr>
            </w:pPr>
            <w:r>
              <w:rPr>
                <w:rFonts w:ascii="Arial" w:cs="Arial" w:eastAsia="Arial" w:hAnsi="Arial"/>
                <w:sz w:val="14"/>
                <w:szCs w:val="14"/>
                <w:color w:val="auto"/>
              </w:rPr>
              <w:t>Net income</w:t>
            </w: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gridSpan w:val="4"/>
          </w:tcPr>
          <w:p>
            <w:pPr>
              <w:jc w:val="right"/>
              <w:ind w:right="60"/>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60"/>
              <w:spacing w:after="0"/>
              <w:rPr>
                <w:sz w:val="20"/>
                <w:szCs w:val="20"/>
                <w:color w:val="auto"/>
              </w:rPr>
            </w:pPr>
            <w:r>
              <w:rPr>
                <w:rFonts w:ascii="Arial" w:cs="Arial" w:eastAsia="Arial" w:hAnsi="Arial"/>
                <w:sz w:val="14"/>
                <w:szCs w:val="14"/>
                <w:color w:val="auto"/>
              </w:rPr>
              <w:t>(5.5)</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6"/>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70"/>
        </w:trPr>
        <w:tc>
          <w:tcPr>
            <w:tcW w:w="3680" w:type="dxa"/>
            <w:vAlign w:val="bottom"/>
            <w:gridSpan w:val="2"/>
          </w:tcPr>
          <w:p>
            <w:pPr>
              <w:ind w:left="40"/>
              <w:spacing w:after="0"/>
              <w:rPr>
                <w:sz w:val="20"/>
                <w:szCs w:val="20"/>
                <w:color w:val="auto"/>
              </w:rPr>
            </w:pPr>
            <w:r>
              <w:rPr>
                <w:rFonts w:ascii="Arial" w:cs="Arial" w:eastAsia="Arial" w:hAnsi="Arial"/>
                <w:sz w:val="14"/>
                <w:szCs w:val="14"/>
                <w:color w:val="auto"/>
              </w:rPr>
              <w:t>Loss from discontinued operations, net of tax</w:t>
            </w: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ind w:right="26"/>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70"/>
        </w:trPr>
        <w:tc>
          <w:tcPr>
            <w:tcW w:w="3680" w:type="dxa"/>
            <w:vAlign w:val="bottom"/>
            <w:gridSpan w:val="2"/>
          </w:tcPr>
          <w:p>
            <w:pPr>
              <w:ind w:left="40"/>
              <w:spacing w:after="0"/>
              <w:rPr>
                <w:sz w:val="20"/>
                <w:szCs w:val="20"/>
                <w:color w:val="auto"/>
              </w:rPr>
            </w:pPr>
            <w:r>
              <w:rPr>
                <w:rFonts w:ascii="Arial" w:cs="Arial" w:eastAsia="Arial" w:hAnsi="Arial"/>
                <w:sz w:val="14"/>
                <w:szCs w:val="14"/>
                <w:color w:val="auto"/>
              </w:rPr>
              <w:t>Interest expense</w:t>
            </w: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color w:val="auto"/>
              </w:rPr>
              <w:t>5.4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ind w:right="26"/>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70"/>
        </w:trPr>
        <w:tc>
          <w:tcPr>
            <w:tcW w:w="3680" w:type="dxa"/>
            <w:vAlign w:val="bottom"/>
            <w:gridSpan w:val="2"/>
          </w:tcPr>
          <w:p>
            <w:pPr>
              <w:ind w:left="40"/>
              <w:spacing w:after="0"/>
              <w:rPr>
                <w:sz w:val="20"/>
                <w:szCs w:val="20"/>
                <w:color w:val="auto"/>
              </w:rPr>
            </w:pPr>
            <w:r>
              <w:rPr>
                <w:rFonts w:ascii="Arial" w:cs="Arial" w:eastAsia="Arial" w:hAnsi="Arial"/>
                <w:sz w:val="14"/>
                <w:szCs w:val="14"/>
                <w:color w:val="auto"/>
              </w:rPr>
              <w:t>Interest income</w:t>
            </w: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4"/>
                <w:szCs w:val="14"/>
                <w:color w:val="auto"/>
              </w:rPr>
              <w:t>(0.6)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70"/>
        </w:trPr>
        <w:tc>
          <w:tcPr>
            <w:tcW w:w="3680" w:type="dxa"/>
            <w:vAlign w:val="bottom"/>
            <w:gridSpan w:val="2"/>
          </w:tcPr>
          <w:p>
            <w:pPr>
              <w:ind w:left="40"/>
              <w:spacing w:after="0"/>
              <w:rPr>
                <w:sz w:val="20"/>
                <w:szCs w:val="20"/>
                <w:color w:val="auto"/>
              </w:rPr>
            </w:pPr>
            <w:r>
              <w:rPr>
                <w:rFonts w:ascii="Arial" w:cs="Arial" w:eastAsia="Arial" w:hAnsi="Arial"/>
                <w:sz w:val="14"/>
                <w:szCs w:val="14"/>
                <w:color w:val="auto"/>
              </w:rPr>
              <w:t>Income tax expense</w:t>
            </w: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4"/>
                <w:szCs w:val="14"/>
                <w:color w:val="auto"/>
              </w:rPr>
              <w:t>(4.8)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ind w:right="26"/>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76"/>
        </w:trPr>
        <w:tc>
          <w:tcPr>
            <w:tcW w:w="3680" w:type="dxa"/>
            <w:vAlign w:val="bottom"/>
            <w:gridSpan w:val="2"/>
          </w:tcPr>
          <w:p>
            <w:pPr>
              <w:ind w:left="40"/>
              <w:spacing w:after="0"/>
              <w:rPr>
                <w:sz w:val="20"/>
                <w:szCs w:val="20"/>
                <w:color w:val="auto"/>
              </w:rPr>
            </w:pPr>
            <w:r>
              <w:rPr>
                <w:rFonts w:ascii="Arial" w:cs="Arial" w:eastAsia="Arial" w:hAnsi="Arial"/>
                <w:sz w:val="14"/>
                <w:szCs w:val="14"/>
                <w:color w:val="auto"/>
              </w:rPr>
              <w:t>Depreciation and amortization</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color w:val="auto"/>
              </w:rPr>
              <w:t>7.7</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44"/>
        </w:trPr>
        <w:tc>
          <w:tcPr>
            <w:tcW w:w="3680" w:type="dxa"/>
            <w:vAlign w:val="bottom"/>
            <w:gridSpan w:val="2"/>
          </w:tcPr>
          <w:p>
            <w:pPr>
              <w:ind w:left="280"/>
              <w:spacing w:after="0"/>
              <w:rPr>
                <w:sz w:val="20"/>
                <w:szCs w:val="20"/>
                <w:color w:val="auto"/>
              </w:rPr>
            </w:pPr>
            <w:r>
              <w:rPr>
                <w:rFonts w:ascii="Arial" w:cs="Arial" w:eastAsia="Arial" w:hAnsi="Arial"/>
                <w:sz w:val="14"/>
                <w:szCs w:val="14"/>
                <w:color w:val="auto"/>
              </w:rPr>
              <w:t>Adjusted EBITDA</w:t>
            </w: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gridSpan w:val="4"/>
          </w:tcPr>
          <w:p>
            <w:pPr>
              <w:jc w:val="right"/>
              <w:ind w:right="60"/>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4"/>
                <w:szCs w:val="14"/>
                <w:color w:val="auto"/>
              </w:rPr>
              <w:t>2.2</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6"/>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300"/>
        </w:trPr>
        <w:tc>
          <w:tcPr>
            <w:tcW w:w="3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Income from</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Net Income from</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vMerge w:val="restart"/>
          </w:tcPr>
          <w:p>
            <w:pPr>
              <w:jc w:val="center"/>
              <w:ind w:right="146"/>
              <w:spacing w:after="0"/>
              <w:rPr>
                <w:sz w:val="20"/>
                <w:szCs w:val="20"/>
                <w:color w:val="auto"/>
              </w:rPr>
            </w:pPr>
            <w:r>
              <w:rPr>
                <w:rFonts w:ascii="Arial" w:cs="Arial" w:eastAsia="Arial" w:hAnsi="Arial"/>
                <w:sz w:val="14"/>
                <w:szCs w:val="14"/>
                <w:b w:val="1"/>
                <w:bCs w:val="1"/>
                <w:color w:val="auto"/>
                <w:w w:val="94"/>
              </w:rPr>
              <w:t>Continuing</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Continuing</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Operations,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24"/>
              <w:spacing w:after="0"/>
              <w:rPr>
                <w:sz w:val="20"/>
                <w:szCs w:val="20"/>
                <w:color w:val="auto"/>
              </w:rPr>
            </w:pPr>
            <w:r>
              <w:rPr>
                <w:rFonts w:ascii="Arial" w:cs="Arial" w:eastAsia="Arial" w:hAnsi="Arial"/>
                <w:sz w:val="14"/>
                <w:szCs w:val="14"/>
                <w:b w:val="1"/>
                <w:bCs w:val="1"/>
                <w:color w:val="auto"/>
              </w:rPr>
              <w:t>Tax Effect</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Continuing</w:t>
            </w:r>
          </w:p>
        </w:tc>
        <w:tc>
          <w:tcPr>
            <w:tcW w:w="20" w:type="dxa"/>
            <w:vAlign w:val="bottom"/>
          </w:tcPr>
          <w:p>
            <w:pPr>
              <w:spacing w:after="0"/>
              <w:rPr>
                <w:sz w:val="12"/>
                <w:szCs w:val="12"/>
                <w:color w:val="auto"/>
              </w:rPr>
            </w:pPr>
          </w:p>
        </w:tc>
        <w:tc>
          <w:tcPr>
            <w:tcW w:w="122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Adjusted EBITDA</w:t>
            </w:r>
          </w:p>
        </w:tc>
        <w:tc>
          <w:tcPr>
            <w:tcW w:w="1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146"/>
              <w:spacing w:after="0" w:line="149" w:lineRule="exact"/>
              <w:rPr>
                <w:sz w:val="20"/>
                <w:szCs w:val="20"/>
                <w:color w:val="auto"/>
              </w:rPr>
            </w:pPr>
            <w:r>
              <w:rPr>
                <w:rFonts w:ascii="Arial" w:cs="Arial" w:eastAsia="Arial" w:hAnsi="Arial"/>
                <w:sz w:val="14"/>
                <w:szCs w:val="14"/>
                <w:b w:val="1"/>
                <w:bCs w:val="1"/>
                <w:color w:val="auto"/>
                <w:w w:val="94"/>
              </w:rPr>
              <w:t>Operations</w:t>
            </w:r>
          </w:p>
        </w:tc>
        <w:tc>
          <w:tcPr>
            <w:tcW w:w="0" w:type="dxa"/>
            <w:vAlign w:val="bottom"/>
          </w:tcPr>
          <w:p>
            <w:pPr>
              <w:spacing w:after="0"/>
              <w:rPr>
                <w:sz w:val="1"/>
                <w:szCs w:val="1"/>
                <w:color w:val="auto"/>
              </w:rPr>
            </w:pPr>
          </w:p>
        </w:tc>
      </w:tr>
      <w:tr>
        <w:trPr>
          <w:trHeight w:val="192"/>
        </w:trPr>
        <w:tc>
          <w:tcPr>
            <w:tcW w:w="3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1"/>
              </w:rPr>
              <w:t>Before Tax</w:t>
            </w: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91"/>
              </w:rPr>
              <w:t>Operations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Borders>
              <w:bottom w:val="single" w:sz="8" w:color="auto"/>
            </w:tcBorders>
            <w:gridSpan w:val="5"/>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26"/>
              <w:spacing w:after="0"/>
              <w:rPr>
                <w:sz w:val="20"/>
                <w:szCs w:val="20"/>
                <w:color w:val="auto"/>
              </w:rPr>
            </w:pPr>
            <w:r>
              <w:rPr>
                <w:rFonts w:ascii="Arial" w:cs="Arial" w:eastAsia="Arial" w:hAnsi="Arial"/>
                <w:sz w:val="14"/>
                <w:szCs w:val="14"/>
                <w:b w:val="1"/>
                <w:bCs w:val="1"/>
                <w:color w:val="auto"/>
                <w:w w:val="95"/>
              </w:rPr>
              <w:t>Diluted EPS</w:t>
            </w:r>
          </w:p>
        </w:tc>
        <w:tc>
          <w:tcPr>
            <w:tcW w:w="0" w:type="dxa"/>
            <w:vAlign w:val="bottom"/>
          </w:tcPr>
          <w:p>
            <w:pPr>
              <w:spacing w:after="0"/>
              <w:rPr>
                <w:sz w:val="1"/>
                <w:szCs w:val="1"/>
                <w:color w:val="auto"/>
              </w:rPr>
            </w:pPr>
          </w:p>
        </w:tc>
      </w:tr>
      <w:tr>
        <w:trPr>
          <w:trHeight w:val="379"/>
        </w:trPr>
        <w:tc>
          <w:tcPr>
            <w:tcW w:w="3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ind w:left="280"/>
              <w:spacing w:after="0"/>
              <w:rPr>
                <w:sz w:val="20"/>
                <w:szCs w:val="20"/>
                <w:color w:val="auto"/>
              </w:rPr>
            </w:pPr>
            <w:r>
              <w:rPr>
                <w:rFonts w:ascii="Arial" w:cs="Arial" w:eastAsia="Arial" w:hAnsi="Arial"/>
                <w:sz w:val="14"/>
                <w:szCs w:val="14"/>
                <w:i w:val="1"/>
                <w:iCs w:val="1"/>
                <w:color w:val="auto"/>
              </w:rPr>
              <w:t>(in millions)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80" w:type="dxa"/>
            <w:vAlign w:val="bottom"/>
            <w:gridSpan w:val="2"/>
          </w:tcPr>
          <w:p>
            <w:pPr>
              <w:ind w:left="40"/>
              <w:spacing w:after="0"/>
              <w:rPr>
                <w:sz w:val="20"/>
                <w:szCs w:val="20"/>
                <w:color w:val="auto"/>
              </w:rPr>
            </w:pPr>
            <w:r>
              <w:rPr>
                <w:rFonts w:ascii="Arial" w:cs="Arial" w:eastAsia="Arial" w:hAnsi="Arial"/>
                <w:sz w:val="14"/>
                <w:szCs w:val="14"/>
                <w:color w:val="auto"/>
              </w:rPr>
              <w:t>2020 Q3 reported</w:t>
            </w: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spacing w:after="0"/>
              <w:rPr>
                <w:sz w:val="20"/>
                <w:szCs w:val="20"/>
                <w:color w:val="auto"/>
              </w:rPr>
            </w:pPr>
            <w:r>
              <w:rPr>
                <w:rFonts w:ascii="Arial" w:cs="Arial" w:eastAsia="Arial" w:hAnsi="Arial"/>
                <w:sz w:val="14"/>
                <w:szCs w:val="14"/>
                <w:color w:val="auto"/>
              </w:rPr>
              <w:t>(10.2)</w:t>
            </w:r>
          </w:p>
        </w:tc>
        <w:tc>
          <w:tcPr>
            <w:tcW w:w="400" w:type="dxa"/>
            <w:vAlign w:val="bottom"/>
            <w:gridSpan w:val="3"/>
          </w:tcPr>
          <w:p>
            <w:pPr>
              <w:jc w:val="right"/>
              <w:ind w:right="4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4"/>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3"/>
                <w:szCs w:val="23"/>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23"/>
                <w:szCs w:val="23"/>
                <w:color w:val="auto"/>
              </w:rPr>
            </w:pPr>
          </w:p>
        </w:tc>
        <w:tc>
          <w:tcPr>
            <w:tcW w:w="220" w:type="dxa"/>
            <w:vAlign w:val="bottom"/>
            <w:gridSpan w:val="3"/>
          </w:tcPr>
          <w:p>
            <w:pPr>
              <w:ind w:left="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40" w:type="dxa"/>
            <w:vAlign w:val="bottom"/>
          </w:tcPr>
          <w:p>
            <w:pPr>
              <w:jc w:val="right"/>
              <w:ind w:right="25"/>
              <w:spacing w:after="0"/>
              <w:rPr>
                <w:sz w:val="20"/>
                <w:szCs w:val="20"/>
                <w:color w:val="auto"/>
              </w:rPr>
            </w:pPr>
            <w:r>
              <w:rPr>
                <w:rFonts w:ascii="Arial" w:cs="Arial" w:eastAsia="Arial" w:hAnsi="Arial"/>
                <w:sz w:val="14"/>
                <w:szCs w:val="14"/>
                <w:color w:val="auto"/>
              </w:rPr>
              <w:t>2.2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gridSpan w:val="2"/>
          </w:tcPr>
          <w:p>
            <w:pPr>
              <w:jc w:val="center"/>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270"/>
        </w:trPr>
        <w:tc>
          <w:tcPr>
            <w:tcW w:w="3680" w:type="dxa"/>
            <w:vAlign w:val="bottom"/>
            <w:gridSpan w:val="2"/>
          </w:tcPr>
          <w:p>
            <w:pPr>
              <w:ind w:left="40"/>
              <w:spacing w:after="0"/>
              <w:rPr>
                <w:sz w:val="20"/>
                <w:szCs w:val="20"/>
                <w:color w:val="auto"/>
              </w:rPr>
            </w:pPr>
            <w:r>
              <w:rPr>
                <w:rFonts w:ascii="Arial" w:cs="Arial" w:eastAsia="Arial" w:hAnsi="Arial"/>
                <w:sz w:val="14"/>
                <w:szCs w:val="14"/>
                <w:color w:val="auto"/>
              </w:rPr>
              <w:t>COVID-19 expenses</w:t>
            </w: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4"/>
                <w:szCs w:val="14"/>
                <w:color w:val="auto"/>
              </w:rPr>
              <w:t>0.5</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jc w:val="right"/>
              <w:ind w:right="4"/>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45"/>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25"/>
              <w:spacing w:after="0"/>
              <w:rPr>
                <w:sz w:val="20"/>
                <w:szCs w:val="20"/>
                <w:color w:val="auto"/>
              </w:rPr>
            </w:pPr>
            <w:r>
              <w:rPr>
                <w:rFonts w:ascii="Arial" w:cs="Arial" w:eastAsia="Arial" w:hAnsi="Arial"/>
                <w:sz w:val="14"/>
                <w:szCs w:val="14"/>
                <w:color w:val="auto"/>
              </w:rPr>
              <w:t>0.5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ind w:right="26"/>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70"/>
        </w:trPr>
        <w:tc>
          <w:tcPr>
            <w:tcW w:w="3680" w:type="dxa"/>
            <w:vAlign w:val="bottom"/>
            <w:gridSpan w:val="2"/>
          </w:tcPr>
          <w:p>
            <w:pPr>
              <w:ind w:left="40"/>
              <w:spacing w:after="0"/>
              <w:rPr>
                <w:sz w:val="20"/>
                <w:szCs w:val="20"/>
                <w:color w:val="auto"/>
              </w:rPr>
            </w:pPr>
            <w:r>
              <w:rPr>
                <w:rFonts w:ascii="Arial" w:cs="Arial" w:eastAsia="Arial" w:hAnsi="Arial"/>
                <w:sz w:val="14"/>
                <w:szCs w:val="14"/>
                <w:color w:val="auto"/>
              </w:rPr>
              <w:t>Civil Unrest- asset disposal</w:t>
            </w: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4"/>
                <w:szCs w:val="14"/>
                <w:color w:val="auto"/>
              </w:rPr>
              <w:t>0.2</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60" w:type="dxa"/>
            <w:vAlign w:val="bottom"/>
          </w:tcPr>
          <w:p>
            <w:pPr>
              <w:jc w:val="right"/>
              <w:ind w:right="45"/>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25"/>
              <w:spacing w:after="0"/>
              <w:rPr>
                <w:sz w:val="20"/>
                <w:szCs w:val="20"/>
                <w:color w:val="auto"/>
              </w:rPr>
            </w:pPr>
            <w:r>
              <w:rPr>
                <w:rFonts w:ascii="Arial" w:cs="Arial" w:eastAsia="Arial" w:hAnsi="Arial"/>
                <w:sz w:val="14"/>
                <w:szCs w:val="14"/>
                <w:color w:val="auto"/>
              </w:rPr>
              <w:t>0.2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ind w:right="2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680" w:type="dxa"/>
            <w:vAlign w:val="bottom"/>
            <w:gridSpan w:val="2"/>
          </w:tcPr>
          <w:p>
            <w:pPr>
              <w:ind w:left="40"/>
              <w:spacing w:after="0"/>
              <w:rPr>
                <w:sz w:val="20"/>
                <w:szCs w:val="20"/>
                <w:color w:val="auto"/>
              </w:rPr>
            </w:pPr>
            <w:r>
              <w:rPr>
                <w:rFonts w:ascii="Arial" w:cs="Arial" w:eastAsia="Arial" w:hAnsi="Arial"/>
                <w:sz w:val="14"/>
                <w:szCs w:val="14"/>
                <w:color w:val="auto"/>
              </w:rPr>
              <w:t>Currency exchange rate fluctuations</w:t>
            </w: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4"/>
                <w:szCs w:val="14"/>
                <w:color w:val="auto"/>
              </w:rPr>
              <w:t>0.6</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jc w:val="right"/>
              <w:ind w:right="4"/>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45"/>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25"/>
              <w:spacing w:after="0"/>
              <w:rPr>
                <w:sz w:val="20"/>
                <w:szCs w:val="20"/>
                <w:color w:val="auto"/>
              </w:rPr>
            </w:pPr>
            <w:r>
              <w:rPr>
                <w:rFonts w:ascii="Arial" w:cs="Arial" w:eastAsia="Arial" w:hAnsi="Arial"/>
                <w:sz w:val="14"/>
                <w:szCs w:val="14"/>
                <w:color w:val="auto"/>
              </w:rPr>
              <w:t>0.6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ind w:right="26"/>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70"/>
        </w:trPr>
        <w:tc>
          <w:tcPr>
            <w:tcW w:w="3680" w:type="dxa"/>
            <w:vAlign w:val="bottom"/>
            <w:gridSpan w:val="2"/>
          </w:tcPr>
          <w:p>
            <w:pPr>
              <w:ind w:left="40"/>
              <w:spacing w:after="0"/>
              <w:rPr>
                <w:sz w:val="20"/>
                <w:szCs w:val="20"/>
                <w:color w:val="auto"/>
              </w:rPr>
            </w:pPr>
            <w:r>
              <w:rPr>
                <w:rFonts w:ascii="Arial" w:cs="Arial" w:eastAsia="Arial" w:hAnsi="Arial"/>
                <w:sz w:val="14"/>
                <w:szCs w:val="14"/>
                <w:color w:val="auto"/>
              </w:rPr>
              <w:t>Non-cash net interest expense</w:t>
            </w: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4"/>
                <w:szCs w:val="14"/>
                <w:color w:val="auto"/>
              </w:rPr>
              <w:t>3.2</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jc w:val="right"/>
              <w:ind w:right="4"/>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45"/>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ind w:right="26"/>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76"/>
        </w:trPr>
        <w:tc>
          <w:tcPr>
            <w:tcW w:w="3680" w:type="dxa"/>
            <w:vAlign w:val="bottom"/>
            <w:gridSpan w:val="2"/>
          </w:tcPr>
          <w:p>
            <w:pPr>
              <w:ind w:left="40"/>
              <w:spacing w:after="0"/>
              <w:rPr>
                <w:sz w:val="20"/>
                <w:szCs w:val="20"/>
                <w:color w:val="auto"/>
              </w:rPr>
            </w:pPr>
            <w:r>
              <w:rPr>
                <w:rFonts w:ascii="Arial" w:cs="Arial" w:eastAsia="Arial" w:hAnsi="Arial"/>
                <w:sz w:val="14"/>
                <w:szCs w:val="14"/>
                <w:color w:val="auto"/>
              </w:rPr>
              <w:t>Civil Unrest- looting</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2.2</w:t>
            </w:r>
          </w:p>
        </w:tc>
        <w:tc>
          <w:tcPr>
            <w:tcW w:w="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color w:val="auto"/>
              </w:rPr>
              <w:t>2.2</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244"/>
        </w:trPr>
        <w:tc>
          <w:tcPr>
            <w:tcW w:w="3680" w:type="dxa"/>
            <w:vAlign w:val="bottom"/>
            <w:gridSpan w:val="2"/>
          </w:tcPr>
          <w:p>
            <w:pPr>
              <w:ind w:left="280"/>
              <w:spacing w:after="0"/>
              <w:rPr>
                <w:sz w:val="20"/>
                <w:szCs w:val="20"/>
                <w:color w:val="auto"/>
              </w:rPr>
            </w:pPr>
            <w:r>
              <w:rPr>
                <w:rFonts w:ascii="Arial" w:cs="Arial" w:eastAsia="Arial" w:hAnsi="Arial"/>
                <w:sz w:val="14"/>
                <w:szCs w:val="14"/>
                <w:color w:val="auto"/>
              </w:rPr>
              <w:t>2020 Q3 adjusted</w:t>
            </w: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spacing w:after="0"/>
              <w:rPr>
                <w:sz w:val="20"/>
                <w:szCs w:val="20"/>
                <w:color w:val="auto"/>
              </w:rPr>
            </w:pPr>
            <w:r>
              <w:rPr>
                <w:rFonts w:ascii="Arial" w:cs="Arial" w:eastAsia="Arial" w:hAnsi="Arial"/>
                <w:sz w:val="14"/>
                <w:szCs w:val="14"/>
                <w:color w:val="auto"/>
              </w:rPr>
              <w:t>(3.5)</w:t>
            </w:r>
          </w:p>
        </w:tc>
        <w:tc>
          <w:tcPr>
            <w:tcW w:w="400" w:type="dxa"/>
            <w:vAlign w:val="bottom"/>
            <w:gridSpan w:val="3"/>
          </w:tcPr>
          <w:p>
            <w:pPr>
              <w:jc w:val="right"/>
              <w:ind w:right="4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4"/>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21"/>
                <w:szCs w:val="21"/>
                <w:color w:val="auto"/>
              </w:rPr>
            </w:pPr>
          </w:p>
        </w:tc>
        <w:tc>
          <w:tcPr>
            <w:tcW w:w="220" w:type="dxa"/>
            <w:vAlign w:val="bottom"/>
            <w:gridSpan w:val="3"/>
          </w:tcPr>
          <w:p>
            <w:pPr>
              <w:ind w:left="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40" w:type="dxa"/>
            <w:vAlign w:val="bottom"/>
          </w:tcPr>
          <w:p>
            <w:pPr>
              <w:jc w:val="right"/>
              <w:ind w:right="25"/>
              <w:spacing w:after="0"/>
              <w:rPr>
                <w:sz w:val="20"/>
                <w:szCs w:val="20"/>
                <w:color w:val="auto"/>
              </w:rPr>
            </w:pPr>
            <w:r>
              <w:rPr>
                <w:rFonts w:ascii="Arial" w:cs="Arial" w:eastAsia="Arial" w:hAnsi="Arial"/>
                <w:sz w:val="14"/>
                <w:szCs w:val="14"/>
                <w:color w:val="auto"/>
              </w:rPr>
              <w:t>5.7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gridSpan w:val="2"/>
          </w:tcPr>
          <w:p>
            <w:pPr>
              <w:jc w:val="center"/>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300"/>
        </w:trPr>
        <w:tc>
          <w:tcPr>
            <w:tcW w:w="3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Income from</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Net Income from</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vMerge w:val="restart"/>
          </w:tcPr>
          <w:p>
            <w:pPr>
              <w:jc w:val="center"/>
              <w:ind w:right="146"/>
              <w:spacing w:after="0"/>
              <w:rPr>
                <w:sz w:val="20"/>
                <w:szCs w:val="20"/>
                <w:color w:val="auto"/>
              </w:rPr>
            </w:pPr>
            <w:r>
              <w:rPr>
                <w:rFonts w:ascii="Arial" w:cs="Arial" w:eastAsia="Arial" w:hAnsi="Arial"/>
                <w:sz w:val="14"/>
                <w:szCs w:val="14"/>
                <w:b w:val="1"/>
                <w:bCs w:val="1"/>
                <w:color w:val="auto"/>
                <w:w w:val="94"/>
              </w:rPr>
              <w:t>Continuing</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Continuing</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Operations,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24"/>
              <w:spacing w:after="0"/>
              <w:rPr>
                <w:sz w:val="20"/>
                <w:szCs w:val="20"/>
                <w:color w:val="auto"/>
              </w:rPr>
            </w:pPr>
            <w:r>
              <w:rPr>
                <w:rFonts w:ascii="Arial" w:cs="Arial" w:eastAsia="Arial" w:hAnsi="Arial"/>
                <w:sz w:val="14"/>
                <w:szCs w:val="14"/>
                <w:b w:val="1"/>
                <w:bCs w:val="1"/>
                <w:color w:val="auto"/>
              </w:rPr>
              <w:t>Tax Effect</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Continuing</w:t>
            </w:r>
          </w:p>
        </w:tc>
        <w:tc>
          <w:tcPr>
            <w:tcW w:w="20" w:type="dxa"/>
            <w:vAlign w:val="bottom"/>
          </w:tcPr>
          <w:p>
            <w:pPr>
              <w:spacing w:after="0"/>
              <w:rPr>
                <w:sz w:val="12"/>
                <w:szCs w:val="12"/>
                <w:color w:val="auto"/>
              </w:rPr>
            </w:pPr>
          </w:p>
        </w:tc>
        <w:tc>
          <w:tcPr>
            <w:tcW w:w="122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Adjusted EBITDA</w:t>
            </w:r>
          </w:p>
        </w:tc>
        <w:tc>
          <w:tcPr>
            <w:tcW w:w="1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146"/>
              <w:spacing w:after="0" w:line="149" w:lineRule="exact"/>
              <w:rPr>
                <w:sz w:val="20"/>
                <w:szCs w:val="20"/>
                <w:color w:val="auto"/>
              </w:rPr>
            </w:pPr>
            <w:r>
              <w:rPr>
                <w:rFonts w:ascii="Arial" w:cs="Arial" w:eastAsia="Arial" w:hAnsi="Arial"/>
                <w:sz w:val="14"/>
                <w:szCs w:val="14"/>
                <w:b w:val="1"/>
                <w:bCs w:val="1"/>
                <w:color w:val="auto"/>
                <w:w w:val="94"/>
              </w:rPr>
              <w:t>Operations</w:t>
            </w:r>
          </w:p>
        </w:tc>
        <w:tc>
          <w:tcPr>
            <w:tcW w:w="0" w:type="dxa"/>
            <w:vAlign w:val="bottom"/>
          </w:tcPr>
          <w:p>
            <w:pPr>
              <w:spacing w:after="0"/>
              <w:rPr>
                <w:sz w:val="1"/>
                <w:szCs w:val="1"/>
                <w:color w:val="auto"/>
              </w:rPr>
            </w:pPr>
          </w:p>
        </w:tc>
      </w:tr>
      <w:tr>
        <w:trPr>
          <w:trHeight w:val="192"/>
        </w:trPr>
        <w:tc>
          <w:tcPr>
            <w:tcW w:w="3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1"/>
              </w:rPr>
              <w:t>Before Tax</w:t>
            </w: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91"/>
              </w:rPr>
              <w:t>Operations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Borders>
              <w:bottom w:val="single" w:sz="8" w:color="auto"/>
            </w:tcBorders>
            <w:gridSpan w:val="5"/>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26"/>
              <w:spacing w:after="0"/>
              <w:rPr>
                <w:sz w:val="20"/>
                <w:szCs w:val="20"/>
                <w:color w:val="auto"/>
              </w:rPr>
            </w:pPr>
            <w:r>
              <w:rPr>
                <w:rFonts w:ascii="Arial" w:cs="Arial" w:eastAsia="Arial" w:hAnsi="Arial"/>
                <w:sz w:val="14"/>
                <w:szCs w:val="14"/>
                <w:b w:val="1"/>
                <w:bCs w:val="1"/>
                <w:color w:val="auto"/>
                <w:w w:val="95"/>
              </w:rPr>
              <w:t>Diluted EPS</w:t>
            </w:r>
          </w:p>
        </w:tc>
        <w:tc>
          <w:tcPr>
            <w:tcW w:w="0" w:type="dxa"/>
            <w:vAlign w:val="bottom"/>
          </w:tcPr>
          <w:p>
            <w:pPr>
              <w:spacing w:after="0"/>
              <w:rPr>
                <w:sz w:val="1"/>
                <w:szCs w:val="1"/>
                <w:color w:val="auto"/>
              </w:rPr>
            </w:pPr>
          </w:p>
        </w:tc>
      </w:tr>
      <w:tr>
        <w:trPr>
          <w:trHeight w:val="379"/>
        </w:trPr>
        <w:tc>
          <w:tcPr>
            <w:tcW w:w="3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ind w:left="280"/>
              <w:spacing w:after="0"/>
              <w:rPr>
                <w:sz w:val="20"/>
                <w:szCs w:val="20"/>
                <w:color w:val="auto"/>
              </w:rPr>
            </w:pPr>
            <w:r>
              <w:rPr>
                <w:rFonts w:ascii="Arial" w:cs="Arial" w:eastAsia="Arial" w:hAnsi="Arial"/>
                <w:sz w:val="14"/>
                <w:szCs w:val="14"/>
                <w:i w:val="1"/>
                <w:iCs w:val="1"/>
                <w:color w:val="auto"/>
              </w:rPr>
              <w:t>(in millions)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80" w:type="dxa"/>
            <w:vAlign w:val="bottom"/>
            <w:gridSpan w:val="2"/>
          </w:tcPr>
          <w:p>
            <w:pPr>
              <w:ind w:left="40"/>
              <w:spacing w:after="0"/>
              <w:rPr>
                <w:sz w:val="20"/>
                <w:szCs w:val="20"/>
                <w:color w:val="auto"/>
              </w:rPr>
            </w:pPr>
            <w:r>
              <w:rPr>
                <w:rFonts w:ascii="Arial" w:cs="Arial" w:eastAsia="Arial" w:hAnsi="Arial"/>
                <w:sz w:val="14"/>
                <w:szCs w:val="14"/>
                <w:color w:val="auto"/>
              </w:rPr>
              <w:t>2019 Q3 reported</w:t>
            </w: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60"/>
              <w:spacing w:after="0"/>
              <w:rPr>
                <w:sz w:val="20"/>
                <w:szCs w:val="20"/>
                <w:color w:val="auto"/>
              </w:rPr>
            </w:pPr>
            <w:r>
              <w:rPr>
                <w:rFonts w:ascii="Arial" w:cs="Arial" w:eastAsia="Arial" w:hAnsi="Arial"/>
                <w:sz w:val="14"/>
                <w:szCs w:val="14"/>
                <w:color w:val="auto"/>
              </w:rPr>
              <w:t>3.5</w:t>
            </w:r>
          </w:p>
        </w:tc>
        <w:tc>
          <w:tcPr>
            <w:tcW w:w="400" w:type="dxa"/>
            <w:vAlign w:val="bottom"/>
            <w:gridSpan w:val="3"/>
          </w:tcPr>
          <w:p>
            <w:pPr>
              <w:jc w:val="right"/>
              <w:ind w:right="4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3"/>
                <w:szCs w:val="23"/>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5"/>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23"/>
                <w:szCs w:val="23"/>
                <w:color w:val="auto"/>
              </w:rPr>
            </w:pPr>
          </w:p>
        </w:tc>
        <w:tc>
          <w:tcPr>
            <w:tcW w:w="220" w:type="dxa"/>
            <w:vAlign w:val="bottom"/>
            <w:gridSpan w:val="3"/>
          </w:tcPr>
          <w:p>
            <w:pPr>
              <w:ind w:left="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40" w:type="dxa"/>
            <w:vAlign w:val="bottom"/>
          </w:tcPr>
          <w:p>
            <w:pPr>
              <w:jc w:val="right"/>
              <w:ind w:right="25"/>
              <w:spacing w:after="0"/>
              <w:rPr>
                <w:sz w:val="20"/>
                <w:szCs w:val="20"/>
                <w:color w:val="auto"/>
              </w:rPr>
            </w:pPr>
            <w:r>
              <w:rPr>
                <w:rFonts w:ascii="Arial" w:cs="Arial" w:eastAsia="Arial" w:hAnsi="Arial"/>
                <w:sz w:val="14"/>
                <w:szCs w:val="14"/>
                <w:color w:val="auto"/>
              </w:rPr>
              <w:t>17.4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gridSpan w:val="2"/>
          </w:tcPr>
          <w:p>
            <w:pPr>
              <w:jc w:val="center"/>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23"/>
                <w:szCs w:val="23"/>
                <w:color w:val="auto"/>
              </w:rPr>
            </w:pPr>
          </w:p>
        </w:tc>
        <w:tc>
          <w:tcPr>
            <w:tcW w:w="1000" w:type="dxa"/>
            <w:vAlign w:val="bottom"/>
          </w:tcPr>
          <w:p>
            <w:pPr>
              <w:jc w:val="right"/>
              <w:ind w:right="26"/>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270"/>
        </w:trPr>
        <w:tc>
          <w:tcPr>
            <w:tcW w:w="3680" w:type="dxa"/>
            <w:vAlign w:val="bottom"/>
            <w:gridSpan w:val="2"/>
          </w:tcPr>
          <w:p>
            <w:pPr>
              <w:ind w:left="40"/>
              <w:spacing w:after="0"/>
              <w:rPr>
                <w:sz w:val="20"/>
                <w:szCs w:val="20"/>
                <w:color w:val="auto"/>
              </w:rPr>
            </w:pPr>
            <w:r>
              <w:rPr>
                <w:rFonts w:ascii="Arial" w:cs="Arial" w:eastAsia="Arial" w:hAnsi="Arial"/>
                <w:sz w:val="14"/>
                <w:szCs w:val="14"/>
                <w:color w:val="auto"/>
              </w:rPr>
              <w:t>Discrete transaction tax adjustment</w:t>
            </w: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4"/>
                <w:szCs w:val="14"/>
                <w:color w:val="auto"/>
              </w:rPr>
              <w:t>4.6</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jc w:val="right"/>
              <w:ind w:right="4"/>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45"/>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25"/>
              <w:spacing w:after="0"/>
              <w:rPr>
                <w:sz w:val="20"/>
                <w:szCs w:val="20"/>
                <w:color w:val="auto"/>
              </w:rPr>
            </w:pPr>
            <w:r>
              <w:rPr>
                <w:rFonts w:ascii="Arial" w:cs="Arial" w:eastAsia="Arial" w:hAnsi="Arial"/>
                <w:sz w:val="14"/>
                <w:szCs w:val="14"/>
                <w:color w:val="auto"/>
              </w:rPr>
              <w:t>4.6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ind w:right="26"/>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70"/>
        </w:trPr>
        <w:tc>
          <w:tcPr>
            <w:tcW w:w="3680" w:type="dxa"/>
            <w:vAlign w:val="bottom"/>
            <w:gridSpan w:val="2"/>
          </w:tcPr>
          <w:p>
            <w:pPr>
              <w:ind w:left="40"/>
              <w:spacing w:after="0"/>
              <w:rPr>
                <w:sz w:val="20"/>
                <w:szCs w:val="20"/>
                <w:color w:val="auto"/>
              </w:rPr>
            </w:pPr>
            <w:r>
              <w:rPr>
                <w:rFonts w:ascii="Arial" w:cs="Arial" w:eastAsia="Arial" w:hAnsi="Arial"/>
                <w:sz w:val="14"/>
                <w:szCs w:val="14"/>
                <w:color w:val="auto"/>
              </w:rPr>
              <w:t>Currency exchange rate fluctuation</w:t>
            </w: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color w:val="auto"/>
              </w:rPr>
              <w:t>(0.1)</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ind w:right="2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680" w:type="dxa"/>
            <w:vAlign w:val="bottom"/>
            <w:gridSpan w:val="2"/>
          </w:tcPr>
          <w:p>
            <w:pPr>
              <w:ind w:left="40"/>
              <w:spacing w:after="0"/>
              <w:rPr>
                <w:sz w:val="20"/>
                <w:szCs w:val="20"/>
                <w:color w:val="auto"/>
              </w:rPr>
            </w:pPr>
            <w:r>
              <w:rPr>
                <w:rFonts w:ascii="Arial" w:cs="Arial" w:eastAsia="Arial" w:hAnsi="Arial"/>
                <w:sz w:val="14"/>
                <w:szCs w:val="14"/>
                <w:color w:val="auto"/>
              </w:rPr>
              <w:t>Non-cash net interest expense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5.6</w:t>
            </w:r>
          </w:p>
        </w:tc>
        <w:tc>
          <w:tcPr>
            <w:tcW w:w="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44"/>
        </w:trPr>
        <w:tc>
          <w:tcPr>
            <w:tcW w:w="3680" w:type="dxa"/>
            <w:vAlign w:val="bottom"/>
            <w:gridSpan w:val="2"/>
          </w:tcPr>
          <w:p>
            <w:pPr>
              <w:ind w:left="280"/>
              <w:spacing w:after="0"/>
              <w:rPr>
                <w:sz w:val="20"/>
                <w:szCs w:val="20"/>
                <w:color w:val="auto"/>
              </w:rPr>
            </w:pPr>
            <w:r>
              <w:rPr>
                <w:rFonts w:ascii="Arial" w:cs="Arial" w:eastAsia="Arial" w:hAnsi="Arial"/>
                <w:sz w:val="14"/>
                <w:szCs w:val="14"/>
                <w:color w:val="auto"/>
              </w:rPr>
              <w:t>2019 Q3 adjusted*</w:t>
            </w: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60"/>
              <w:spacing w:after="0"/>
              <w:rPr>
                <w:sz w:val="20"/>
                <w:szCs w:val="20"/>
                <w:color w:val="auto"/>
              </w:rPr>
            </w:pPr>
            <w:r>
              <w:rPr>
                <w:rFonts w:ascii="Arial" w:cs="Arial" w:eastAsia="Arial" w:hAnsi="Arial"/>
                <w:sz w:val="14"/>
                <w:szCs w:val="14"/>
                <w:color w:val="auto"/>
              </w:rPr>
              <w:t>13.6</w:t>
            </w:r>
          </w:p>
        </w:tc>
        <w:tc>
          <w:tcPr>
            <w:tcW w:w="400" w:type="dxa"/>
            <w:vAlign w:val="bottom"/>
            <w:gridSpan w:val="3"/>
          </w:tcPr>
          <w:p>
            <w:pPr>
              <w:jc w:val="right"/>
              <w:ind w:right="4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5"/>
              <w:spacing w:after="0"/>
              <w:rPr>
                <w:sz w:val="20"/>
                <w:szCs w:val="20"/>
                <w:color w:val="auto"/>
              </w:rPr>
            </w:pPr>
            <w:r>
              <w:rPr>
                <w:rFonts w:ascii="Arial" w:cs="Arial" w:eastAsia="Arial" w:hAnsi="Arial"/>
                <w:sz w:val="14"/>
                <w:szCs w:val="14"/>
                <w:color w:val="auto"/>
              </w:rPr>
              <w:t>8.8</w:t>
            </w:r>
          </w:p>
        </w:tc>
        <w:tc>
          <w:tcPr>
            <w:tcW w:w="80" w:type="dxa"/>
            <w:vAlign w:val="bottom"/>
          </w:tcPr>
          <w:p>
            <w:pPr>
              <w:spacing w:after="0"/>
              <w:rPr>
                <w:sz w:val="21"/>
                <w:szCs w:val="21"/>
                <w:color w:val="auto"/>
              </w:rPr>
            </w:pPr>
          </w:p>
        </w:tc>
        <w:tc>
          <w:tcPr>
            <w:tcW w:w="220" w:type="dxa"/>
            <w:vAlign w:val="bottom"/>
            <w:gridSpan w:val="3"/>
          </w:tcPr>
          <w:p>
            <w:pPr>
              <w:ind w:left="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40" w:type="dxa"/>
            <w:vAlign w:val="bottom"/>
          </w:tcPr>
          <w:p>
            <w:pPr>
              <w:jc w:val="right"/>
              <w:ind w:right="25"/>
              <w:spacing w:after="0"/>
              <w:rPr>
                <w:sz w:val="20"/>
                <w:szCs w:val="20"/>
                <w:color w:val="auto"/>
              </w:rPr>
            </w:pPr>
            <w:r>
              <w:rPr>
                <w:rFonts w:ascii="Arial" w:cs="Arial" w:eastAsia="Arial" w:hAnsi="Arial"/>
                <w:sz w:val="14"/>
                <w:szCs w:val="14"/>
                <w:color w:val="auto"/>
              </w:rPr>
              <w:t>21.9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gridSpan w:val="2"/>
          </w:tcPr>
          <w:p>
            <w:pPr>
              <w:jc w:val="center"/>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21"/>
                <w:szCs w:val="21"/>
                <w:color w:val="auto"/>
              </w:rPr>
            </w:pPr>
          </w:p>
        </w:tc>
        <w:tc>
          <w:tcPr>
            <w:tcW w:w="1000" w:type="dxa"/>
            <w:vAlign w:val="bottom"/>
          </w:tcPr>
          <w:p>
            <w:pPr>
              <w:jc w:val="right"/>
              <w:ind w:right="26"/>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right="60" w:firstLine="8"/>
        <w:spacing w:after="0" w:line="257" w:lineRule="auto"/>
        <w:tabs>
          <w:tab w:leader="none" w:pos="108" w:val="left"/>
        </w:tabs>
        <w:numPr>
          <w:ilvl w:val="0"/>
          <w:numId w:val="7"/>
        </w:numPr>
        <w:rPr>
          <w:rFonts w:ascii="Arial" w:cs="Arial" w:eastAsia="Arial" w:hAnsi="Arial"/>
          <w:sz w:val="14"/>
          <w:szCs w:val="14"/>
          <w:color w:val="auto"/>
        </w:rPr>
      </w:pPr>
      <w:r>
        <w:rPr>
          <w:rFonts w:ascii="Arial" w:cs="Arial" w:eastAsia="Arial" w:hAnsi="Arial"/>
          <w:sz w:val="14"/>
          <w:szCs w:val="14"/>
          <w:color w:val="auto"/>
        </w:rPr>
        <w:t>During the first quarter of fiscal 2020, we revised the financial information our chief operating decision maker (our chief executive officer) reviews for operational decision-making purposes to include the separate financial results of our Lana business. Our historical segment results have been recast to conform to current presentation including the removal of discretionary strategic investment in digital platform costs in historically adjusted results. We additionally recast certain other adjustments to conform to restated historical results.</w:t>
      </w:r>
    </w:p>
    <w:p>
      <w:pPr>
        <w:sectPr>
          <w:pgSz w:w="11900" w:h="16838" w:orient="portrait"/>
          <w:cols w:equalWidth="0" w:num="1">
            <w:col w:w="11240"/>
          </w:cols>
          <w:pgMar w:left="320" w:top="719"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8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2020 Q3:</w:t>
            </w:r>
          </w:p>
        </w:tc>
        <w:tc>
          <w:tcPr>
            <w:tcW w:w="13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7"/>
              </w:rPr>
              <w:t>U.S. Dollar Amount</w:t>
            </w:r>
          </w:p>
        </w:tc>
        <w:tc>
          <w:tcPr>
            <w:tcW w:w="120" w:type="dxa"/>
            <w:vAlign w:val="bottom"/>
            <w:vMerge w:val="restart"/>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w w:val="94"/>
              </w:rPr>
              <w:t>Percentage Change</w:t>
            </w:r>
          </w:p>
        </w:tc>
        <w:tc>
          <w:tcPr>
            <w:tcW w:w="0" w:type="dxa"/>
            <w:vAlign w:val="bottom"/>
          </w:tcPr>
          <w:p>
            <w:pPr>
              <w:spacing w:after="0"/>
              <w:rPr>
                <w:sz w:val="1"/>
                <w:szCs w:val="1"/>
                <w:color w:val="auto"/>
              </w:rPr>
            </w:pPr>
          </w:p>
        </w:tc>
      </w:tr>
      <w:tr>
        <w:trPr>
          <w:trHeight w:val="192"/>
        </w:trPr>
        <w:tc>
          <w:tcPr>
            <w:tcW w:w="8440" w:type="dxa"/>
            <w:vAlign w:val="bottom"/>
            <w:vMerge w:val="continue"/>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YOY</w:t>
            </w:r>
          </w:p>
        </w:tc>
        <w:tc>
          <w:tcPr>
            <w:tcW w:w="0" w:type="dxa"/>
            <w:vAlign w:val="bottom"/>
          </w:tcPr>
          <w:p>
            <w:pPr>
              <w:spacing w:after="0"/>
              <w:rPr>
                <w:sz w:val="1"/>
                <w:szCs w:val="1"/>
                <w:color w:val="auto"/>
              </w:rPr>
            </w:pPr>
          </w:p>
        </w:tc>
      </w:tr>
      <w:tr>
        <w:trPr>
          <w:trHeight w:val="379"/>
        </w:trPr>
        <w:tc>
          <w:tcPr>
            <w:tcW w:w="8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rPr>
              <w:t>(in millions)</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440" w:type="dxa"/>
            <w:vAlign w:val="bottom"/>
          </w:tcPr>
          <w:p>
            <w:pPr>
              <w:spacing w:after="0"/>
              <w:rPr>
                <w:sz w:val="20"/>
                <w:szCs w:val="20"/>
                <w:color w:val="auto"/>
              </w:rPr>
            </w:pPr>
            <w:r>
              <w:rPr>
                <w:rFonts w:ascii="Arial" w:cs="Arial" w:eastAsia="Arial" w:hAnsi="Arial"/>
                <w:sz w:val="14"/>
                <w:szCs w:val="14"/>
                <w:color w:val="auto"/>
              </w:rPr>
              <w:t>Consolidated revenue (three months ended June 30, 2020)</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210.2</w:t>
            </w: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276"/>
        </w:trPr>
        <w:tc>
          <w:tcPr>
            <w:tcW w:w="844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440" w:type="dxa"/>
            <w:vAlign w:val="bottom"/>
          </w:tcPr>
          <w:p>
            <w:pPr>
              <w:ind w:left="240"/>
              <w:spacing w:after="0"/>
              <w:rPr>
                <w:sz w:val="20"/>
                <w:szCs w:val="20"/>
                <w:color w:val="auto"/>
              </w:rPr>
            </w:pPr>
            <w:r>
              <w:rPr>
                <w:rFonts w:ascii="Arial" w:cs="Arial" w:eastAsia="Arial" w:hAnsi="Arial"/>
                <w:sz w:val="14"/>
                <w:szCs w:val="14"/>
                <w:color w:val="auto"/>
              </w:rPr>
              <w:t>Constant currency consolidated revenue (three months ended June 30, 2020)</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216.5</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392"/>
        </w:trPr>
        <w:tc>
          <w:tcPr>
            <w:tcW w:w="8440" w:type="dxa"/>
            <w:vAlign w:val="bottom"/>
          </w:tcPr>
          <w:p>
            <w:pPr>
              <w:spacing w:after="0"/>
              <w:rPr>
                <w:sz w:val="20"/>
                <w:szCs w:val="20"/>
                <w:color w:val="auto"/>
              </w:rPr>
            </w:pPr>
            <w:r>
              <w:rPr>
                <w:rFonts w:ascii="Arial" w:cs="Arial" w:eastAsia="Arial" w:hAnsi="Arial"/>
                <w:sz w:val="14"/>
                <w:szCs w:val="14"/>
                <w:color w:val="auto"/>
              </w:rPr>
              <w:t>Consolidated net revenue (three months ended June 30, 2020)</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102.2</w:t>
            </w: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6"/>
        </w:trPr>
        <w:tc>
          <w:tcPr>
            <w:tcW w:w="844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440" w:type="dxa"/>
            <w:vAlign w:val="bottom"/>
          </w:tcPr>
          <w:p>
            <w:pPr>
              <w:ind w:left="240"/>
              <w:spacing w:after="0"/>
              <w:rPr>
                <w:sz w:val="20"/>
                <w:szCs w:val="20"/>
                <w:color w:val="auto"/>
              </w:rPr>
            </w:pPr>
            <w:r>
              <w:rPr>
                <w:rFonts w:ascii="Arial" w:cs="Arial" w:eastAsia="Arial" w:hAnsi="Arial"/>
                <w:sz w:val="14"/>
                <w:szCs w:val="14"/>
                <w:color w:val="auto"/>
              </w:rPr>
              <w:t>Constant currency consolidated net revenue (three months ended June 30, 2020)</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105.2</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392"/>
        </w:trPr>
        <w:tc>
          <w:tcPr>
            <w:tcW w:w="8440" w:type="dxa"/>
            <w:vAlign w:val="bottom"/>
          </w:tcPr>
          <w:p>
            <w:pPr>
              <w:spacing w:after="0"/>
              <w:rPr>
                <w:sz w:val="20"/>
                <w:szCs w:val="20"/>
                <w:color w:val="auto"/>
              </w:rPr>
            </w:pPr>
            <w:r>
              <w:rPr>
                <w:rFonts w:ascii="Arial" w:cs="Arial" w:eastAsia="Arial" w:hAnsi="Arial"/>
                <w:sz w:val="14"/>
                <w:szCs w:val="14"/>
                <w:color w:val="auto"/>
              </w:rPr>
              <w:t>Consolidated net inventory (three months ended June 30, 2020)</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123.1</w:t>
            </w: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76"/>
        </w:trPr>
        <w:tc>
          <w:tcPr>
            <w:tcW w:w="844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440" w:type="dxa"/>
            <w:vAlign w:val="bottom"/>
          </w:tcPr>
          <w:p>
            <w:pPr>
              <w:spacing w:after="0"/>
              <w:rPr>
                <w:sz w:val="20"/>
                <w:szCs w:val="20"/>
                <w:color w:val="auto"/>
              </w:rPr>
            </w:pPr>
            <w:r>
              <w:rPr>
                <w:rFonts w:ascii="Arial" w:cs="Arial" w:eastAsia="Arial" w:hAnsi="Arial"/>
                <w:sz w:val="14"/>
                <w:szCs w:val="14"/>
                <w:color w:val="auto"/>
              </w:rPr>
              <w:t>Constant currency consolidated net inventory (three months ended June 30, 2020)</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127.1</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391"/>
        </w:trPr>
        <w:tc>
          <w:tcPr>
            <w:tcW w:w="8440" w:type="dxa"/>
            <w:vAlign w:val="bottom"/>
          </w:tcPr>
          <w:p>
            <w:pPr>
              <w:spacing w:after="0"/>
              <w:rPr>
                <w:sz w:val="20"/>
                <w:szCs w:val="20"/>
                <w:color w:val="auto"/>
              </w:rPr>
            </w:pPr>
            <w:r>
              <w:rPr>
                <w:rFonts w:ascii="Arial" w:cs="Arial" w:eastAsia="Arial" w:hAnsi="Arial"/>
                <w:sz w:val="14"/>
                <w:szCs w:val="14"/>
                <w:color w:val="auto"/>
              </w:rPr>
              <w:t>Latin America Pawn net revenue (three months ended June 30, 2020)</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76"/>
        </w:trPr>
        <w:tc>
          <w:tcPr>
            <w:tcW w:w="844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440" w:type="dxa"/>
            <w:vAlign w:val="bottom"/>
          </w:tcPr>
          <w:p>
            <w:pPr>
              <w:ind w:left="240"/>
              <w:spacing w:after="0"/>
              <w:rPr>
                <w:sz w:val="20"/>
                <w:szCs w:val="20"/>
                <w:color w:val="auto"/>
              </w:rPr>
            </w:pPr>
            <w:r>
              <w:rPr>
                <w:rFonts w:ascii="Arial" w:cs="Arial" w:eastAsia="Arial" w:hAnsi="Arial"/>
                <w:sz w:val="14"/>
                <w:szCs w:val="14"/>
                <w:color w:val="auto"/>
              </w:rPr>
              <w:t>Constant currency Latin America Pawn net revenue (three months ended June 30, 2020)</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392"/>
        </w:trPr>
        <w:tc>
          <w:tcPr>
            <w:tcW w:w="8440" w:type="dxa"/>
            <w:vAlign w:val="bottom"/>
          </w:tcPr>
          <w:p>
            <w:pPr>
              <w:spacing w:after="0"/>
              <w:rPr>
                <w:sz w:val="20"/>
                <w:szCs w:val="20"/>
                <w:color w:val="auto"/>
              </w:rPr>
            </w:pPr>
            <w:r>
              <w:rPr>
                <w:rFonts w:ascii="Arial" w:cs="Arial" w:eastAsia="Arial" w:hAnsi="Arial"/>
                <w:sz w:val="14"/>
                <w:szCs w:val="14"/>
                <w:color w:val="auto"/>
              </w:rPr>
              <w:t>Latin America Pawn PLO</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76"/>
        </w:trPr>
        <w:tc>
          <w:tcPr>
            <w:tcW w:w="844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440" w:type="dxa"/>
            <w:vAlign w:val="bottom"/>
          </w:tcPr>
          <w:p>
            <w:pPr>
              <w:ind w:left="240"/>
              <w:spacing w:after="0"/>
              <w:rPr>
                <w:sz w:val="20"/>
                <w:szCs w:val="20"/>
                <w:color w:val="auto"/>
              </w:rPr>
            </w:pPr>
            <w:r>
              <w:rPr>
                <w:rFonts w:ascii="Arial" w:cs="Arial" w:eastAsia="Arial" w:hAnsi="Arial"/>
                <w:sz w:val="14"/>
                <w:szCs w:val="14"/>
                <w:color w:val="auto"/>
              </w:rPr>
              <w:t>Constant currency Latin America Pawn PLO</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392"/>
        </w:trPr>
        <w:tc>
          <w:tcPr>
            <w:tcW w:w="8440" w:type="dxa"/>
            <w:vAlign w:val="bottom"/>
          </w:tcPr>
          <w:p>
            <w:pPr>
              <w:spacing w:after="0"/>
              <w:rPr>
                <w:sz w:val="20"/>
                <w:szCs w:val="20"/>
                <w:color w:val="auto"/>
              </w:rPr>
            </w:pPr>
            <w:r>
              <w:rPr>
                <w:rFonts w:ascii="Arial" w:cs="Arial" w:eastAsia="Arial" w:hAnsi="Arial"/>
                <w:sz w:val="14"/>
                <w:szCs w:val="14"/>
                <w:color w:val="auto"/>
              </w:rPr>
              <w:t>Latin America Pawn PSC revenues (three months ended June 30, 2020)</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76"/>
        </w:trPr>
        <w:tc>
          <w:tcPr>
            <w:tcW w:w="844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440" w:type="dxa"/>
            <w:vAlign w:val="bottom"/>
          </w:tcPr>
          <w:p>
            <w:pPr>
              <w:ind w:left="240"/>
              <w:spacing w:after="0"/>
              <w:rPr>
                <w:sz w:val="20"/>
                <w:szCs w:val="20"/>
                <w:color w:val="auto"/>
              </w:rPr>
            </w:pPr>
            <w:r>
              <w:rPr>
                <w:rFonts w:ascii="Arial" w:cs="Arial" w:eastAsia="Arial" w:hAnsi="Arial"/>
                <w:sz w:val="14"/>
                <w:szCs w:val="14"/>
                <w:color w:val="auto"/>
              </w:rPr>
              <w:t>Constant currency Latin America Pawn PSC revenues (three months ended June 30, 2020)</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392"/>
        </w:trPr>
        <w:tc>
          <w:tcPr>
            <w:tcW w:w="8440" w:type="dxa"/>
            <w:vAlign w:val="bottom"/>
          </w:tcPr>
          <w:p>
            <w:pPr>
              <w:spacing w:after="0"/>
              <w:rPr>
                <w:sz w:val="20"/>
                <w:szCs w:val="20"/>
                <w:color w:val="auto"/>
              </w:rPr>
            </w:pPr>
            <w:r>
              <w:rPr>
                <w:rFonts w:ascii="Arial" w:cs="Arial" w:eastAsia="Arial" w:hAnsi="Arial"/>
                <w:sz w:val="14"/>
                <w:szCs w:val="14"/>
                <w:color w:val="auto"/>
              </w:rPr>
              <w:t>Latin America Pawn merchandise sales (three months ended June 30, 2020)</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276"/>
        </w:trPr>
        <w:tc>
          <w:tcPr>
            <w:tcW w:w="844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440" w:type="dxa"/>
            <w:vAlign w:val="bottom"/>
          </w:tcPr>
          <w:p>
            <w:pPr>
              <w:ind w:left="240"/>
              <w:spacing w:after="0"/>
              <w:rPr>
                <w:sz w:val="20"/>
                <w:szCs w:val="20"/>
                <w:color w:val="auto"/>
              </w:rPr>
            </w:pPr>
            <w:r>
              <w:rPr>
                <w:rFonts w:ascii="Arial" w:cs="Arial" w:eastAsia="Arial" w:hAnsi="Arial"/>
                <w:sz w:val="14"/>
                <w:szCs w:val="14"/>
                <w:color w:val="auto"/>
              </w:rPr>
              <w:t>Constant currency Latin America Pawn merchandise sales (three months ended June 30, 2020)</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24.0</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20 %</w:t>
            </w:r>
          </w:p>
        </w:tc>
        <w:tc>
          <w:tcPr>
            <w:tcW w:w="0" w:type="dxa"/>
            <w:vAlign w:val="bottom"/>
          </w:tcPr>
          <w:p>
            <w:pPr>
              <w:spacing w:after="0"/>
              <w:rPr>
                <w:sz w:val="1"/>
                <w:szCs w:val="1"/>
                <w:color w:val="auto"/>
              </w:rPr>
            </w:pPr>
          </w:p>
        </w:tc>
      </w:tr>
      <w:tr>
        <w:trPr>
          <w:trHeight w:val="391"/>
        </w:trPr>
        <w:tc>
          <w:tcPr>
            <w:tcW w:w="8440" w:type="dxa"/>
            <w:vAlign w:val="bottom"/>
          </w:tcPr>
          <w:p>
            <w:pPr>
              <w:spacing w:after="0"/>
              <w:rPr>
                <w:sz w:val="20"/>
                <w:szCs w:val="20"/>
                <w:color w:val="auto"/>
              </w:rPr>
            </w:pPr>
            <w:r>
              <w:rPr>
                <w:rFonts w:ascii="Arial" w:cs="Arial" w:eastAsia="Arial" w:hAnsi="Arial"/>
                <w:sz w:val="14"/>
                <w:szCs w:val="14"/>
                <w:color w:val="auto"/>
              </w:rPr>
              <w:t>Latin America Pawn segment profit before tax (three months ended June 30, 2020)</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76"/>
        </w:trPr>
        <w:tc>
          <w:tcPr>
            <w:tcW w:w="844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440" w:type="dxa"/>
            <w:vAlign w:val="bottom"/>
          </w:tcPr>
          <w:p>
            <w:pPr>
              <w:ind w:left="240"/>
              <w:spacing w:after="0"/>
              <w:rPr>
                <w:sz w:val="20"/>
                <w:szCs w:val="20"/>
                <w:color w:val="auto"/>
              </w:rPr>
            </w:pPr>
            <w:r>
              <w:rPr>
                <w:rFonts w:ascii="Arial" w:cs="Arial" w:eastAsia="Arial" w:hAnsi="Arial"/>
                <w:sz w:val="14"/>
                <w:szCs w:val="14"/>
                <w:color w:val="auto"/>
              </w:rPr>
              <w:t>Constant currency Latin America Pawn segment profit before tax (three months ended June 30, 2020)</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00"/>
      </w:cols>
      <w:pgMar w:left="360" w:top="6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lvl w:ilvl="1">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2020-08-04T16:07:33Z</dcterms:created>
  <dcterms:modified xsi:type="dcterms:W3CDTF">2020-08-04T16:07:33Z</dcterms:modified>
</cp:coreProperties>
</file>