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28, 2014</w:t>
      </w:r>
    </w:p>
    <w:p>
      <w:pPr>
        <w:spacing w:after="0" w:line="7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74-2540145</w:t>
            </w:r>
          </w:p>
        </w:tc>
      </w:tr>
      <w:tr>
        <w:trPr>
          <w:trHeight w:val="178"/>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1901 Capital Parkway, Austin, Texas 78746</w:t>
            </w:r>
          </w:p>
        </w:tc>
        <w:tc>
          <w:tcPr>
            <w:tcW w:w="1460" w:type="dxa"/>
            <w:vAlign w:val="bottom"/>
          </w:tcPr>
          <w:p>
            <w:pPr>
              <w:spacing w:after="0"/>
              <w:rPr>
                <w:sz w:val="24"/>
                <w:szCs w:val="24"/>
                <w:color w:val="auto"/>
              </w:rPr>
            </w:pPr>
          </w:p>
        </w:tc>
      </w:tr>
      <w:tr>
        <w:trPr>
          <w:trHeight w:val="190"/>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375"/>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60" w:type="dxa"/>
            <w:vAlign w:val="bottom"/>
          </w:tcPr>
          <w:p>
            <w:pPr>
              <w:spacing w:after="0"/>
              <w:rPr>
                <w:sz w:val="24"/>
                <w:szCs w:val="24"/>
                <w:color w:val="auto"/>
              </w:rPr>
            </w:pPr>
          </w:p>
        </w:tc>
      </w:tr>
    </w:tbl>
    <w:p>
      <w:pPr>
        <w:spacing w:after="0" w:line="3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6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January 28, 2014 EZCORP, Inc. issued a press release announcing its results of operations and financial condition for the first fiscal quarter ended December 31, 2013. A copy of that press release is attached as Exhibit 99.1.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herein, “GAAP” refers to accounting principles generally accepted in the United States.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press release furnished in Exhibit 99.1 presents the financial results in accordance with GAAP. In addition, segment contribution, income from continuing operations, net income, net income attributable to EZCORP, Inc. and earnings per share for the three months ended December 31, 2013 and 2012 are also presented on a non-GAAP basis. Information sufficient to reconcile the non-GAAP measure to the GAAP measure is also presented. This non-GAAP financial measure is not meant to be considered in isolation or as a substitute for the corresponding GAAP measure.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7" w:lineRule="exact"/>
        <w:rPr>
          <w:sz w:val="20"/>
          <w:szCs w:val="20"/>
          <w:color w:val="auto"/>
        </w:rPr>
      </w:pPr>
    </w:p>
    <w:p>
      <w:pPr>
        <w:ind w:left="1120" w:right="940" w:hanging="562"/>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99.1</w:t>
        <w:tab/>
        <w:t>Press Release, dated January 28, 2014, announcing EZCORP, Inc.’s results of operations and financial condition for the first fiscal quarter ended December 31,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28,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57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jc w:val="center"/>
              <w:ind w:right="1514"/>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Press Release, dated January 28, 2014, announcing EZCORP, Inc.’s results of operations and financial condition for the first fiscal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December 31, 2013.</w:t>
            </w:r>
          </w:p>
        </w:tc>
        <w:tc>
          <w:tcPr>
            <w:tcW w:w="0" w:type="dxa"/>
            <w:vAlign w:val="bottom"/>
          </w:tcPr>
          <w:p>
            <w:pPr>
              <w:spacing w:after="0"/>
              <w:rPr>
                <w:sz w:val="1"/>
                <w:szCs w:val="1"/>
                <w:color w:val="auto"/>
              </w:rPr>
            </w:pPr>
          </w:p>
        </w:tc>
      </w:tr>
      <w:tr>
        <w:trPr>
          <w:trHeight w:val="486"/>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jc w:val="right"/>
              <w:ind w:right="557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254000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REPORTS REVENUES OF $269 MILLION AND EARNINGS PER SHARE OF $0.42</w:t>
      </w:r>
    </w:p>
    <w:p>
      <w:pPr>
        <w:spacing w:after="0" w:line="3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AUSTIN, Texas (</w:t>
      </w:r>
      <w:r>
        <w:rPr>
          <w:rFonts w:ascii="Times New Roman" w:cs="Times New Roman" w:eastAsia="Times New Roman" w:hAnsi="Times New Roman"/>
          <w:sz w:val="22"/>
          <w:szCs w:val="22"/>
          <w:color w:val="auto"/>
        </w:rPr>
        <w:t>January 28, 2014</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EZCORP, Inc. (NASDAQ: EZPW), a leading provider of easy cash solutions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consumers, today announced its financial results for its first quarter of fiscal 2014.</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quarter, total revenues were $269 million with net income of $23 million and earnings per share of $0.42. Excluding the negative impact of the company’s minority investment in Albemarle &amp; Bond and losses related to the company’s immature online lending businesses, net income was $27 million and earnings per share were $0.49, both non-GAAP measures.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Paul Rothamel, EZCORP’s President and Chief Executive Officer, stated, “I am pleased with our consolidated financial results this quarter and our underlying revenue and expense trends in our core U.S. and Latin America pawn and financial services businesses. Additionally we saw solid quarter-over-quarter progress in our newer online lending and selling channels. Most encouraging is that in a soft U.S. holiday shopping environment we delivered same-store sales growth of 8% in the quarter with jewelry same-store sales growth of 29% at very healthy margins. Online sales grew 21% as well and accounted for 9% of our overall sales volume.”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Consolidated Financial Highlights</w:t>
      </w:r>
    </w:p>
    <w:p>
      <w:pPr>
        <w:spacing w:after="0" w:line="224" w:lineRule="exact"/>
        <w:rPr>
          <w:sz w:val="20"/>
          <w:szCs w:val="20"/>
          <w:color w:val="auto"/>
        </w:rPr>
      </w:pPr>
    </w:p>
    <w:p>
      <w:pPr>
        <w:ind w:left="660" w:right="20" w:hanging="328"/>
        <w:spacing w:after="0" w:line="271"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revenues were $269 million compared to $273 million in the same period last year. Excluding gold scrapping, total revenues were up 6%, driven by strong retail sales and consumer loan fee growth in the United States and Mexico.</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quarter was $23 million, net of a $1 million impact from Albemarle &amp; Bond and a $3 million impact from the company’s online lending businesses. The $27 million of net income before those impacts was driven primarily by the company’s U.S. storefront businesses, which accounted for 82% of total adjusted segment contribution. The company’s Latin America segment accounted for 14% of total adjusted segment contribution in the quarter.</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 assets were $471 million at quarter-end, an increase of 13%, as a result of growth in payroll withholding, installment, and auto title loans, as well as inventory in the U.S. and Mexico. Net inventory was $143 million, a 19% increase over the same period last year, as the company executed against its strategy to drive jewelry retail sales rather than scrapping. The second quarter is typically the highest retail selling quarter of the year.</w:t>
      </w:r>
    </w:p>
    <w:p>
      <w:pPr>
        <w:spacing w:after="0" w:line="179"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cash equivalents, including restricted cash, were $45 million at quarter-end, with debt of $252 million, including $106 million of Grupo Finmart third-party debt, which is non-recourse to EZCORP.</w:t>
      </w:r>
    </w:p>
    <w:p>
      <w:pPr>
        <w:spacing w:after="0" w:line="157"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tax rate was 30% compared to 33% for the same period last year, as the company continued to diversify its operations worldwide.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11</w:t>
      </w:r>
    </w:p>
    <w:p>
      <w:pPr>
        <w:sectPr>
          <w:pgSz w:w="11900" w:h="16838" w:orient="portrait"/>
          <w:cols w:equalWidth="0" w:num="1">
            <w:col w:w="11420"/>
          </w:cols>
          <w:pgMar w:left="240" w:top="581" w:right="239" w:bottom="1440" w:gutter="0" w:footer="0" w:header="0"/>
        </w:sectPr>
      </w:pPr>
    </w:p>
    <w:bookmarkStart w:id="5" w:name="page6"/>
    <w:bookmarkEnd w:id="5"/>
    <w:p>
      <w:pPr>
        <w:spacing w:after="0" w:line="87"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21"/>
          <w:szCs w:val="21"/>
          <w:b w:val="1"/>
          <w:bCs w:val="1"/>
          <w:u w:val="single" w:color="auto"/>
          <w:color w:val="auto"/>
        </w:rPr>
        <w:t>U.S. &amp; Canada</w:t>
      </w:r>
    </w:p>
    <w:p>
      <w:pPr>
        <w:spacing w:after="0" w:line="23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22"/>
          <w:szCs w:val="22"/>
          <w:i w:val="1"/>
          <w:iCs w:val="1"/>
          <w:color w:val="auto"/>
        </w:rPr>
        <w:t>Pawn —</w:t>
      </w:r>
    </w:p>
    <w:p>
      <w:pPr>
        <w:spacing w:after="0" w:line="224" w:lineRule="exact"/>
        <w:rPr>
          <w:sz w:val="20"/>
          <w:szCs w:val="20"/>
          <w:color w:val="auto"/>
        </w:rPr>
      </w:pPr>
    </w:p>
    <w:p>
      <w:pPr>
        <w:jc w:val="both"/>
        <w:ind w:left="1300" w:hanging="320"/>
        <w:spacing w:after="0" w:line="257"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Merchandise sales increased 12% in total and 8% on a same-store basis driven by strong performance in storefronts and online. Gross margin on merchandise sales remained strong at 40%, with only a 100 basis point decrease from the same quarter last year as the company aggressively pursued market share.</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52"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Jewelry sales increased 33% in total and 29% on a same-store basis, with gross margin of 45% compared to 46% last year, due to improved presentation, pricing and promotions at the company’s 489 storefronts. This strong performance compares very favorably to traditional retail jewelers in the U.S. who generally reported mid-single digit same-store growth this past quarter.</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general merchandise sales increased 4% in the quarter and were up 1% on a same-store basis.</w:t>
      </w:r>
    </w:p>
    <w:p>
      <w:pPr>
        <w:spacing w:after="0" w:line="219"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Online sales grew 21% over last year and accounted for roughly 9% of the company’s total merchandise sales. Online sales are driven from storefront inventory and the company currently has over 50,000 items available for sale online.</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Pawn loan balances were $141 million at quarter-end, roughly flat to last year, as the company’s customers continue to increase their use of general merchandise for collateral. The general merchandise loan balance grew 9% while the jewelry loan balance declined 8%. Transactions were up 3% and average loan size decreased approximately 8% compared to the same quarter last year. The average loan for general merchandise is roughly one-third that of an average jewelry loan.</w:t>
      </w:r>
    </w:p>
    <w:p>
      <w:pPr>
        <w:spacing w:after="0" w:line="181" w:lineRule="exact"/>
        <w:rPr>
          <w:rFonts w:ascii="Times New Roman" w:cs="Times New Roman" w:eastAsia="Times New Roman" w:hAnsi="Times New Roman"/>
          <w:sz w:val="22"/>
          <w:szCs w:val="22"/>
          <w:color w:val="auto"/>
        </w:rPr>
      </w:pPr>
    </w:p>
    <w:p>
      <w:pPr>
        <w:ind w:left="1300" w:hanging="320"/>
        <w:spacing w:after="0" w:line="295" w:lineRule="auto"/>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Redemption rates were 83%, up 100 basis points compared to a year ago, driven by a 200 basis point increase in the jewelry redemption rate to 87%, while the general merchandise redemption rate decreased 100 basis points to 75%.</w:t>
      </w:r>
    </w:p>
    <w:p>
      <w:pPr>
        <w:spacing w:after="0" w:line="135" w:lineRule="exact"/>
        <w:rPr>
          <w:rFonts w:ascii="Times New Roman" w:cs="Times New Roman" w:eastAsia="Times New Roman" w:hAnsi="Times New Roman"/>
          <w:sz w:val="21"/>
          <w:szCs w:val="21"/>
          <w:color w:val="auto"/>
        </w:rPr>
      </w:pPr>
    </w:p>
    <w:p>
      <w:pPr>
        <w:jc w:val="both"/>
        <w:ind w:left="1300" w:hanging="320"/>
        <w:spacing w:after="0" w:line="257"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Segment contribution from the 52 Cash Converters stores in Canada and the U.S. improved by $0.7 million on a pre-tax basis in the quarter, and this operating unit crossed into profitability for the first time. The company continues to refine the model and expects continued profit growth for the rest of the year.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Financial Services —</w:t>
      </w:r>
    </w:p>
    <w:p>
      <w:pPr>
        <w:spacing w:after="0" w:line="224" w:lineRule="exact"/>
        <w:rPr>
          <w:sz w:val="20"/>
          <w:szCs w:val="20"/>
          <w:color w:val="auto"/>
        </w:rPr>
      </w:pPr>
    </w:p>
    <w:p>
      <w:pPr>
        <w:jc w:val="both"/>
        <w:ind w:left="1300" w:hanging="320"/>
        <w:spacing w:after="0" w:line="250"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loan balances, net of reserves, were $58 million at quarter-end, a 20% increase over the same quarter last year. This increase was driven by solid growth at the company’s 494 storefronts as well as the addition of its online channel acquired late in the first quarter of fiscal 2013. At quarter-end, the online loan balance was $3 million, 5% of the segment’s total consumer loan balance. Loan balances in Texas cities affected by restrictive local ordinances declined 41% year-over-year.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11</w:t>
      </w:r>
    </w:p>
    <w:p>
      <w:pPr>
        <w:sectPr>
          <w:pgSz w:w="11900" w:h="16838" w:orient="portrait"/>
          <w:cols w:equalWidth="0" w:num="1">
            <w:col w:w="11420"/>
          </w:cols>
          <w:pgMar w:left="240" w:top="1440" w:right="239" w:bottom="1440" w:gutter="0" w:footer="0" w:header="0"/>
        </w:sectPr>
      </w:pPr>
    </w:p>
    <w:bookmarkStart w:id="6" w:name="page7"/>
    <w:bookmarkEnd w:id="6"/>
    <w:p>
      <w:pPr>
        <w:jc w:val="both"/>
        <w:ind w:left="1300" w:hanging="320"/>
        <w:spacing w:after="0" w:line="257"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fees were $49 million, up 10%. The gap in growth between loan balances and fees year-over-year is the result of lower yields driven by a competitive marketplace and regulatory impact. The company expects to continue to grow loan balances aggressively against declining yields.</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49"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Bad debt as a percentage of fees was 32%, up 700 basis points. Approximately half of this increase reflects the impact of regulatory changes at the local and federal level. These changes will continue to negatively impact the profitability of the business. The remaining roughly 350 basis point decline was driven primarily by new store growth, most of which came outside of Texas, and the penetration of the company’s online channel. The company expects both of these impacts to moderate over the next several quarters as the new stores naturally mature and online bad debt continues its quarter-over-quarter improvement.</w:t>
      </w:r>
    </w:p>
    <w:p>
      <w:pPr>
        <w:spacing w:after="0" w:line="180" w:lineRule="exact"/>
        <w:rPr>
          <w:rFonts w:ascii="Times New Roman" w:cs="Times New Roman" w:eastAsia="Times New Roman" w:hAnsi="Times New Roman"/>
          <w:sz w:val="22"/>
          <w:szCs w:val="22"/>
          <w:color w:val="auto"/>
        </w:rPr>
      </w:pPr>
    </w:p>
    <w:p>
      <w:pPr>
        <w:jc w:val="both"/>
        <w:ind w:left="1300" w:right="20" w:hanging="320"/>
        <w:spacing w:after="0" w:line="257"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also expects improved expense leverage within the business as it realizes the effects of cost savings initiatives launched in fiscal 2013. Improvements in underwriting and loan management systems and service and collection center consolidation are well underway and should be materially completed by the end of fiscal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Latin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Payroll Withholding Lending —</w:t>
      </w:r>
    </w:p>
    <w:p>
      <w:pPr>
        <w:spacing w:after="0" w:line="224" w:lineRule="exact"/>
        <w:rPr>
          <w:sz w:val="20"/>
          <w:szCs w:val="20"/>
          <w:color w:val="auto"/>
        </w:rPr>
      </w:pPr>
    </w:p>
    <w:p>
      <w:pPr>
        <w:jc w:val="both"/>
        <w:ind w:left="1300" w:hanging="320"/>
        <w:spacing w:after="0" w:line="257"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loan balances at the end of the quarter were $114 million, up 42%, driven primarily by significant growth in loan originations in existing contracts. The company also added or renewed 18 contracts in the quarter. Grupo Finmart now has 52 active contracts providing access to over 4 million customers.</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revenues were $32 million in the quarter, with bad debt as a percentage of fees of 10%, compared to a bad debt benefit of 9% in the prior year due to a large aged debt sale. Bad debt is expected to decline over the next several quarters to approximately 5% to 8% of loan fees.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Pawn —</w:t>
      </w:r>
    </w:p>
    <w:p>
      <w:pPr>
        <w:spacing w:after="0" w:line="224" w:lineRule="exact"/>
        <w:rPr>
          <w:sz w:val="20"/>
          <w:szCs w:val="20"/>
          <w:color w:val="auto"/>
        </w:rPr>
      </w:pPr>
    </w:p>
    <w:p>
      <w:pPr>
        <w:jc w:val="both"/>
        <w:ind w:left="1300" w:hanging="320"/>
        <w:spacing w:after="0" w:line="257"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Pawn loan balances were $13 million, down 6% with pawn service fees down 2% as Empeño Fácil focused on better quality lending. Yield on the loan balance improved 1,200 basis points from 193% to 205%. General merchandise now accounts for 92% of the total loan portfolio compared to 89% a year ago.</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Merchandise sales increased 12% compared to last year with margins of 37%, down 500 basis points driven by aggressive pricing in an increasingly competitive marketplace. The company expects margins to continue to be pressured for the remainder of the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International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Online Lending —</w:t>
      </w:r>
    </w:p>
    <w:p>
      <w:pPr>
        <w:spacing w:after="0" w:line="224" w:lineRule="exact"/>
        <w:rPr>
          <w:sz w:val="20"/>
          <w:szCs w:val="20"/>
          <w:color w:val="auto"/>
        </w:rPr>
      </w:pPr>
    </w:p>
    <w:p>
      <w:pPr>
        <w:jc w:val="both"/>
        <w:ind w:left="1300" w:hanging="320"/>
        <w:spacing w:after="0" w:line="250"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Genie, the company’s U.K. online lending business, showed improved performance in the quarter compared to the fourth quarter of last year. In the quarter the company narrowed its operating loss to under $2 million, a 51% improvement from the fourth quarter of fiscal 2013. New loans made during the quarter increased 28% and the number of loans increased 25% over the immediately preceding quarter. Expense reduction initiatives in the U.K. have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11</w:t>
      </w:r>
    </w:p>
    <w:p>
      <w:pPr>
        <w:sectPr>
          <w:pgSz w:w="11900" w:h="16838" w:orient="portrait"/>
          <w:cols w:equalWidth="0" w:num="1">
            <w:col w:w="11420"/>
          </w:cols>
          <w:pgMar w:left="240" w:top="585" w:right="239" w:bottom="1440" w:gutter="0" w:footer="0" w:header="0"/>
        </w:sectPr>
      </w:pPr>
    </w:p>
    <w:bookmarkStart w:id="7" w:name="page8"/>
    <w:bookmarkEnd w:id="7"/>
    <w:p>
      <w:pPr>
        <w:ind w:left="1300" w:right="20"/>
        <w:spacing w:after="0" w:line="271" w:lineRule="auto"/>
        <w:rPr>
          <w:sz w:val="20"/>
          <w:szCs w:val="20"/>
          <w:color w:val="auto"/>
        </w:rPr>
      </w:pPr>
      <w:r>
        <w:rPr>
          <w:rFonts w:ascii="Times New Roman" w:cs="Times New Roman" w:eastAsia="Times New Roman" w:hAnsi="Times New Roman"/>
          <w:sz w:val="22"/>
          <w:szCs w:val="22"/>
          <w:color w:val="auto"/>
        </w:rPr>
        <w:t>reduced costs by 18% quarter-over-quarter. The company expects these trends to continue for the remainder of the year.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Strategic Affiliates —</w:t>
      </w:r>
    </w:p>
    <w:p>
      <w:pPr>
        <w:spacing w:after="0" w:line="224" w:lineRule="exact"/>
        <w:rPr>
          <w:sz w:val="20"/>
          <w:szCs w:val="20"/>
          <w:color w:val="auto"/>
        </w:rPr>
      </w:pPr>
    </w:p>
    <w:p>
      <w:pPr>
        <w:jc w:val="both"/>
        <w:ind w:left="1300" w:hanging="320"/>
        <w:spacing w:after="0" w:line="268" w:lineRule="auto"/>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income from affiliates was down sharply, 75% year-over-year, driven primarily by profit decline at its non-controlled affiliate Albemarle &amp; Bond. On January 27, 2014, Albemarle &amp; Bond announced the termination of their formal sales process, and stated that there may be limited value attributable to the ordinary shares. As a result, EZCORP may be required to write off the remaining $7.9 million of its investment in the second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CEO Commentary</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first quarter of fiscal 2014 represents a clear demarcation for us at EZCORP. We spent much of the last two years investing in new businesses and channels to diversify our business as we focus on serving our evolving customer. This diversification was also intended to seize emerging opportunities as well as insulate us from market shocks. We made those investments and in the third quarter of last year we exited certain legacy business models. Today we are solely focused on executing within the businesses and channels we have,” said Mr. Rothamel.</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first quarter, our U.S. and Canada storefronts in pawn and financial services delivered 82% of our consolidated segment contribution while our Latin America operations delivered 14%. Our immature online lending channels and our strategic affiliate Albemarle &amp; Bond were a drag to our segment contribution and net income.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expect year-over-year financial comparisons in the second quarter to be challenging as our U.S. pawn and financial services businesses continue to anniversary gold volume declines and regulatory changes respectively. Our online businesses will continue their quarter-over-quarter improvement, but will not cross into profitability until the third quarter. We expect year-over-year growth in Latin America and also expect to see expense leverage improvements as our expense control initiatives, begun in fiscal 2013, take hold.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the third quarter, we expect to see significant improvements in our year-over-year comparisons and the fourth quarter will show significant growth to the same quarter last year, as all of our operating segments and channels contribute to earnings.</w:t>
      </w:r>
    </w:p>
    <w:p>
      <w:pPr>
        <w:spacing w:after="0" w:line="15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“That run rate should then carry us to fiscal 2015 when we expect to deliver growth in all of our businesses with the online selling and lending channels growing fastest, followed by our Latin America businesses and our U.S. storefronts,” added Rothamel.</w:t>
      </w:r>
    </w:p>
    <w:p>
      <w:pPr>
        <w:spacing w:after="0" w:line="3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company provides supplemental information on its website. For additional content, please see "Investor Resources &amp; Supplemental Information" at http://investors.ezcorp.com/.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EZCORP</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EZCORP, Inc. is a leader in delivering easy cash solutions to our customers across channels, products, services and markets. With approximately 7,600 teammates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11</w:t>
      </w:r>
    </w:p>
    <w:p>
      <w:pPr>
        <w:sectPr>
          <w:pgSz w:w="11900" w:h="16838" w:orient="portrait"/>
          <w:cols w:equalWidth="0" w:num="1">
            <w:col w:w="11420"/>
          </w:cols>
          <w:pgMar w:left="240" w:top="585" w:right="239" w:bottom="1440" w:gutter="0" w:footer="0" w:header="0"/>
        </w:sectPr>
      </w:pPr>
    </w:p>
    <w:bookmarkStart w:id="8" w:name="page9"/>
    <w:bookmarkEnd w:id="8"/>
    <w:p>
      <w:pPr>
        <w:jc w:val="both"/>
        <w:spacing w:after="0" w:line="271" w:lineRule="auto"/>
        <w:rPr>
          <w:sz w:val="20"/>
          <w:szCs w:val="20"/>
          <w:color w:val="auto"/>
        </w:rPr>
      </w:pPr>
      <w:r>
        <w:rPr>
          <w:rFonts w:ascii="Times New Roman" w:cs="Times New Roman" w:eastAsia="Times New Roman" w:hAnsi="Times New Roman"/>
          <w:sz w:val="22"/>
          <w:szCs w:val="22"/>
          <w:color w:val="auto"/>
        </w:rPr>
        <w:t>we also sell merchandise, primarily collateral forfeited from pawn lending operations and used merchandise purchased from customers.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 and an investment in Albemarle &amp; Bond Holdings PLC, a U.K. pawnbroking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latest information on EZCORP, please visit our website at: </w:t>
      </w:r>
      <w:r>
        <w:rPr>
          <w:rFonts w:ascii="Times New Roman" w:cs="Times New Roman" w:eastAsia="Times New Roman" w:hAnsi="Times New Roman"/>
          <w:sz w:val="22"/>
          <w:szCs w:val="22"/>
          <w:u w:val="single" w:color="auto"/>
          <w:color w:val="0000FF"/>
        </w:rPr>
        <w:t>http://investors.ezcorp.com/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This announcement contains certain forward-looking statements regarding the company’s expected operating and financial performance for future periods. These statements are based on the </w:t>
      </w:r>
      <w:r>
        <w:rPr>
          <w:rFonts w:ascii="Times New Roman" w:cs="Times New Roman" w:eastAsia="Times New Roman" w:hAnsi="Times New Roman"/>
          <w:sz w:val="18"/>
          <w:szCs w:val="18"/>
          <w:color w:val="auto"/>
        </w:rPr>
        <w:t>company’s</w:t>
      </w:r>
      <w:r>
        <w:rPr>
          <w:rFonts w:ascii="Times New Roman" w:cs="Times New Roman" w:eastAsia="Times New Roman" w:hAnsi="Times New Roman"/>
          <w:sz w:val="21"/>
          <w:szCs w:val="21"/>
          <w:color w:val="auto"/>
        </w:rPr>
        <w:t xml:space="preserve">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Trinske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EZCORP,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(512) 314-2220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11</w:t>
      </w:r>
    </w:p>
    <w:p>
      <w:pPr>
        <w:sectPr>
          <w:pgSz w:w="11900" w:h="16838" w:orient="portrait"/>
          <w:cols w:equalWidth="0" w:num="1">
            <w:col w:w="11420"/>
          </w:cols>
          <w:pgMar w:left="240" w:top="585"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 of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325"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Merchandise sales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105,587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94,604</w:t>
            </w:r>
          </w:p>
        </w:tc>
      </w:tr>
      <w:tr>
        <w:trPr>
          <w:trHeight w:val="265"/>
        </w:trPr>
        <w:tc>
          <w:tcPr>
            <w:tcW w:w="9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Jewelry scrapping sales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44,709</w:t>
            </w:r>
          </w:p>
        </w:tc>
      </w:tr>
      <w:tr>
        <w:trPr>
          <w:trHeight w:val="275"/>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Pawn service charges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64,133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65,400</w:t>
            </w:r>
          </w:p>
        </w:tc>
      </w:tr>
      <w:tr>
        <w:trPr>
          <w:trHeight w:val="265"/>
        </w:trPr>
        <w:tc>
          <w:tcPr>
            <w:tcW w:w="9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 loan fees and interest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66,329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63,134</w:t>
            </w:r>
          </w:p>
        </w:tc>
      </w:tr>
      <w:tr>
        <w:trPr>
          <w:trHeight w:val="270"/>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4,814</w:t>
            </w:r>
          </w:p>
        </w:tc>
      </w:tr>
      <w:tr>
        <w:trPr>
          <w:trHeight w:val="250"/>
        </w:trPr>
        <w:tc>
          <w:tcPr>
            <w:tcW w:w="9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269,357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272,661</w:t>
            </w:r>
          </w:p>
        </w:tc>
      </w:tr>
      <w:tr>
        <w:trPr>
          <w:trHeight w:val="275"/>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Merchandise cost of goods sold</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63,588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54,945</w:t>
            </w:r>
          </w:p>
        </w:tc>
      </w:tr>
      <w:tr>
        <w:trPr>
          <w:trHeight w:val="26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Jewelry scrapping cost of goods sold</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31,305</w:t>
            </w: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loan bad debt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18,432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13,521</w:t>
            </w:r>
          </w:p>
        </w:tc>
      </w:tr>
      <w:tr>
        <w:trPr>
          <w:trHeight w:val="250"/>
        </w:trPr>
        <w:tc>
          <w:tcPr>
            <w:tcW w:w="9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revenues</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172,890</w:t>
            </w:r>
          </w:p>
        </w:tc>
      </w:tr>
      <w:tr>
        <w:trPr>
          <w:trHeight w:val="275"/>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9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Operations</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112,769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103,285</w:t>
            </w:r>
          </w:p>
        </w:tc>
      </w:tr>
      <w:tr>
        <w:trPr>
          <w:trHeight w:val="275"/>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13,671</w:t>
            </w:r>
          </w:p>
        </w:tc>
      </w:tr>
      <w:tr>
        <w:trPr>
          <w:trHeight w:val="265"/>
        </w:trPr>
        <w:tc>
          <w:tcPr>
            <w:tcW w:w="9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6,560</w:t>
            </w:r>
          </w:p>
        </w:tc>
      </w:tr>
      <w:tr>
        <w:trPr>
          <w:trHeight w:val="275"/>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714</w:t>
            </w:r>
          </w:p>
        </w:tc>
      </w:tr>
      <w:tr>
        <w:trPr>
          <w:trHeight w:val="265"/>
        </w:trPr>
        <w:tc>
          <w:tcPr>
            <w:tcW w:w="9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(Gain) loss on sale or disposal of assets</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(6,290)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50"/>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131,630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124,259</w:t>
            </w:r>
          </w:p>
        </w:tc>
      </w:tr>
      <w:tr>
        <w:trPr>
          <w:trHeight w:val="250"/>
        </w:trPr>
        <w:tc>
          <w:tcPr>
            <w:tcW w:w="9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48,631</w:t>
            </w:r>
          </w:p>
        </w:tc>
      </w:tr>
      <w:tr>
        <w:trPr>
          <w:trHeight w:val="275"/>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3,637</w:t>
            </w:r>
          </w:p>
        </w:tc>
      </w:tr>
      <w:tr>
        <w:trPr>
          <w:trHeight w:val="26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net income of unconsolidated affiliates</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10"/>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220" w:type="dxa"/>
            <w:vAlign w:val="bottom"/>
          </w:tcPr>
          <w:p>
            <w:pPr>
              <w:spacing w:after="0"/>
              <w:rPr>
                <w:sz w:val="18"/>
                <w:szCs w:val="18"/>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50,533</w:t>
            </w: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16,672</w:t>
            </w:r>
          </w:p>
        </w:tc>
      </w:tr>
      <w:tr>
        <w:trPr>
          <w:trHeight w:val="210"/>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net of tax</w:t>
            </w:r>
          </w:p>
        </w:tc>
        <w:tc>
          <w:tcPr>
            <w:tcW w:w="220" w:type="dxa"/>
            <w:vAlign w:val="bottom"/>
          </w:tcPr>
          <w:p>
            <w:pPr>
              <w:spacing w:after="0"/>
              <w:rPr>
                <w:sz w:val="18"/>
                <w:szCs w:val="18"/>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33,861</w:t>
            </w: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210"/>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8"/>
                <w:szCs w:val="18"/>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32,155</w:t>
            </w: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redeemable noncontrolling interest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r>
      <w:tr>
        <w:trPr>
          <w:trHeight w:val="255"/>
        </w:trPr>
        <w:tc>
          <w:tcPr>
            <w:tcW w:w="9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r>
      <w:tr>
        <w:trPr>
          <w:trHeight w:val="210"/>
        </w:trPr>
        <w:tc>
          <w:tcPr>
            <w:tcW w:w="9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6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 attributable to EZCORP, Inc.:</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5"/>
        </w:trPr>
        <w:tc>
          <w:tcPr>
            <w:tcW w:w="9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r>
      <w:tr>
        <w:trPr>
          <w:trHeight w:val="265"/>
        </w:trPr>
        <w:tc>
          <w:tcPr>
            <w:tcW w:w="94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42"/>
        </w:trPr>
        <w:tc>
          <w:tcPr>
            <w:tcW w:w="9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0.59</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9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52,112</w:t>
            </w:r>
          </w:p>
        </w:tc>
      </w:tr>
      <w:tr>
        <w:trPr>
          <w:trHeight w:val="230"/>
        </w:trPr>
        <w:tc>
          <w:tcPr>
            <w:tcW w:w="9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from continuing operations attributable to EZCORP, Inc.</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32,423</w:t>
            </w:r>
          </w:p>
        </w:tc>
      </w:tr>
      <w:tr>
        <w:trPr>
          <w:trHeight w:val="265"/>
        </w:trPr>
        <w:tc>
          <w:tcPr>
            <w:tcW w:w="9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attributable to EZCORP, Inc.</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242"/>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 of 11</w:t>
      </w:r>
    </w:p>
    <w:p>
      <w:pPr>
        <w:sectPr>
          <w:pgSz w:w="11900" w:h="16838" w:orient="portrait"/>
          <w:cols w:equalWidth="0" w:num="1">
            <w:col w:w="11420"/>
          </w:cols>
          <w:pgMar w:left="240" w:top="792" w:right="239" w:bottom="1440" w:gutter="0" w:footer="0" w:header="0"/>
          <w:type w:val="continuous"/>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Highlights of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380"/>
          </w:cols>
          <w:pgMar w:left="28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Current assets: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Restricted cash</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Pawn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Consumer loans, net</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Pawn service charges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Consumer loan fees and interest receivable, net</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Deferred tax asset</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Investments in unconsolidated affiliates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Restricted cash, non-current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Non-current consumer loans,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tax asset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Current capital lease obligations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Accounts payable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Other current liabilities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Customer layaway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Income taxes payable</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Long-term debt, less current maturities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Long-term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tax liability</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gains and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Total liabilities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Temporary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Redeemable noncontrolling interest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EZCORP,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2013</w:t>
      </w:r>
      <w:r>
        <w:rPr>
          <w:sz w:val="20"/>
          <w:szCs w:val="20"/>
          <w:color w:val="auto"/>
        </w:rPr>
        <w:tab/>
      </w:r>
      <w:r>
        <w:rPr>
          <w:rFonts w:ascii="Times New Roman" w:cs="Times New Roman" w:eastAsia="Times New Roman" w:hAnsi="Times New Roman"/>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38,486</w:t>
            </w:r>
          </w:p>
        </w:tc>
        <w:tc>
          <w:tcPr>
            <w:tcW w:w="100" w:type="dxa"/>
            <w:vAlign w:val="bottom"/>
          </w:tcPr>
          <w:p>
            <w:pPr>
              <w:spacing w:after="0"/>
              <w:rPr>
                <w:sz w:val="15"/>
                <w:szCs w:val="15"/>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46,668</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153,421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162,150</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82,807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40,470</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30,842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31,077</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40,181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34,073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142,711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120,271</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13,825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15,716</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42,895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50,394</w:t>
            </w:r>
          </w:p>
        </w:tc>
      </w:tr>
      <w:tr>
        <w:trPr>
          <w:trHeight w:val="243"/>
        </w:trPr>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556,455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501,952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97,424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144,232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114,539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114,082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1,994</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434,835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434,671</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65,178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59,562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60,750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66,615</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7,521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29,685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19,198</w:t>
            </w:r>
          </w:p>
        </w:tc>
      </w:tr>
      <w:tr>
        <w:trPr>
          <w:trHeight w:val="237"/>
        </w:trPr>
        <w:tc>
          <w:tcPr>
            <w:tcW w:w="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1,369,129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1,342,306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83"/>
        </w:trPr>
        <w:tc>
          <w:tcPr>
            <w:tcW w:w="3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16,737</w:t>
            </w:r>
          </w:p>
        </w:tc>
        <w:tc>
          <w:tcPr>
            <w:tcW w:w="100" w:type="dxa"/>
            <w:vAlign w:val="bottom"/>
          </w:tcPr>
          <w:p>
            <w:pPr>
              <w:spacing w:after="0"/>
              <w:rPr>
                <w:sz w:val="24"/>
                <w:szCs w:val="24"/>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27,562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77,619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70,829</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11,106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24,396</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6,254</w:t>
            </w:r>
          </w:p>
        </w:tc>
      </w:tr>
      <w:tr>
        <w:trPr>
          <w:trHeight w:val="278"/>
        </w:trPr>
        <w:tc>
          <w:tcPr>
            <w:tcW w:w="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659</w:t>
            </w:r>
          </w:p>
        </w:tc>
      </w:tr>
      <w:tr>
        <w:trPr>
          <w:trHeight w:val="243"/>
        </w:trPr>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111,777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130,233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235,289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207,978</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771</w:t>
            </w:r>
          </w:p>
        </w:tc>
      </w:tr>
      <w:tr>
        <w:trPr>
          <w:trHeight w:val="270"/>
        </w:trPr>
        <w:tc>
          <w:tcPr>
            <w:tcW w:w="3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10,815</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22,938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31,019</w:t>
            </w:r>
          </w:p>
        </w:tc>
      </w:tr>
      <w:tr>
        <w:trPr>
          <w:trHeight w:val="243"/>
        </w:trPr>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370,257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380,816</w:t>
            </w:r>
          </w:p>
        </w:tc>
      </w:tr>
      <w:tr>
        <w:trPr>
          <w:trHeight w:val="540"/>
        </w:trPr>
        <w:tc>
          <w:tcPr>
            <w:tcW w:w="30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57,578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49,323</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941,294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912,167</w:t>
            </w:r>
          </w:p>
        </w:tc>
      </w:tr>
      <w:tr>
        <w:trPr>
          <w:trHeight w:val="237"/>
        </w:trPr>
        <w:tc>
          <w:tcPr>
            <w:tcW w:w="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1,369,129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1,342,306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400"/>
          </w:cols>
          <w:pgMar w:left="280" w:top="576" w:right="239" w:bottom="1440" w:gutter="0" w:footer="0" w:header="0"/>
          <w:type w:val="continuous"/>
        </w:sect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 of 11</w:t>
      </w:r>
    </w:p>
    <w:p>
      <w:pPr>
        <w:sectPr>
          <w:pgSz w:w="11900" w:h="16838" w:orient="portrait"/>
          <w:cols w:equalWidth="0" w:num="1">
            <w:col w:w="11380"/>
          </w:cols>
          <w:pgMar w:left="280" w:top="576" w:right="2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105,587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27,703</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64,133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66,329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5,605</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269,357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63,588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18,432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167,317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expenses (income):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112,769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1,295</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sale or disposal of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contribution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44,610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51,915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32,794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9,881</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22,913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24,395</w:t>
            </w:r>
          </w:p>
        </w:tc>
      </w:tr>
      <w:tr>
        <w:trPr>
          <w:trHeight w:val="27"/>
        </w:trPr>
        <w:tc>
          <w:tcPr>
            <w:tcW w:w="66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1,826</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EZCORP, Inc.</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22,569</w:t>
            </w: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 of 11</w:t>
      </w:r>
    </w:p>
    <w:p>
      <w:pPr>
        <w:sectPr>
          <w:pgSz w:w="11900" w:h="16838" w:orient="portrait"/>
          <w:cols w:equalWidth="0" w:num="1">
            <w:col w:w="11420"/>
          </w:cols>
          <w:pgMar w:left="240" w:top="576"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Merchandise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94,604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44,709</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Pawn service charges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63,134</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272,661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Merchandise cost of goods sold</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54,945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31,305</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loan bad debt expense (benefit)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172,890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expenses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103,285</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income of unconsolidated affiliates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52,232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66,562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13,671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50,533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33,861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32,155</w:t>
            </w:r>
          </w:p>
        </w:tc>
        <w:tc>
          <w:tcPr>
            <w:tcW w:w="0" w:type="dxa"/>
            <w:vAlign w:val="bottom"/>
          </w:tcPr>
          <w:p>
            <w:pPr>
              <w:spacing w:after="0"/>
              <w:rPr>
                <w:sz w:val="1"/>
                <w:szCs w:val="1"/>
                <w:color w:val="auto"/>
              </w:rPr>
            </w:pPr>
          </w:p>
        </w:tc>
      </w:tr>
      <w:tr>
        <w:trPr>
          <w:trHeight w:val="243"/>
        </w:trPr>
        <w:tc>
          <w:tcPr>
            <w:tcW w:w="7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redeemable noncontrolling interest</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EZCORP, Inc.</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30,717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11</w:t>
      </w:r>
    </w:p>
    <w:p>
      <w:pPr>
        <w:sectPr>
          <w:pgSz w:w="11900" w:h="16838" w:orient="portrait"/>
          <w:cols w:equalWidth="0" w:num="1">
            <w:col w:w="11420"/>
          </w:cols>
          <w:pgMar w:left="240" w:top="100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Store Count Activity</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vMerge w:val="restart"/>
          </w:tcPr>
          <w:p>
            <w:pPr>
              <w:spacing w:after="0"/>
              <w:rPr>
                <w:sz w:val="12"/>
                <w:szCs w:val="12"/>
                <w:color w:val="auto"/>
              </w:rPr>
            </w:pPr>
          </w:p>
        </w:tc>
        <w:tc>
          <w:tcPr>
            <w:tcW w:w="15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Acquired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December 31, 2012</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Franchises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vMerge w:val="restart"/>
          </w:tcPr>
          <w:p>
            <w:pPr>
              <w:spacing w:after="0"/>
              <w:rPr>
                <w:sz w:val="12"/>
                <w:szCs w:val="12"/>
                <w:color w:val="auto"/>
              </w:rPr>
            </w:pPr>
          </w:p>
        </w:tc>
        <w:tc>
          <w:tcPr>
            <w:tcW w:w="15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 novo</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Stores in continuing operations:</w:t>
            </w: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of 11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 December 31,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Three Months Ended December 31, 2012</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22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Segment Contribution:</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&amp; Canada*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44,610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2,778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47,388</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52,232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52,628</w:t>
            </w:r>
          </w:p>
        </w:tc>
        <w:tc>
          <w:tcPr>
            <w:tcW w:w="0" w:type="dxa"/>
            <w:vAlign w:val="bottom"/>
          </w:tcPr>
          <w:p>
            <w:pPr>
              <w:spacing w:after="0"/>
              <w:rPr>
                <w:sz w:val="1"/>
                <w:szCs w:val="1"/>
                <w:color w:val="auto"/>
              </w:rPr>
            </w:pPr>
          </w:p>
        </w:tc>
      </w:tr>
      <w:tr>
        <w:trPr>
          <w:trHeight w:val="27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Latin America</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9,728</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International**</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2,239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4,602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3,725</w:t>
            </w:r>
          </w:p>
        </w:tc>
        <w:tc>
          <w:tcPr>
            <w:tcW w:w="0" w:type="dxa"/>
            <w:vAlign w:val="bottom"/>
          </w:tcPr>
          <w:p>
            <w:pPr>
              <w:spacing w:after="0"/>
              <w:rPr>
                <w:sz w:val="1"/>
                <w:szCs w:val="1"/>
                <w:color w:val="auto"/>
              </w:rPr>
            </w:pPr>
          </w:p>
        </w:tc>
      </w:tr>
      <w:tr>
        <w:trPr>
          <w:trHeight w:val="25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Segment Contribution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51,915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66,562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66,081</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Administrative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13,671</w:t>
            </w: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7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on sale or disposal of assets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55"/>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50,533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50,052</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9,881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1,716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11,597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16,672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16,831</w:t>
            </w:r>
          </w:p>
        </w:tc>
        <w:tc>
          <w:tcPr>
            <w:tcW w:w="0" w:type="dxa"/>
            <w:vAlign w:val="bottom"/>
          </w:tcPr>
          <w:p>
            <w:pPr>
              <w:spacing w:after="0"/>
              <w:rPr>
                <w:sz w:val="1"/>
                <w:szCs w:val="1"/>
                <w:color w:val="auto"/>
              </w:rPr>
            </w:pPr>
          </w:p>
        </w:tc>
      </w:tr>
      <w:tr>
        <w:trPr>
          <w:trHeight w:val="25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33,221</w:t>
            </w: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55"/>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24,395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3,986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28,381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32,155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31,515</w:t>
            </w:r>
          </w:p>
        </w:tc>
        <w:tc>
          <w:tcPr>
            <w:tcW w:w="0" w:type="dxa"/>
            <w:vAlign w:val="bottom"/>
          </w:tcPr>
          <w:p>
            <w:pPr>
              <w:spacing w:after="0"/>
              <w:rPr>
                <w:sz w:val="1"/>
                <w:szCs w:val="1"/>
                <w:color w:val="auto"/>
              </w:rPr>
            </w:pPr>
          </w:p>
        </w:tc>
      </w:tr>
      <w:tr>
        <w:trPr>
          <w:trHeight w:val="153"/>
        </w:trPr>
        <w:tc>
          <w:tcPr>
            <w:tcW w:w="40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Net income from continuing operations attributable to redeemable</w:t>
            </w:r>
          </w:p>
        </w:tc>
        <w:tc>
          <w:tcPr>
            <w:tcW w:w="240" w:type="dxa"/>
            <w:vAlign w:val="bottom"/>
          </w:tcPr>
          <w:p>
            <w:pPr>
              <w:spacing w:after="0"/>
              <w:rPr>
                <w:sz w:val="13"/>
                <w:szCs w:val="13"/>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93"/>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EZCORP, Inc.</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30,431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52,112</w:t>
            </w:r>
          </w:p>
        </w:tc>
        <w:tc>
          <w:tcPr>
            <w:tcW w:w="0" w:type="dxa"/>
            <w:vAlign w:val="bottom"/>
          </w:tcPr>
          <w:p>
            <w:pPr>
              <w:spacing w:after="0"/>
              <w:rPr>
                <w:sz w:val="1"/>
                <w:szCs w:val="1"/>
                <w:color w:val="auto"/>
              </w:rPr>
            </w:pPr>
          </w:p>
        </w:tc>
      </w:tr>
      <w:tr>
        <w:trPr>
          <w:trHeight w:val="260"/>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EPS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 The U.S. &amp; Canada non-GAAP adjustment is due to losses in our EZOnline business.</w:t>
      </w:r>
    </w:p>
    <w:p>
      <w:pPr>
        <w:spacing w:after="0" w:line="5" w:lineRule="exact"/>
        <w:rPr>
          <w:sz w:val="20"/>
          <w:szCs w:val="20"/>
          <w:color w:val="auto"/>
        </w:rPr>
      </w:pPr>
    </w:p>
    <w:p>
      <w:pPr>
        <w:ind w:right="180" w:firstLine="8"/>
        <w:spacing w:after="0" w:line="239" w:lineRule="auto"/>
        <w:tabs>
          <w:tab w:leader="none" w:pos="15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International non-GAAP adjustment includes a $1.2 million loss and $1.9 million income due to Albemarle &amp; Bond during the three months ended December 31, 2013 and 2012 respectively, and losses of $1.8 million and $0.4 million due to our online business in the U.K. for three months ended December 31, 2013 and 2012 respectively.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11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2020-01-25T20:20:35Z</dcterms:created>
  <dcterms:modified xsi:type="dcterms:W3CDTF">2020-01-25T20:20:35Z</dcterms:modified>
</cp:coreProperties>
</file>