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6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60" w:after="6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60" w:after="60"/>
        <w:jc w:val="center"/>
        <w:rPr>
          <w:rFonts w:ascii="Arial Narrow;sans-serif" w:hAnsi="Arial Narrow;sans-serif"/>
          <w:b/>
          <w:color w:val="000000"/>
          <w:sz w:val="20"/>
        </w:rPr>
      </w:pPr>
      <w:r>
        <w:rPr>
          <w:rFonts w:ascii="Arial Narrow;sans-serif" w:hAnsi="Arial Narrow;sans-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FORM 10-K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2"/>
        <w:gridCol w:w="2402"/>
        <w:gridCol w:w="3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ANNUAL REPORT PURSUANT TO SECTION 13 OR 15(d) OF THE SECURITIES EXCHANGE ACT OF 1934</w:t>
            </w:r>
          </w:p>
        </w:tc>
      </w:tr>
    </w:tbl>
    <w:p>
      <w:pPr>
        <w:pStyle w:val="TextBody"/>
        <w:bidi w:val="0"/>
        <w:spacing w:lineRule="auto" w:line="288" w:before="0" w:after="0"/>
        <w:ind w:left="0" w:right="0" w:firstLine="720"/>
        <w:jc w:val="center"/>
        <w:rPr>
          <w:rFonts w:ascii="Arial Narrow;sans-serif" w:hAnsi="Arial Narrow;sans-serif"/>
          <w:b/>
          <w:color w:val="000000"/>
          <w:sz w:val="20"/>
        </w:rPr>
      </w:pPr>
      <w:r>
        <w:rPr>
          <w:rFonts w:ascii="Arial Narrow;sans-serif" w:hAnsi="Arial Narrow;sans-serif"/>
          <w:b/>
          <w:color w:val="000000"/>
          <w:sz w:val="20"/>
        </w:rPr>
        <w:t>For the Fiscal Year Ended September 30, 2024 or</w:t>
      </w:r>
    </w:p>
    <w:tbl>
      <w:tblPr>
        <w:tblW w:w="918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180" w:after="180"/>
        <w:jc w:val="center"/>
        <w:rPr>
          <w:rFonts w:ascii="Arial Narrow;sans-serif" w:hAnsi="Arial Narrow;sans-serif"/>
          <w:b/>
          <w:color w:val="000000"/>
          <w:sz w:val="20"/>
        </w:rPr>
      </w:pPr>
      <w:r>
        <w:rPr>
          <w:rFonts w:ascii="Arial Narrow;sans-serif" w:hAnsi="Arial Narrow;sans-serif"/>
          <w:b/>
          <w:color w:val="000000"/>
          <w:sz w:val="20"/>
        </w:rPr>
        <w:t>Commission File No. 0-19424</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EZCORP, INC.</w:t>
      </w:r>
    </w:p>
    <w:p>
      <w:pPr>
        <w:pStyle w:val="TextBody"/>
        <w:bidi w:val="0"/>
        <w:spacing w:lineRule="auto" w:line="288" w:before="60" w:after="283"/>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Registrant’s telephone number, including area code:</w:t>
      </w:r>
      <w:r>
        <w:rPr>
          <w:color w:val="000000"/>
        </w:rPr>
        <w:t xml:space="preserve"> </w:t>
      </w:r>
      <w:r>
        <w:rPr>
          <w:rFonts w:ascii="Arial Narrow;sans-serif" w:hAnsi="Arial Narrow;sans-serif"/>
          <w:b/>
          <w:color w:val="000000"/>
          <w:sz w:val="16"/>
        </w:rPr>
        <w:t>(512) 314-3400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Securities Registered Pursuant to Section 12(b) of the Act:</w:t>
      </w:r>
    </w:p>
    <w:tbl>
      <w:tblPr>
        <w:tblW w:w="9548" w:type="dxa"/>
        <w:jc w:val="center"/>
        <w:tblInd w:w="0" w:type="dxa"/>
        <w:tblLayout w:type="fixed"/>
        <w:tblCellMar>
          <w:top w:w="28" w:type="dxa"/>
          <w:left w:w="28" w:type="dxa"/>
          <w:bottom w:w="28" w:type="dxa"/>
          <w:right w:w="28" w:type="dxa"/>
        </w:tblCellMar>
      </w:tblPr>
      <w:tblGrid>
        <w:gridCol w:w="1537"/>
        <w:gridCol w:w="1357"/>
        <w:gridCol w:w="1366"/>
        <w:gridCol w:w="109"/>
        <w:gridCol w:w="109"/>
        <w:gridCol w:w="109"/>
        <w:gridCol w:w="454"/>
        <w:gridCol w:w="454"/>
        <w:gridCol w:w="456"/>
        <w:gridCol w:w="109"/>
        <w:gridCol w:w="109"/>
        <w:gridCol w:w="109"/>
        <w:gridCol w:w="956"/>
        <w:gridCol w:w="956"/>
        <w:gridCol w:w="1358"/>
      </w:tblGrid>
      <w:tr>
        <w:trPr/>
        <w:tc>
          <w:tcPr>
            <w:tcW w:w="153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Class A Non-voting Common Stock, $.01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The NASDAQ Stock Market</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0" w:after="0"/>
        <w:jc w:val="left"/>
        <w:rPr/>
      </w:pPr>
      <w:r>
        <w:rPr>
          <w:rFonts w:ascii="Arial Narrow;sans-serif" w:hAnsi="Arial Narrow;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60" w:after="283"/>
        <w:jc w:val="left"/>
        <w:rPr/>
      </w:pPr>
      <w:r>
        <w:rPr>
          <w:rFonts w:ascii="Arial Narrow;sans-serif" w:hAnsi="Arial Narrow;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60" w:after="283"/>
        <w:jc w:val="left"/>
        <w:rPr/>
      </w:pPr>
      <w:r>
        <w:rPr>
          <w:rFonts w:ascii="Arial Narrow;sans-serif" w:hAnsi="Arial Narrow;sans-serif"/>
          <w:b w:val="false"/>
          <w:color w:val="000000"/>
          <w:sz w:val="16"/>
        </w:rPr>
        <w:t xml:space="preserve">Indicate by check mark whether the registrant is a shell company (as defined in Rule 12b-2 of the Exchange Act). Yes </w:t>
      </w:r>
      <w:r>
        <w:rPr>
          <w:color w:val="000000"/>
        </w:rPr>
        <w:t xml:space="preserve">☐ </w:t>
      </w:r>
      <w:r>
        <w:rPr>
          <w:rFonts w:ascii="Arial Narrow;sans-serif" w:hAnsi="Arial Narrow;sans-serif"/>
          <w:b w:val="false"/>
          <w:color w:val="000000"/>
          <w:sz w:val="16"/>
        </w:rPr>
        <w:t xml:space="preserve">No </w:t>
      </w:r>
      <w:r>
        <w:rPr>
          <w:color w:val="000000"/>
        </w:rPr>
        <w:t>☑</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$567 million, based on the closing price on the NASDAQ Stock Market on March 31, 2024.</w:t>
      </w:r>
    </w:p>
    <w:p>
      <w:pPr>
        <w:pStyle w:val="TextBody"/>
        <w:bidi w:val="0"/>
        <w:spacing w:lineRule="auto" w:line="288" w:before="60" w:after="283"/>
        <w:jc w:val="left"/>
        <w:rPr/>
      </w:pPr>
      <w:r>
        <w:rPr>
          <w:rFonts w:ascii="Arial Narrow;sans-serif" w:hAnsi="Arial Narrow;sans-serif"/>
          <w:b w:val="false"/>
          <w:color w:val="000000"/>
          <w:sz w:val="16"/>
        </w:rPr>
        <w:t>As of November 6, 2024, 51,495,277 shares of the registrant’s Class A Non-Voting Common Stock, par value $.01 per share, and 2,970,171 shares of the registrant’s Class B Voting Common Stock, par value $.01 pe</w:t>
      </w:r>
      <w:r>
        <w:rPr>
          <w:rFonts w:ascii="Arial Narrow;sans-serif" w:hAnsi="Arial Narrow;sans-serif"/>
          <w:b w:val="false"/>
          <w:color w:val="000000"/>
          <w:sz w:val="16"/>
          <w:shd w:fill="FFFFFF" w:val="clear"/>
        </w:rPr>
        <w:t>r share, were outstanding.</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Documents incorporated by reference: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 xml:space="preserve">FISCAL YEAR ENDED SEPTEMBER 30, 2024 </w:t>
      </w:r>
    </w:p>
    <w:p>
      <w:pPr>
        <w:pStyle w:val="TextBody"/>
        <w:bidi w:val="0"/>
        <w:spacing w:lineRule="auto" w:line="288" w:before="60" w:after="283"/>
        <w:jc w:val="center"/>
        <w:rPr>
          <w:rFonts w:ascii="Arial Narrow;sans-serif" w:hAnsi="Arial Narrow;sans-serif"/>
          <w:b/>
          <w:color w:val="000000"/>
          <w:sz w:val="20"/>
        </w:rPr>
      </w:pPr>
      <w:r>
        <w:rPr>
          <w:rFonts w:ascii="Arial Narrow;sans-serif" w:hAnsi="Arial Narrow;sans-serif"/>
          <w:b/>
          <w:color w:val="000000"/>
          <w:sz w:val="20"/>
        </w:rPr>
        <w:t>INDEX TO FORM 10-K</w:t>
      </w:r>
    </w:p>
    <w:tbl>
      <w:tblPr>
        <w:tblW w:w="8730" w:type="dxa"/>
        <w:jc w:val="center"/>
        <w:tblInd w:w="0" w:type="dxa"/>
        <w:tblLayout w:type="fixed"/>
        <w:tblCellMar>
          <w:top w:w="28" w:type="dxa"/>
          <w:left w:w="28" w:type="dxa"/>
          <w:bottom w:w="28" w:type="dxa"/>
          <w:right w:w="28" w:type="dxa"/>
        </w:tblCellMar>
      </w:tblPr>
      <w:tblGrid>
        <w:gridCol w:w="2952"/>
        <w:gridCol w:w="2575"/>
        <w:gridCol w:w="2677"/>
        <w:gridCol w:w="154"/>
        <w:gridCol w:w="154"/>
        <w:gridCol w:w="218"/>
      </w:tblGrid>
      <w:tr>
        <w:trPr/>
        <w:tc>
          <w:tcPr>
            <w:tcW w:w="295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Page</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No.</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No.</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0">
              <w:r>
                <w:rPr>
                  <w:rStyle w:val="InternetLink"/>
                  <w:rFonts w:ascii="Arial Narrow;sans-serif" w:hAnsi="Arial Narrow;sans-serif"/>
                  <w:b/>
                  <w:color w:val="0000FF"/>
                  <w:sz w:val="20"/>
                  <w:u w:val="single"/>
                </w:rPr>
                <w:t>PART 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3">
              <w:r>
                <w:rPr>
                  <w:rStyle w:val="InternetLink"/>
                  <w:rFonts w:ascii="Arial Narrow;sans-serif" w:hAnsi="Arial Narrow;sans-serif"/>
                  <w:b w:val="false"/>
                  <w:color w:val="0000FF"/>
                  <w:sz w:val="20"/>
                  <w:u w:val="single"/>
                </w:rPr>
                <w:t>1. Business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13">
              <w:r>
                <w:rPr>
                  <w:rStyle w:val="InternetLink"/>
                  <w:rFonts w:ascii="Arial Narrow;sans-serif" w:hAnsi="Arial Narrow;sans-serif"/>
                  <w:b w:val="false"/>
                  <w:color w:val="0000FF"/>
                  <w:sz w:val="20"/>
                  <w:u w:val="single"/>
                </w:rPr>
                <w:t>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52">
              <w:r>
                <w:rPr>
                  <w:rStyle w:val="InternetLink"/>
                  <w:rFonts w:ascii="Arial Narrow;sans-serif" w:hAnsi="Arial Narrow;sans-serif"/>
                  <w:b w:val="false"/>
                  <w:color w:val="0000FF"/>
                  <w:sz w:val="20"/>
                  <w:u w:val="single"/>
                </w:rPr>
                <w:t>1A. 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52">
              <w:r>
                <w:rPr>
                  <w:rStyle w:val="InternetLink"/>
                  <w:rFonts w:ascii="Arial Narrow;sans-serif" w:hAnsi="Arial Narrow;sans-serif"/>
                  <w:b w:val="false"/>
                  <w:color w:val="0000FF"/>
                  <w:sz w:val="20"/>
                  <w:u w:val="single"/>
                </w:rPr>
                <w:t>15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55">
              <w:r>
                <w:rPr>
                  <w:rStyle w:val="InternetLink"/>
                  <w:rFonts w:ascii="Arial Narrow;sans-serif" w:hAnsi="Arial Narrow;sans-serif"/>
                  <w:b w:val="false"/>
                  <w:color w:val="0000FF"/>
                  <w:sz w:val="20"/>
                  <w:u w:val="single"/>
                </w:rPr>
                <w:t>1B. Unresolved Staff Comments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55">
              <w:r>
                <w:rPr>
                  <w:rStyle w:val="InternetLink"/>
                  <w:rFonts w:ascii="Arial Narrow;sans-serif" w:hAnsi="Arial Narrow;sans-serif"/>
                  <w:b w:val="false"/>
                  <w:color w:val="0000FF"/>
                  <w:sz w:val="20"/>
                  <w:u w:val="single"/>
                </w:rPr>
                <w:t>14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207">
              <w:r>
                <w:rPr>
                  <w:rStyle w:val="InternetLink"/>
                  <w:rFonts w:ascii="Arial Narrow;sans-serif" w:hAnsi="Arial Narrow;sans-serif"/>
                  <w:b w:val="false"/>
                  <w:color w:val="0000FF"/>
                  <w:sz w:val="20"/>
                  <w:u w:val="single"/>
                </w:rPr>
                <w:t>1C. Cybersecurity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207">
              <w:r>
                <w:rPr>
                  <w:rStyle w:val="InternetLink"/>
                  <w:rFonts w:ascii="Arial Narrow;sans-serif" w:hAnsi="Arial Narrow;sans-serif"/>
                  <w:b w:val="false"/>
                  <w:color w:val="0000FF"/>
                  <w:sz w:val="20"/>
                  <w:u w:val="single"/>
                </w:rPr>
                <w:t>21</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58">
              <w:r>
                <w:rPr>
                  <w:rStyle w:val="InternetLink"/>
                  <w:rFonts w:ascii="Arial Narrow;sans-serif" w:hAnsi="Arial Narrow;sans-serif"/>
                  <w:b w:val="false"/>
                  <w:color w:val="0000FF"/>
                  <w:sz w:val="20"/>
                  <w:u w:val="single"/>
                </w:rPr>
                <w:t>2. Properties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58">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61">
              <w:r>
                <w:rPr>
                  <w:rStyle w:val="InternetLink"/>
                  <w:rFonts w:ascii="Arial Narrow;sans-serif" w:hAnsi="Arial Narrow;sans-serif"/>
                  <w:b w:val="false"/>
                  <w:color w:val="0000FF"/>
                  <w:sz w:val="20"/>
                  <w:u w:val="single"/>
                </w:rPr>
                <w:t>3. 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61">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64">
              <w:r>
                <w:rPr>
                  <w:rStyle w:val="InternetLink"/>
                  <w:rFonts w:ascii="Arial Narrow;sans-serif" w:hAnsi="Arial Narrow;sans-serif"/>
                  <w:b w:val="false"/>
                  <w:color w:val="0033FF"/>
                  <w:sz w:val="20"/>
                  <w:u w:val="single"/>
                </w:rPr>
                <w:t>4. 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64">
              <w:r>
                <w:rPr>
                  <w:rStyle w:val="InternetLink"/>
                  <w:rFonts w:ascii="Arial Narrow;sans-serif" w:hAnsi="Arial Narrow;sans-serif"/>
                  <w:b w:val="false"/>
                  <w:color w:val="0000FF"/>
                  <w:sz w:val="20"/>
                  <w:u w:val="single"/>
                </w:rPr>
                <w:t>22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67">
              <w:r>
                <w:rPr>
                  <w:rStyle w:val="InternetLink"/>
                  <w:rFonts w:ascii="Arial Narrow;sans-serif" w:hAnsi="Arial Narrow;sans-serif"/>
                  <w:b/>
                  <w:color w:val="0000FF"/>
                  <w:sz w:val="20"/>
                  <w:u w:val="single"/>
                </w:rPr>
                <w:t>PART II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70">
              <w:r>
                <w:rPr>
                  <w:rStyle w:val="InternetLink"/>
                  <w:rFonts w:ascii="Arial Narrow;sans-serif" w:hAnsi="Arial Narrow;sans-serif"/>
                  <w:b w:val="false"/>
                  <w:color w:val="0000FF"/>
                  <w:sz w:val="20"/>
                  <w:u w:val="single"/>
                </w:rPr>
                <w:t>5. Market for Registrant’s Common Equity, Related Stockholder Matters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70">
              <w:r>
                <w:rPr>
                  <w:rStyle w:val="InternetLink"/>
                  <w:rFonts w:ascii="Arial Narrow;sans-serif" w:hAnsi="Arial Narrow;sans-serif"/>
                  <w:b w:val="false"/>
                  <w:color w:val="0000FF"/>
                  <w:sz w:val="20"/>
                  <w:u w:val="single"/>
                </w:rPr>
                <w:t>23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73">
              <w:r>
                <w:rPr>
                  <w:rStyle w:val="InternetLink"/>
                  <w:rFonts w:ascii="Arial Narrow;sans-serif" w:hAnsi="Arial Narrow;sans-serif"/>
                  <w:b w:val="false"/>
                  <w:color w:val="0000FF"/>
                  <w:sz w:val="20"/>
                  <w:u w:val="single"/>
                </w:rPr>
                <w:t>6. [Reserved]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73">
              <w:r>
                <w:rPr>
                  <w:rStyle w:val="InternetLink"/>
                  <w:rFonts w:ascii="Arial Narrow;sans-serif" w:hAnsi="Arial Narrow;sans-serif"/>
                  <w:b w:val="false"/>
                  <w:color w:val="0000FF"/>
                  <w:sz w:val="20"/>
                  <w:u w:val="single"/>
                </w:rPr>
                <w:t>24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79">
              <w:r>
                <w:rPr>
                  <w:rStyle w:val="InternetLink"/>
                  <w:rFonts w:ascii="Arial Narrow;sans-serif" w:hAnsi="Arial Narrow;sans-serif"/>
                  <w:b w:val="false"/>
                  <w:color w:val="0000FF"/>
                  <w:sz w:val="20"/>
                  <w:u w:val="single"/>
                </w:rPr>
                <w:t>7. 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79">
              <w:r>
                <w:rPr>
                  <w:rStyle w:val="InternetLink"/>
                  <w:rFonts w:ascii="Arial Narrow;sans-serif" w:hAnsi="Arial Narrow;sans-serif"/>
                  <w:b w:val="false"/>
                  <w:color w:val="0000FF"/>
                  <w:sz w:val="20"/>
                  <w:u w:val="single"/>
                </w:rPr>
                <w:t>25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12">
              <w:r>
                <w:rPr>
                  <w:rStyle w:val="InternetLink"/>
                  <w:rFonts w:ascii="Arial Narrow;sans-serif" w:hAnsi="Arial Narrow;sans-serif"/>
                  <w:b w:val="false"/>
                  <w:color w:val="0000FF"/>
                  <w:sz w:val="20"/>
                  <w:u w:val="single"/>
                </w:rPr>
                <w:t>7A. 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112">
              <w:r>
                <w:rPr>
                  <w:rStyle w:val="InternetLink"/>
                  <w:rFonts w:ascii="Arial Narrow;sans-serif" w:hAnsi="Arial Narrow;sans-serif"/>
                  <w:b w:val="false"/>
                  <w:color w:val="0000FF"/>
                  <w:sz w:val="20"/>
                  <w:u w:val="single"/>
                </w:rPr>
                <w:t>36</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15">
              <w:r>
                <w:rPr>
                  <w:rStyle w:val="InternetLink"/>
                  <w:rFonts w:ascii="Arial Narrow;sans-serif" w:hAnsi="Arial Narrow;sans-serif"/>
                  <w:b w:val="false"/>
                  <w:color w:val="0000FF"/>
                  <w:sz w:val="20"/>
                  <w:u w:val="single"/>
                </w:rPr>
                <w:t>8. Financial Statements and Supplementary Data</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115">
              <w:r>
                <w:rPr>
                  <w:rStyle w:val="InternetLink"/>
                  <w:rFonts w:ascii="Arial Narrow;sans-serif" w:hAnsi="Arial Narrow;sans-serif"/>
                  <w:b w:val="false"/>
                  <w:color w:val="0000FF"/>
                  <w:sz w:val="20"/>
                  <w:u w:val="single"/>
                </w:rPr>
                <w:t>37</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99">
              <w:r>
                <w:rPr>
                  <w:rStyle w:val="InternetLink"/>
                  <w:rFonts w:ascii="Arial Narrow;sans-serif" w:hAnsi="Arial Narrow;sans-serif"/>
                  <w:b w:val="false"/>
                  <w:color w:val="0000FF"/>
                  <w:sz w:val="20"/>
                  <w:u w:val="single"/>
                </w:rPr>
                <w:t>9. Changes in and Disagreements with Accountants on Accounting and Financial Disclosure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199">
              <w:r>
                <w:rPr>
                  <w:rStyle w:val="InternetLink"/>
                  <w:rFonts w:ascii="Arial Narrow;sans-serif" w:hAnsi="Arial Narrow;sans-serif"/>
                  <w:b w:val="false"/>
                  <w:color w:val="0000FF"/>
                  <w:sz w:val="20"/>
                  <w:u w:val="single"/>
                </w:rPr>
                <w:t>70</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02">
              <w:r>
                <w:rPr>
                  <w:rStyle w:val="InternetLink"/>
                  <w:rFonts w:ascii="Arial Narrow;sans-serif" w:hAnsi="Arial Narrow;sans-serif"/>
                  <w:b w:val="false"/>
                  <w:color w:val="0000FF"/>
                  <w:sz w:val="20"/>
                  <w:u w:val="single"/>
                </w:rPr>
                <w:t>9A. 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02">
              <w:r>
                <w:rPr>
                  <w:rStyle w:val="InternetLink"/>
                  <w:rFonts w:ascii="Arial Narrow;sans-serif" w:hAnsi="Arial Narrow;sans-serif"/>
                  <w:b w:val="false"/>
                  <w:color w:val="0000FF"/>
                  <w:sz w:val="20"/>
                  <w:u w:val="single"/>
                </w:rPr>
                <w:t>70</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11">
              <w:r>
                <w:rPr>
                  <w:rStyle w:val="InternetLink"/>
                  <w:rFonts w:ascii="Arial Narrow;sans-serif" w:hAnsi="Arial Narrow;sans-serif"/>
                  <w:b w:val="false"/>
                  <w:color w:val="0000FF"/>
                  <w:sz w:val="20"/>
                  <w:u w:val="single"/>
                </w:rPr>
                <w:t>9B. 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11">
              <w:r>
                <w:rPr>
                  <w:rStyle w:val="InternetLink"/>
                  <w:rFonts w:ascii="Arial Narrow;sans-serif" w:hAnsi="Arial Narrow;sans-serif"/>
                  <w:b w:val="false"/>
                  <w:color w:val="0000FF"/>
                  <w:sz w:val="20"/>
                  <w:u w:val="single"/>
                </w:rPr>
                <w:t>73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11">
              <w:r>
                <w:rPr>
                  <w:rStyle w:val="InternetLink"/>
                  <w:rFonts w:ascii="Arial Narrow;sans-serif" w:hAnsi="Arial Narrow;sans-serif"/>
                  <w:b w:val="false"/>
                  <w:color w:val="0000FF"/>
                  <w:sz w:val="20"/>
                  <w:u w:val="single"/>
                </w:rPr>
                <w:t xml:space="preserve">9C. Disclosure Regarding Foreign Jurisdictions that Prevent Inspections </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11">
              <w:r>
                <w:rPr>
                  <w:rStyle w:val="InternetLink"/>
                  <w:rFonts w:ascii="Arial Narrow;sans-serif" w:hAnsi="Arial Narrow;sans-serif"/>
                  <w:b w:val="false"/>
                  <w:color w:val="0000FF"/>
                  <w:sz w:val="20"/>
                  <w:u w:val="single"/>
                </w:rPr>
                <w:t>73</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214">
              <w:r>
                <w:rPr>
                  <w:rStyle w:val="InternetLink"/>
                  <w:rFonts w:ascii="Arial Narrow;sans-serif" w:hAnsi="Arial Narrow;sans-serif"/>
                  <w:b/>
                  <w:color w:val="0000FF"/>
                  <w:sz w:val="20"/>
                  <w:u w:val="single"/>
                </w:rPr>
                <w:t>PART III</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17">
              <w:r>
                <w:rPr>
                  <w:rStyle w:val="InternetLink"/>
                  <w:rFonts w:ascii="Arial Narrow;sans-serif" w:hAnsi="Arial Narrow;sans-serif"/>
                  <w:b w:val="false"/>
                  <w:color w:val="0000FF"/>
                  <w:sz w:val="20"/>
                  <w:u w:val="single"/>
                </w:rPr>
                <w:t>10. Directors, Executive Officers and 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17">
              <w:r>
                <w:rPr>
                  <w:rStyle w:val="InternetLink"/>
                  <w:rFonts w:ascii="Arial Narrow;sans-serif" w:hAnsi="Arial Narrow;sans-serif"/>
                  <w:b w:val="false"/>
                  <w:color w:val="0000FF"/>
                  <w:sz w:val="20"/>
                  <w:u w:val="single"/>
                </w:rPr>
                <w:t>74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20">
              <w:r>
                <w:rPr>
                  <w:rStyle w:val="InternetLink"/>
                  <w:rFonts w:ascii="Arial Narrow;sans-serif" w:hAnsi="Arial Narrow;sans-serif"/>
                  <w:b w:val="false"/>
                  <w:color w:val="0000FF"/>
                  <w:sz w:val="20"/>
                  <w:u w:val="single"/>
                </w:rPr>
                <w:t>11. 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20">
              <w:r>
                <w:rPr>
                  <w:rStyle w:val="InternetLink"/>
                  <w:rFonts w:ascii="Arial Narrow;sans-serif" w:hAnsi="Arial Narrow;sans-serif"/>
                  <w:b w:val="false"/>
                  <w:color w:val="0000FF"/>
                  <w:sz w:val="20"/>
                  <w:u w:val="single"/>
                </w:rPr>
                <w:t>81</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47">
              <w:r>
                <w:rPr>
                  <w:rStyle w:val="InternetLink"/>
                  <w:rFonts w:ascii="Arial Narrow;sans-serif" w:hAnsi="Arial Narrow;sans-serif"/>
                  <w:b w:val="false"/>
                  <w:color w:val="0000FF"/>
                  <w:sz w:val="20"/>
                  <w:u w:val="single"/>
                </w:rPr>
                <w:t>12. Security Ownership of Certain Beneficial Owners and Management and Related Stockholder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47">
              <w:r>
                <w:rPr>
                  <w:rStyle w:val="InternetLink"/>
                  <w:rFonts w:ascii="Arial Narrow;sans-serif" w:hAnsi="Arial Narrow;sans-serif"/>
                  <w:b w:val="false"/>
                  <w:color w:val="0000FF"/>
                  <w:sz w:val="20"/>
                  <w:u w:val="single"/>
                </w:rPr>
                <w:t>102</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50">
              <w:r>
                <w:rPr>
                  <w:rStyle w:val="InternetLink"/>
                  <w:rFonts w:ascii="Arial Narrow;sans-serif" w:hAnsi="Arial Narrow;sans-serif"/>
                  <w:b w:val="false"/>
                  <w:color w:val="0000FF"/>
                  <w:sz w:val="20"/>
                  <w:u w:val="single"/>
                </w:rPr>
                <w:t>13. Certain Relationships and Related Transactions, and Director Independence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50">
              <w:r>
                <w:rPr>
                  <w:rStyle w:val="InternetLink"/>
                  <w:rFonts w:ascii="Arial Narrow;sans-serif" w:hAnsi="Arial Narrow;sans-serif"/>
                  <w:b w:val="false"/>
                  <w:color w:val="0000FF"/>
                  <w:sz w:val="20"/>
                  <w:u w:val="single"/>
                </w:rPr>
                <w:t>104</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53">
              <w:r>
                <w:rPr>
                  <w:rStyle w:val="InternetLink"/>
                  <w:rFonts w:ascii="Arial Narrow;sans-serif" w:hAnsi="Arial Narrow;sans-serif"/>
                  <w:b w:val="false"/>
                  <w:color w:val="0000FF"/>
                  <w:sz w:val="20"/>
                  <w:u w:val="single"/>
                </w:rPr>
                <w:t>14. Principal Accountant Fees and Services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53">
              <w:r>
                <w:rPr>
                  <w:rStyle w:val="InternetLink"/>
                  <w:rFonts w:ascii="Arial Narrow;sans-serif" w:hAnsi="Arial Narrow;sans-serif"/>
                  <w:b w:val="false"/>
                  <w:color w:val="0000FF"/>
                  <w:sz w:val="20"/>
                  <w:u w:val="single"/>
                </w:rPr>
                <w:t>105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256">
              <w:r>
                <w:rPr>
                  <w:rStyle w:val="InternetLink"/>
                  <w:rFonts w:ascii="Arial Narrow;sans-serif" w:hAnsi="Arial Narrow;sans-serif"/>
                  <w:b/>
                  <w:color w:val="0000FF"/>
                  <w:sz w:val="20"/>
                  <w:u w:val="single"/>
                </w:rPr>
                <w:t>PART IV</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59">
              <w:r>
                <w:rPr>
                  <w:rStyle w:val="InternetLink"/>
                  <w:rFonts w:ascii="Arial Narrow;sans-serif" w:hAnsi="Arial Narrow;sans-serif"/>
                  <w:b w:val="false"/>
                  <w:color w:val="0000FF"/>
                  <w:sz w:val="20"/>
                  <w:u w:val="single"/>
                </w:rPr>
                <w:t>15. Exhibits and Financial Statement Schedules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59">
              <w:r>
                <w:rPr>
                  <w:rStyle w:val="InternetLink"/>
                  <w:rFonts w:ascii="Arial Narrow;sans-serif" w:hAnsi="Arial Narrow;sans-serif"/>
                  <w:b w:val="false"/>
                  <w:color w:val="0000FF"/>
                  <w:sz w:val="20"/>
                  <w:u w:val="single"/>
                </w:rPr>
                <w:t>105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62">
              <w:r>
                <w:rPr>
                  <w:rStyle w:val="InternetLink"/>
                  <w:rFonts w:ascii="Arial Narrow;sans-serif" w:hAnsi="Arial Narrow;sans-serif"/>
                  <w:b w:val="false"/>
                  <w:color w:val="0000FF"/>
                  <w:sz w:val="20"/>
                  <w:u w:val="single"/>
                </w:rPr>
                <w:t>16. Form 10-K Summary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62">
              <w:r>
                <w:rPr>
                  <w:rStyle w:val="InternetLink"/>
                  <w:rFonts w:ascii="Arial Narrow;sans-serif" w:hAnsi="Arial Narrow;sans-serif"/>
                  <w:b w:val="false"/>
                  <w:color w:val="0000FF"/>
                  <w:sz w:val="20"/>
                  <w:u w:val="single"/>
                </w:rPr>
                <w:t>105</w:t>
              </w:r>
            </w:hyperlink>
          </w:p>
        </w:tc>
      </w:tr>
      <w:tr>
        <w:trPr/>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268">
              <w:r>
                <w:rPr>
                  <w:rStyle w:val="InternetLink"/>
                  <w:rFonts w:ascii="Arial Narrow;sans-serif" w:hAnsi="Arial Narrow;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f49e3e276b42ada48c154579dda6f2_268">
              <w:r>
                <w:rPr>
                  <w:rStyle w:val="InternetLink"/>
                  <w:rFonts w:ascii="Arial Narrow;sans-serif" w:hAnsi="Arial Narrow;sans-serif"/>
                  <w:b w:val="false"/>
                  <w:color w:val="0000FF"/>
                  <w:sz w:val="20"/>
                  <w:u w:val="singl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Unless otherwise specified, references to the “Company,” “we,” “our,” “us” and “EZCORP” refer to EZCORP, Inc. and its consolidated subsidiaries, collectively. References to a “fiscal” year refer to our fiscal year ended September 30 of the specified year. For example, “fiscal 2024” refers to the fiscal year ended September 30, 2024. All currency amounts preceded with “$” are stated in U.S. dollars, except as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Purpose, Vision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is a leading provider of pawn services in the United States (“U.S.”) and Latin America with 1,279 locations and more than 8,000 Team Members. We are a Delaware corporation headquartered in Austin, Texas.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purpose statement:</w:t>
      </w:r>
    </w:p>
    <w:p>
      <w:pPr>
        <w:pStyle w:val="TextBody"/>
        <w:bidi w:val="0"/>
        <w:spacing w:lineRule="auto" w:line="288" w:before="180" w:after="283"/>
        <w:jc w:val="center"/>
        <w:rPr>
          <w:color w:val="000000"/>
        </w:rPr>
      </w:pPr>
      <w:r>
        <w:rPr>
          <w:color w:val="000000"/>
        </w:rPr>
        <w:t>“</w:t>
      </w:r>
      <w:r>
        <w:rPr>
          <w:rFonts w:ascii="Arial Narrow;sans-serif" w:hAnsi="Arial Narrow;sans-serif"/>
          <w:b/>
          <w:color w:val="000000"/>
          <w:sz w:val="20"/>
        </w:rPr>
        <w:t>We exist to serve our customers’ short-term cash and pre-owned retail needs, helping them to live and enjoy their lives.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We are driven by a diverse team with a passion for pawn who are motivated to be their best — because our customers, families, stakeholders, and the communities and environment in which we live deserve 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purpose is supported by a customer-centric strategy that includes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Providing fast, easy and simple access to cash;</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Serving our customers in a friendly and respectful way;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Always being competitive and fair;</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Passionately serving customer needs;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Building enduring relationships; and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Recognizing and rewarding customer loyalty.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That strategy consists of three fundamental pillars:</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Strengthen the Core</w:t>
      </w:r>
      <w:r>
        <w:rPr>
          <w:color w:val="000000"/>
        </w:rPr>
        <w:t xml:space="preserve"> — </w:t>
      </w:r>
      <w:r>
        <w:rPr>
          <w:rFonts w:ascii="Arial Narrow;sans-serif" w:hAnsi="Arial Narrow;sans-serif"/>
          <w:b w:val="false"/>
          <w:color w:val="000000"/>
          <w:sz w:val="20"/>
        </w:rPr>
        <w:t xml:space="preserve">Relentless focus on superior execution and operational excellence in our pawn business. </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Cost Efficiency and Simplification</w:t>
      </w:r>
      <w:r>
        <w:rPr>
          <w:color w:val="000000"/>
        </w:rPr>
        <w:t xml:space="preserve"> — </w:t>
      </w:r>
      <w:r>
        <w:rPr>
          <w:rFonts w:ascii="Arial Narrow;sans-serif" w:hAnsi="Arial Narrow;sans-serif"/>
          <w:b w:val="false"/>
          <w:color w:val="000000"/>
          <w:sz w:val="20"/>
        </w:rPr>
        <w:t>Shape a culture of cost efficiency through ongoing focus on simplification and optimization.</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Innovate and Grow</w:t>
      </w:r>
      <w:r>
        <w:rPr>
          <w:color w:val="000000"/>
        </w:rPr>
        <w:t xml:space="preserve"> — </w:t>
      </w:r>
      <w:r>
        <w:rPr>
          <w:rFonts w:ascii="Arial Narrow;sans-serif" w:hAnsi="Arial Narrow;sans-serif"/>
          <w:b w:val="false"/>
          <w:color w:val="000000"/>
          <w:sz w:val="20"/>
        </w:rPr>
        <w:t>Broaden customer engagement to serve more customers more frequently in more locations.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we rely on four foundational capabilities to execute our strategy and achieve our purpose:</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Team Members</w:t>
      </w:r>
      <w:r>
        <w:rPr>
          <w:color w:val="000000"/>
        </w:rPr>
        <w:t xml:space="preserve"> — </w:t>
      </w:r>
      <w:r>
        <w:rPr>
          <w:rFonts w:ascii="Arial Narrow;sans-serif" w:hAnsi="Arial Narrow;sans-serif"/>
          <w:b w:val="false"/>
          <w:color w:val="000000"/>
          <w:sz w:val="20"/>
        </w:rPr>
        <w:t>We enable diverse, engaged and tenured teams with a true passion for pawnbroking.</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IT and Data Modernization</w:t>
      </w:r>
      <w:r>
        <w:rPr>
          <w:color w:val="000000"/>
        </w:rPr>
        <w:t xml:space="preserve"> — </w:t>
      </w:r>
      <w:r>
        <w:rPr>
          <w:rFonts w:ascii="Arial Narrow;sans-serif" w:hAnsi="Arial Narrow;sans-serif"/>
          <w:b w:val="false"/>
          <w:color w:val="000000"/>
          <w:sz w:val="20"/>
        </w:rPr>
        <w:t>We modernize our IT and data assets to capitalize on growth opportunities and create greater value at every customer interaction.</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Risk Management and Building a Culture of Compliance</w:t>
      </w:r>
      <w:r>
        <w:rPr>
          <w:color w:val="000000"/>
        </w:rPr>
        <w:t xml:space="preserve"> — </w:t>
      </w:r>
      <w:r>
        <w:rPr>
          <w:rFonts w:ascii="Arial Narrow;sans-serif" w:hAnsi="Arial Narrow;sans-serif"/>
          <w:b w:val="false"/>
          <w:color w:val="000000"/>
          <w:sz w:val="20"/>
        </w:rPr>
        <w:t>We are continually focused on strengthening our capabilities to manage operational, financial, regulatory, compliance, information security and reputational risk.</w:t>
      </w:r>
    </w:p>
    <w:p>
      <w:pPr>
        <w:pStyle w:val="TextBody"/>
        <w:bidi w:val="0"/>
        <w:spacing w:lineRule="auto" w:line="288" w:before="120" w:after="283"/>
        <w:ind w:left="0" w:right="0" w:hanging="360"/>
        <w:jc w:val="left"/>
        <w:rPr/>
      </w:pPr>
      <w:r>
        <w:rPr>
          <w:color w:val="000000"/>
        </w:rPr>
        <w:t>•</w:t>
      </w:r>
      <w:r>
        <w:rPr>
          <w:rFonts w:ascii="Arial Narrow;sans-serif" w:hAnsi="Arial Narrow;sans-serif"/>
          <w:b/>
          <w:color w:val="000000"/>
          <w:sz w:val="20"/>
        </w:rPr>
        <w:t>Environment, Social and Governance (“ESG”)</w:t>
      </w:r>
      <w:r>
        <w:rPr>
          <w:color w:val="000000"/>
        </w:rPr>
        <w:t xml:space="preserve"> — </w:t>
      </w:r>
      <w:r>
        <w:rPr>
          <w:rFonts w:ascii="Arial Narrow;sans-serif" w:hAnsi="Arial Narrow;sans-serif"/>
          <w:b w:val="false"/>
          <w:color w:val="000000"/>
          <w:sz w:val="20"/>
        </w:rPr>
        <w:t xml:space="preserve">We prioritize developing the foundational elements of a comprehensive and integrated sustainability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Overview of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September 30, 2024, we operated a total of 1,279 locations, consisting of: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542 U.S. pawn stores (operating primarily as EZPAWN or Value Pawn &amp; Jewelry);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565 Mexico pawn stores (operating primarily as Empeño Fácil and Cash Apoyo Efectivo);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172 pawn stores in Guatemala, El Salvador and Honduras (operating as GuatePrenda and MaxiEfectivo).</w:t>
      </w:r>
    </w:p>
    <w:p>
      <w:pPr>
        <w:pStyle w:val="TextBody"/>
        <w:bidi w:val="0"/>
        <w:spacing w:lineRule="auto" w:line="288" w:before="180" w:after="283"/>
        <w:jc w:val="left"/>
        <w:rPr/>
      </w:pPr>
      <w:r>
        <w:rPr>
          <w:rFonts w:ascii="Arial Narrow;sans-serif" w:hAnsi="Arial Narrow;sans-serif"/>
          <w:b w:val="false"/>
          <w:color w:val="000000"/>
          <w:sz w:val="20"/>
        </w:rPr>
        <w:t>At our pawn stores, we advance cash against the value of collateralized tangible personal property and sell merchandise to customers looking for good value. The merchandise we sell primarily consists of pre-owned collateral forfeited from our pawn activities or merchandise purchased from customers. By store count, we ar</w:t>
      </w:r>
      <w:r>
        <w:rPr>
          <w:rFonts w:ascii="Arial Narrow;sans-serif" w:hAnsi="Arial Narrow;sans-serif"/>
          <w:b w:val="false"/>
          <w:color w:val="000000"/>
          <w:sz w:val="20"/>
          <w:shd w:fill="FFFFFF" w:val="clear"/>
        </w:rPr>
        <w:t>e the second la</w:t>
      </w:r>
      <w:r>
        <w:rPr>
          <w:rFonts w:ascii="Arial Narrow;sans-serif" w:hAnsi="Arial Narrow;sans-serif"/>
          <w:b w:val="false"/>
          <w:color w:val="000000"/>
          <w:sz w:val="20"/>
        </w:rPr>
        <w:t>rgest pawn store owner and operator in the U.S. and one of the largest in Latin America. We also offer web-based applications under the name EZ+ that allow customers to manage their pawn transactions, layaways and loyalty rewards online.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our core pawn business in the U.S. and Latin America, we have made the following strategic investments: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own 43.7% of Cash Converters International Limited (“Cash Converters”), a publicly traded company (ASX: CCV) headquartered in Perth, Western Australia. Cash Converters and its controlled companies comprise a diverse group generating revenues from franchising, store operations, personal finance (including pawn transactions) and vehicle finance in 669 stores across 17 countries.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own a preferred interest in Founders One, LLC (“Founders”) that has majority ownership in Simple Management Group, Inc. (“SMG”), which owns and operates 102 pawn stores in the U.S., Caribbean and Central America, with plans to build and acquire more stores in those regions.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revenues primarily from pawn service charges (“PSC”) on pawn loans outstanding (“PLO”), merchandise sales and jewelry scrapping. We remain focused on optimizing our balance of PLO and the resulting higher PSC. The following chart presents sources of gross profit, including PSC, merchandise sales gross profit (“Merchandise sales GP”) and jewelry scrapping gross profit (“Jewelry scrapping GP”) for fiscal 2024, fiscal 2023 and fiscal 2022:</w:t>
      </w:r>
    </w:p>
    <w:p>
      <w:pPr>
        <w:pStyle w:val="TextBody"/>
        <w:bidi w:val="0"/>
        <w:spacing w:before="120" w:after="283"/>
        <w:jc w:val="center"/>
        <w:rPr/>
      </w:pPr>
      <w:r>
        <w:rPr/>
        <w:drawing>
          <wp:inline distT="0" distB="0" distL="0" distR="0">
            <wp:extent cx="6381750" cy="3095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381750" cy="3095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charts present sources of gross profit by geography for fiscal 2024, fiscal 2023 and fiscal 2022:</w:t>
      </w:r>
    </w:p>
    <w:p>
      <w:pPr>
        <w:pStyle w:val="TextBody"/>
        <w:bidi w:val="0"/>
        <w:spacing w:before="120" w:after="283"/>
        <w:jc w:val="center"/>
        <w:rPr/>
      </w:pPr>
      <w:r>
        <w:rPr/>
        <w:drawing>
          <wp:inline distT="0" distB="0" distL="0" distR="0">
            <wp:extent cx="6381750" cy="3095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381750" cy="30956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Segment and Geographic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conduct our business globally and manage our business by geography. Our business is organized into the following reportable segments: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which includes our EZPAWN, Value Pawn &amp; Jewelry and other branded pawn operations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which includes our Empeño Fácil, Cash Apoyo Efectivo and other branded pawn operations in Mexico, as well as our GuatePrenda and MaxiEfectivo pawn operations in Guatemala, El Salvador and Honduras (referred to as “GPMX”); and</w:t>
      </w:r>
    </w:p>
    <w:p>
      <w:pPr>
        <w:pStyle w:val="TextBody"/>
        <w:bidi w:val="0"/>
        <w:spacing w:lineRule="auto" w:line="288" w:before="180" w:after="283"/>
        <w:ind w:left="0" w:right="0" w:hanging="360"/>
        <w:jc w:val="left"/>
        <w:rPr/>
      </w:pPr>
      <w:r>
        <w:rPr>
          <w:color w:val="212529"/>
        </w:rPr>
        <w:t>•</w:t>
      </w:r>
      <w:r>
        <w:rPr>
          <w:rFonts w:ascii="Arial Narrow;sans-serif" w:hAnsi="Arial Narrow;sans-serif"/>
          <w:b w:val="false"/>
          <w:color w:val="000000"/>
          <w:sz w:val="20"/>
        </w:rPr>
        <w:t>Other Investments, which primarily includes our equity interest in Cash Converters and our investment in and notes receivable from Founders.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store data by segment:</w:t>
      </w:r>
    </w:p>
    <w:tbl>
      <w:tblPr>
        <w:tblW w:w="6405" w:type="dxa"/>
        <w:jc w:val="left"/>
        <w:tblInd w:w="0" w:type="dxa"/>
        <w:tblLayout w:type="fixed"/>
        <w:tblCellMar>
          <w:top w:w="28" w:type="dxa"/>
          <w:left w:w="28" w:type="dxa"/>
          <w:bottom w:w="28" w:type="dxa"/>
          <w:right w:w="28" w:type="dxa"/>
        </w:tblCellMar>
      </w:tblPr>
      <w:tblGrid>
        <w:gridCol w:w="718"/>
        <w:gridCol w:w="629"/>
        <w:gridCol w:w="632"/>
        <w:gridCol w:w="265"/>
        <w:gridCol w:w="265"/>
        <w:gridCol w:w="265"/>
        <w:gridCol w:w="156"/>
        <w:gridCol w:w="156"/>
        <w:gridCol w:w="156"/>
        <w:gridCol w:w="484"/>
        <w:gridCol w:w="484"/>
        <w:gridCol w:w="486"/>
        <w:gridCol w:w="156"/>
        <w:gridCol w:w="160"/>
        <w:gridCol w:w="109"/>
        <w:gridCol w:w="109"/>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Company-owned Stores</w:t>
            </w:r>
          </w:p>
        </w:tc>
        <w:tc>
          <w:tcPr>
            <w:tcW w:w="1393" w:type="dxa"/>
            <w:gridSpan w:val="6"/>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U.S. Pawn</w:t>
            </w:r>
          </w:p>
        </w:tc>
        <w:tc>
          <w:tcPr>
            <w:tcW w:w="4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Latin America Pawn</w:t>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2021</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4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3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6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48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additional information about our segments and geographic areas, see Note 12: Segment Information of Notes to Consolidated Financial Statements included in “Part II, Item 8 —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of September 30, 2024, we had a closing PLO balance of $274.1 million. In fiscal 2024, PSC accounted for approximately 38% of our total revenues and 64% of our gross profit.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U.S., PSC rates generally vary between 12% and 25% per month as permitted by applicable law, and the pawn term generally ranges between 30 and 90 days. Individual pawn transactions typically average between $170 and $200.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Mexico, PSC rates generally vary between 15% and 21% per month as permitted by applicable law, and the pawn primary term is 30 days. Individual pawn transactions typically average between 1,200 and 1,500 Mexican pesos, or approximately $65 to $85 on average using the average exchange rate for fiscal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GPMX, PSC rates generally vary between 12% and 18% per month as permitted by applicable law, and the pawn primary term is 30 days. Individual pawn transactions are made in the local currency of the country and typically average between $120 and $140 using the average exchange rates for fiscal 2024. The average transaction amounts tend to be higher in the GPMX countries than in Mexico due to the higher concentration of jewelry used as pawn collateral.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a customer chooses not to redeem, renew or extend their pawn, the pawn collateral is forfeited and becomes inventory available for sale. We do not record losses or charge-offs when the pawned collateral is forfeited because the amount advanced for the unpaid pawn becomes the inventory carrying cost of the forfeited collateral. The difference between the subsequent sale of the forfeited collateral and the amount of the pawn (offset by any inventory reserve) is reflected in merchandise sales gross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ability to offer quality pre-owned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Customers in the U.S. and the majority of our Latin America stores may purchase a product protection plan that allows them to exchange certain general merchandise (non-jewelry) sold through our retail pawn operations within six months of purchase. In the U.S., we also offer a jewelry VIP package, which guarantees customers a minimum future pawn advance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in addition to an upfront fee. We typically hold items on layaway for a 90-180 day period, during which the customer is required to pay the balance of the sales price through a series of installment payments. If a payment is missed, we hold the item for up to 30 days, after which it is returned to active inventory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Operations and Risk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operations are designed to provide the optimum level of support to the store teams, providing coaching, mentoring and problem solving to identify opportunities to better serve our customers and position us to be the leader in customer service and satisfaction.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risk management structure consists of asset protection, compliance and internal audit departments, which monitor the inventory system, lending practices, regulatory compliance and compliance with our policies and procedures. We perform full physical audits of inventory at each store at least annually, and more often in higher risk stores or those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These adjustments are recorded as estimates during interim periods and as discovered during cycle 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Human Capital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Engagement Survey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performed a Global Employee Engagement Survey, administered by Glint, in April 2024, and had a 87% participation rate with an overall engagement score of 84. Our engagement score is ten points higher than the global benchmark, which contains data from over 1,100 companies of varying size across a variety of industries (Finance, Healthcare, Manufacturing, Professional Services, Retail, Technology and Utilities) and includes results from over eight million respondents located in over 150 countries.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top strengths were Career, Customer Focus and Continuous Improvement. Our focus areas for improvement included Team, Valued Teammate and Work-Life Balance. Team Members provided over 11,900 comments with mixed sentiment, 27% positive, 38% neutral and 35% negative. To ensure we address issues raised in the survey, all people leaders at the District Manager and above level will have Engagement Objectives for fiscal 2025 guided by actions that will yield the greatest business and Team Member impact.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Talent Management and Development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employ approximately 8,000 Team Members across all our geographies, including approximately 3,600 in United States, 3,500 in Mexico and 900 in Central America. We seek to hire and promote Team Members to lead the way today and to step into greater roles in the future. We achieve this goal through Training and Development programs that Team Members can use to plan their careers and identify future growth opportunities. We engage Team Members at all levels so we can understand their professional and personal goals, identify high potential future leaders to strengthen our internal bench, support them in their journey and retain our talent.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pawn stores we provide: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An onboarding program that blends online and hands-on training in the art and science of pawnbroking;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Career path programs aligned with our talent and succession strategy, emphasizing career progression and individual development programs;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 learning experience that unlocks and accelerates Team Member potential as well as business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investment in store-level Team Members produced tangible results during fiscal 2024:</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High scoring questions in our 2024 Global Employee Engagement Survey included “I know the career path(s) available to me at EZCORP” (with an 89% favorability rating) and “I have good opportunities to learn and develop at EZCORP” (with an 86% favorability rating).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Over 85% of managerial positions were filled via internal promotion.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reinforced the utilization of our career path (Operations) and career and competency framework (Corporate Support Center) to build individual development plans to guide the career paths of Team Members and to prepare them for future roles.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Culture and Ethics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Culture is critical to our long-term success and to our ability to attract, develop and retain the top talent needed to accomplish our Purpose, Vision and Strategy.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values — People, Pawn, Passion — define our priorities as a business, and our Guiding Principles — Leadership, Customer Service, Accountability, Respect, Diversity and Sustainability — characterize the expectations for how we interact with Team Members, customers and communities. Various tools are used globally to demonstrate commitment to our principles, values and positive culture, including a plain-language Code of Conduct and supporting policies, annual training on expectations and clear communications from executive management reinforcing ethical behavior and a positive culture.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support our ethical business practices, we maintain an Ethics Hotline available to all Team Members and external stakeholders to report (anonymously if desired) any matter of concern. Communications to the hotline (which is managed by an independent third party) are routed to appropriate functions (whether Human Resources, Legal or Compliance), and in some cases directly to the Board of Directors, for investigation and resolution. In addition, any shareholder or other interested party may send communications to the Board of Directors, either individually or as a group, through a process that is outlined in the Investor Relations section of our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0"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Diversity and Inclusion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EZCORP, we foster an environment that values diversity, inclusion and development for all. In our 2024 Global Employee Engagement Survey, 83% of participants responded positively to the question, “I feel a sense of belonging at EZCORP.” In fiscal 2024, we continued to further our Diversity and Inclusion strategy by focusing on the following initiatives: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 xml:space="preserve">Commitment and Accountability — </w:t>
      </w:r>
      <w:r>
        <w:rPr>
          <w:rFonts w:ascii="Arial Narrow;sans-serif" w:hAnsi="Arial Narrow;sans-serif"/>
          <w:b w:val="false"/>
          <w:color w:val="000000"/>
          <w:sz w:val="20"/>
        </w:rPr>
        <w:t>Demonstrate commitment and accountability through corporate policy, communications and actions.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Workplace Inclusion</w:t>
      </w:r>
      <w:r>
        <w:rPr>
          <w:color w:val="000000"/>
        </w:rPr>
        <w:t xml:space="preserve"> — </w:t>
      </w:r>
      <w:r>
        <w:rPr>
          <w:rFonts w:ascii="Arial Narrow;sans-serif" w:hAnsi="Arial Narrow;sans-serif"/>
          <w:b w:val="false"/>
          <w:color w:val="000000"/>
          <w:sz w:val="20"/>
        </w:rPr>
        <w:t>Foster work environments that value diversity and inclusion and encourage collaboration, flexibility and fairness.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Diverse Workforce</w:t>
      </w:r>
      <w:r>
        <w:rPr>
          <w:color w:val="000000"/>
        </w:rPr>
        <w:t xml:space="preserve"> — </w:t>
      </w:r>
      <w:r>
        <w:rPr>
          <w:rFonts w:ascii="Arial Narrow;sans-serif" w:hAnsi="Arial Narrow;sans-serif"/>
          <w:b w:val="false"/>
          <w:color w:val="000000"/>
          <w:sz w:val="20"/>
        </w:rPr>
        <w:t>Recruit and promote from diverse, qualified candidate pools to increase diversity of perspectives and experiences.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sponsor affinity groups to foster an inclusive and supportive environment, where Team Members with shared characteristics, experiences or interests can connect, collaborate and contribute effectively. The Women’s Empowerment, Black Empowerment, Hispanic Organization for Leadership Advocacy (HOLA) and EZ Pride affinity groups in the U.S. and the Women’s Empowerment and Working Parents affinity groups in Latin America all aim to enhance diversity, equity and inclusion efforts by providing a platform for open dialogue, resource-sharing, professional development and cultural enrichment. </w:t>
      </w:r>
    </w:p>
    <w:p>
      <w:pPr>
        <w:pStyle w:val="TextBody"/>
        <w:bidi w:val="0"/>
        <w:spacing w:before="0" w:after="0"/>
        <w:jc w:val="left"/>
        <w:rPr/>
      </w:pPr>
      <w:r>
        <w:rPr/>
      </w:r>
    </w:p>
    <w:p>
      <w:pPr>
        <w:pStyle w:val="TextBody"/>
        <w:bidi w:val="0"/>
        <w:spacing w:lineRule="auto" w:line="256" w:before="0" w:after="0"/>
        <w:jc w:val="center"/>
        <w:rPr/>
      </w:pPr>
      <w:r>
        <w:rPr>
          <w:rFonts w:ascii="Arial Narrow;sans-serif" w:hAnsi="Arial Narrow;sans-serif"/>
          <w:b/>
          <w:color w:val="000000"/>
          <w:sz w:val="20"/>
        </w:rPr>
        <w:t xml:space="preserve">Fiscal 2024 U.S. Race and Ethnicity Demographics </w:t>
      </w:r>
      <w:r>
        <w:rPr>
          <w:rFonts w:ascii="Arial Narrow;sans-serif" w:hAnsi="Arial Narrow;sans-serif"/>
          <w:b/>
          <w:color w:val="000000"/>
          <w:sz w:val="13"/>
        </w:rPr>
        <w:t>(1) (2)</w:t>
      </w:r>
    </w:p>
    <w:p>
      <w:pPr>
        <w:pStyle w:val="TextBody"/>
        <w:bidi w:val="0"/>
        <w:spacing w:before="0" w:after="0"/>
        <w:jc w:val="center"/>
        <w:rPr/>
      </w:pPr>
      <w:r>
        <w:rPr/>
      </w:r>
    </w:p>
    <w:p>
      <w:pPr>
        <w:pStyle w:val="TextBody"/>
        <w:bidi w:val="0"/>
        <w:spacing w:before="0" w:after="0"/>
        <w:jc w:val="center"/>
        <w:rPr/>
      </w:pPr>
      <w:r>
        <w:rPr/>
        <w:drawing>
          <wp:inline distT="0" distB="0" distL="0" distR="0">
            <wp:extent cx="3143250" cy="23717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3143250" cy="2371725"/>
                    </a:xfrm>
                    <a:prstGeom prst="rect">
                      <a:avLst/>
                    </a:prstGeom>
                  </pic:spPr>
                </pic:pic>
              </a:graphicData>
            </a:graphic>
          </wp:inline>
        </w:drawing>
      </w:r>
      <w:r>
        <w:rPr/>
        <w:drawing>
          <wp:inline distT="0" distB="0" distL="0" distR="0">
            <wp:extent cx="3143250" cy="23717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3143250" cy="2371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56" w:before="180" w:after="283"/>
        <w:jc w:val="center"/>
        <w:rPr/>
      </w:pPr>
      <w:r>
        <w:rPr>
          <w:rFonts w:ascii="Arial Narrow;sans-serif" w:hAnsi="Arial Narrow;sans-serif"/>
          <w:b/>
          <w:color w:val="000000"/>
          <w:sz w:val="20"/>
        </w:rPr>
        <w:t xml:space="preserve">Fiscal 2024 Global Gender Demographics </w:t>
      </w:r>
      <w:r>
        <w:rPr>
          <w:rFonts w:ascii="Arial Narrow;sans-serif" w:hAnsi="Arial Narrow;sans-serif"/>
          <w:b/>
          <w:color w:val="000000"/>
          <w:sz w:val="13"/>
        </w:rPr>
        <w:t>(2)</w:t>
      </w:r>
    </w:p>
    <w:p>
      <w:pPr>
        <w:pStyle w:val="TextBody"/>
        <w:bidi w:val="0"/>
        <w:spacing w:before="180" w:after="283"/>
        <w:jc w:val="center"/>
        <w:rPr/>
      </w:pPr>
      <w:r>
        <w:rPr/>
        <w:drawing>
          <wp:inline distT="0" distB="0" distL="0" distR="0">
            <wp:extent cx="3143250" cy="23717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3143250" cy="2371725"/>
                    </a:xfrm>
                    <a:prstGeom prst="rect">
                      <a:avLst/>
                    </a:prstGeom>
                  </pic:spPr>
                </pic:pic>
              </a:graphicData>
            </a:graphic>
          </wp:inline>
        </w:drawing>
      </w:r>
      <w:r>
        <w:rPr/>
        <w:drawing>
          <wp:inline distT="0" distB="0" distL="0" distR="0">
            <wp:extent cx="3143250" cy="23717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3143250" cy="2371725"/>
                    </a:xfrm>
                    <a:prstGeom prst="rect">
                      <a:avLst/>
                    </a:prstGeom>
                  </pic:spPr>
                </pic:pic>
              </a:graphicData>
            </a:graphic>
          </wp:inline>
        </w:drawing>
      </w:r>
    </w:p>
    <w:p>
      <w:pPr>
        <w:pStyle w:val="TextBody"/>
        <w:bidi w:val="0"/>
        <w:spacing w:lineRule="auto" w:line="256" w:before="18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(1)    The term underrepresented minority is used to describe diverse populations, including African American, Hispanic, Asian and Native American Team Members who self-identified their race and ethnicity at hire. </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    The term Management is used to describe Team Members with one or more direct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5"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compensation programs are designed to align the compensation of Team Members with individual and Company performance and to provide the proper incentives to attract, retain and motivate Team Members to achieve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structure of our compensation programs balances incentive earnings for both short-term and long-term performance. Specifically: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provide wages and incentive plans that are competitive and consistent with positions, skill levels, experience, knowledge and geographic location. Additionally, on an annual basis (U.S.) gender and racial/ethnic analysis is performed to ensure pay equity.</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rPr>
        <w:t>We engage a nationally recognized outside compensation and benefits consulting firm to independently evaluate the effectiveness of our executive compensation and to provide benchmarking against our selected peer group, which includes</w:t>
      </w:r>
      <w:r>
        <w:rPr>
          <w:color w:val="000000"/>
          <w:shd w:fill="FFFFFF" w:val="clear"/>
        </w:rPr>
        <w:t xml:space="preserve"> </w:t>
      </w:r>
      <w:r>
        <w:rPr>
          <w:rFonts w:ascii="Arial Narrow;sans-serif" w:hAnsi="Arial Narrow;sans-serif"/>
          <w:b w:val="false"/>
          <w:color w:val="000000"/>
          <w:sz w:val="20"/>
          <w:shd w:fill="FFFFFF" w:val="clear"/>
        </w:rPr>
        <w:t xml:space="preserve">similarly-sized companies from relevant industries that serve similar customer bases, </w:t>
      </w:r>
      <w:r>
        <w:rPr>
          <w:rFonts w:ascii="Arial Narrow;sans-serif" w:hAnsi="Arial Narrow;sans-serif"/>
          <w:b w:val="false"/>
          <w:color w:val="000000"/>
          <w:sz w:val="20"/>
        </w:rPr>
        <w:t>operate in the retail or consumer finance industries and typically have similar operating dynamics.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align our executives’ long-term equity compensation with our shareholders’ interests by linking realizable pay with stock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All employees are eligible for paid time off, Company-paid life insurance and participation in a tenure award program which recognizes their commitment and loyalty by awarding EZ+ Rewards points based on their years of service.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Health and Safety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commitment to our Team Members is to provide a safe and injury-free workplace. We continue to invest in programs designed to improve physical, mental and social well-being.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 and Oversight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People and Compensation Committee of the Board of Directors has primary responsibility for analyzing, advising and (as appropriate) approving executive compensation. The committee is also responsible for organizational development matters and otherwise assisting the Board of Directors in its overall responsibility to enable EZCORP to attract, retain, develop and motivate qualified executives who will contribute to the long-term success of the Company.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actively participates in the executive recruitment and selection process. Committee members are instrumental in the executive talent management and succession processes, including the review and attainment of annual objectives for our executive officers. All executive officers have a minimum of one objective related to People, generally broken into the areas of Employee Engagement Scores, Voluntary Attrition and Inclusion.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Environmental, Social and Governance (ESG)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is committed to meeting our customers’ needs in a responsible manner, and in that regard, we have aligned purpose, vision, values, guiding principles and business strategy with environmental, social and governance sustainability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pawnbroking and related retail sales activities inherently contribute to the “circular economy” and promote environmental sustainability. We provide unique options for our customers to satisfy their needs for cash — options that are not offered by traditional lenders such as banks and credit unions, credit card providers, or installment and short-term lenders. For many of our customers, pawn transactions provide an essential and financially responsible lifeline for meeting their unexpected expenses. Our retail activities rely primarily on local sourcing of pre-owned merchandise and the recirculation of those items back into the neighborhoods we serve. In short, our business is unique, essential and sustainable.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Environmental Sustainability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contributes to overall environmental sustainability in the following ways: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business is fundamentally a neighborhood business, where each store principally serves the surrounding neighborhood. This “local” focus reduces the need of our customers to travel long distances to access our products and services and eliminates the need for delivery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Each of our stores serves as its own “supply chain.” We take in pre-owned merchandise, either through pawn or purchases from customers, and then sell that merchandise (after forfeiture, in the case of pawn transactions), generally in the same store. Thus, we do not maintain or rely on mass supply, distribution or warehousing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Virtually all of the merchandise we sell is pre-owned, which contributes to pre-owned goods recycling and the circular economy. In fiscal 2024, we sold approximately 5.2 million pre-owned items, including over 2.9 million items in the consumer electronics, camera and household goods categories, 1.4 million other general merchandise items (such as tools and musical instruments) and 0.8 million jewelry items. In addition, through our jewelry scrapping activities, we recycle significant volumes of gold and diamonds. All of these activities effectively extend the useful life of many products, reducing waste and lessening the demand for new manufacturing and mining.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store operations themselves leave a relatively small carbon footprint when compared to big-box or other mass retailers that rely on manufacturers and extensive supply chain and distribution channels. Our stores are relatively small (generally 3,300 square feet or less). To reduce energy consumption, we have installed energy-efficient LED lighting in 78% of our U.S. stores and 62% of Latin America stores.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 all of our facilities, including our corporate support offices, we promote environmental stewardship by reducing consumption, recycling paper products (approximately 1 million pounds across all U.S. locations during fiscal 2024) and responsibly disposing of end-of-life computers, electronics and related accessories through recycling or other sound e-waste processing. Our corporate office in Austin, Texas is LEED Certified Silver status.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Social Responsibility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promotes social responsibility in the following ways: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Our business serves as an essential and responsible financial resource for unbanked and or underserved consumers who have limited access to traditional forms of capital or credit. We improve the reach and access to financial services through neighborhood-based stores, supported by digital offerings. We provide instant access to cash in transactions that generally average $185 in the U.S. Our pawn transactions are simple, transparent, regulated and safe, and funding approval is based on the valuation of the collateral item, not on the credit worthiness of the customer. The customer is not required to repay the amount advanced; rather, the customer may choose to repay the amount advanced and the PSC or forfeit the collateralized merchandise. We do not engage in collection efforts or take other legal actions against our customers, and we do not report transaction histories to external credit agencies.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Customer satisfaction measurement and feedback are key factors in improving our customer service and Team Member engagement. To capture direct customer feedback, we have enabled Google Reviews across all stores and have received over 349,000 Google reviews with an average satisfaction rating of 4.8 out of 5 across U.S and Latin America.</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offer customers multiple payment options, including cross-store, over-the-phone and web-based and mobile platforms, reducing the need to travel to stores to make payments. Online payments are accepted on layaways and pawn extensions, with electronic payment receipts delivered on these transactions.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have refreshed the mission of EZCORP Foundation, our philanthropic arm that is focused on making a difference in communities where we live and operate by supporting charitable organizations that align with our operating values of People, Pawn and Passion. Current initiatives include supporting financial literacy efforts, working to eradicate food insecurity, empowering young people to succeed and other poverty intervention activities.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For a discussion of our Diversity and Inclusion initiatives, see “Human Capital Management — Diversity and Inclusion” above.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Governance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EZCORP, we believe that “The Way We Do Business is as Important as the Business We Do.” That belief underlies our Code of Conduct, which outlines our expectations and provides guidance on how our Team Members can carry out their daily activities ethically and responsibly. Our ethical principles include Honesty, Integrity, Reliability, Loyalty, Respect, Responsibility, Fairness, Caring, Leadership and Diversity, and these principles form the foundation for how we govern our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Even though we are a “Controlled Company” under the Nasdaq Listing Rules, we maintain the governance standards required of all publicly-listed Nasdaq companies,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Independent directors comprise a majority of our Board of Directors. Four of the seven members of our Board of Directors meet all of the “independence” requirements set forth in the Nasdaq Listing Rules, and none of the independent directors have any past or existing relationship with our controlling stockholder outside of their Board service.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All of our standing Board committees (Audit and Risk Committee, People and Compensation Committee and Nominating Committee) are comprised of solely independent directors.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satisfy Nasdaq’s board diversity rules, with two of our seven Board members being diverse directors, one of whom self-identifies as female and an underrepresented minority and one whom self-identifies as an underrepresented minority.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For further discussion of our corporate governance standards, see “Part III, Item 10 — Directors, Executive Officers and Corporate Governance.”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pawn operations are licensed and supervised in all jurisdictions in which we operate. We maintain a strong compliance culture that is monitored and overseen by our Board of Directors and supported by seasoned regulatory and compliance teams.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Protecting the privacy, integrity and security of our customers’ data and our enterprise network is a top priority that is also monitored and overseen by our Board of Directors. We maintain a separate IT Security team that is responsible for the design and implementation of our cyber risk strategy, including deployment of systems, enterprise-wide training, monitoring and reporting of threat incidents and response preparedness.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2024, we continued our expansion in Latin America and the U.S. with the opening of 41 de novo stores (20 in Mexico, 17 in Guatemala, 3 in Honduras and 1 in Nevada) and the acquisition of 13 stores in the U.S. We also consolidated 6 stores, 5 in Latin America and 1 in the U.S. We now own a total of 1,279 stores, 737 in Latin America (58%) and 542 in the U.S. (42%). In fiscal 2024, the Latin America stores represented 27% of our consolidated gross profit as the average scale of Latin America pawn stores is smaller than in the U.S. We see opportunity for further expansion in Latin America and the U.S. through both acquisitions and de novo openings.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U.S., PSC is historically highest in our fourth fiscal quarter (July through September) due to a higher average PLO balance during the summer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PLO balances and fueling some merchandise sales in those periods. In Mexico, we saw similar downward pressure in loan balances during the third quarter of fiscal 2023 due to a change in law related to company profit sharing payments to employees. We anticipated this change would impact pawn loan redemptions annually in May and June; however, in fiscal 2024, the demand for pawn loans in Mexico exceeded any downward pressure related to profit sharing payments. As a net effect of these and other factors and excluding discrete charges, our consolidated income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Competition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the primary elements of competition are the quality of customer service and relationship management, including understanding our customers’ needs better than anyone else, convenience, store location and a customer-friendly environment. In addition, we believe the ability to compete effectively will be based increasingly on strong general management, regional focus, automated management information systems, access to capital and superior customer service.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customers with a variety of merchandise at considerable value coupled with exceptional customer service and convenient locations.</w:t>
      </w:r>
    </w:p>
    <w:p>
      <w:pPr>
        <w:pStyle w:val="TextBody"/>
        <w:bidi w:val="0"/>
        <w:spacing w:lineRule="auto" w:line="288" w:before="180" w:after="283"/>
        <w:jc w:val="left"/>
        <w:rPr/>
      </w:pPr>
      <w:r>
        <w:rPr>
          <w:rFonts w:ascii="Arial Narrow;sans-serif" w:hAnsi="Arial Narrow;sans-serif"/>
          <w:b w:val="false"/>
          <w:color w:val="000000"/>
          <w:sz w:val="20"/>
        </w:rPr>
        <w:t>The pawn industry in the U.S. is large, relatively mature and highly fragmented. The industry consists of a few large operators (of which we are the second largest) and then independent operators who primarily own one-to-three locations</w:t>
      </w:r>
      <w:r>
        <w:rPr>
          <w:rFonts w:ascii="Arial Narrow;sans-serif" w:hAnsi="Arial Narrow;sans-serif"/>
          <w:b w:val="false"/>
          <w:color w:val="000000"/>
          <w:sz w:val="20"/>
          <w:shd w:fill="FFFFFF" w:val="clear"/>
        </w:rPr>
        <w:t>.</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pawn industry in Latin America is also fragmented, but less so than in the U.S. The industry consists of pawn stores owned by independent operators and chains, including some not-for-profit organizations. We are the second largest for-profit operator in Mexico and the largest operator in Guatemala. The pawn industry, particularly full-line stores dealing in both general merchandise and jewelry, remains in an expansion stage in Latin America.</w:t>
      </w:r>
    </w:p>
    <w:p>
      <w:pPr>
        <w:pStyle w:val="TextBody"/>
        <w:bidi w:val="0"/>
        <w:spacing w:lineRule="auto" w:line="268" w:before="180" w:after="283"/>
        <w:jc w:val="left"/>
        <w:rPr/>
      </w:pPr>
      <w:r>
        <w:rPr>
          <w:rFonts w:ascii="Arial Narrow;sans-serif" w:hAnsi="Arial Narrow;sans-serif"/>
          <w:b w:val="false"/>
          <w:color w:val="000000"/>
          <w:sz w:val="20"/>
          <w:shd w:fill="FFFFFF" w:val="clear"/>
        </w:rPr>
        <w:t>We launched our EZ+ Rewards loyalty program in the U.S. and Mexico in 2021 and in GPMX in 2022, and now hav</w:t>
      </w:r>
      <w:r>
        <w:rPr>
          <w:rFonts w:ascii="Arial Narrow;sans-serif" w:hAnsi="Arial Narrow;sans-serif"/>
          <w:b w:val="false"/>
          <w:color w:val="000000"/>
          <w:sz w:val="20"/>
        </w:rPr>
        <w:t xml:space="preserve">e 5.4 million </w:t>
      </w:r>
      <w:r>
        <w:rPr>
          <w:rFonts w:ascii="Arial Narrow;sans-serif" w:hAnsi="Arial Narrow;sans-serif"/>
          <w:b w:val="false"/>
          <w:color w:val="000000"/>
          <w:sz w:val="20"/>
          <w:shd w:fill="FFFFFF" w:val="clear"/>
        </w:rPr>
        <w:t>members globally. This free program allows customers to earn points on most transactions that may be applied as a discount towards retail sales once a certain threshold is met. We believe this program provides a distinct competitive advantage over other pawn operators.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8"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Trademarks and Trade Names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operate our U.S. pawn stores principally under the names “EZPAWN” or “Value Pawn &amp; Jewelry,” our Mexico pawn stores principally under the name “EMPEÑO FÁCIL” and “Cash Apoyo Efectivo,” our Guatemala pawn stores under the name “GuatePrenda,” and our El Salvador and Honduras pawn stores under the name “MaxiEfectivo.” We have registered the names EZPAWN, Value Pawn &amp; Jewelry and EZCORP, among others, with the United States Patent and Trademark Office. In Mexico, we have registered the names “EMPEÑO FÁCIL,” “Bazareño,” “Presta Dinero”, “Montepio San Patricio” and “Cash Apoyo Efectivo” with the Instituto Mexicano de la Propiedad Industrial. We have registered the name “GuatePrenda” in Guatemala and the name “MaxiEfectivo” in Guatemala, El Salvador and Honduras.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Regulation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 Regulations</w:t>
      </w:r>
    </w:p>
    <w:p>
      <w:pPr>
        <w:pStyle w:val="TextBody"/>
        <w:bidi w:val="0"/>
        <w:spacing w:lineRule="auto" w:line="288" w:before="180" w:after="283"/>
        <w:jc w:val="left"/>
        <w:rPr/>
      </w:pPr>
      <w:r>
        <w:rPr>
          <w:rFonts w:ascii="Arial Narrow;sans-serif" w:hAnsi="Arial Narrow;sans-serif"/>
          <w:b w:val="false"/>
          <w:i/>
          <w:color w:val="000000"/>
          <w:sz w:val="20"/>
        </w:rPr>
        <w:t xml:space="preserve">Pawn Regulations — </w:t>
      </w:r>
      <w:r>
        <w:rPr>
          <w:rFonts w:ascii="Arial Narrow;sans-serif" w:hAnsi="Arial Narrow;sans-serif"/>
          <w:b w:val="false"/>
          <w:color w:val="000000"/>
          <w:sz w:val="20"/>
        </w:rPr>
        <w:t>Our pawn stores are regulated by the states in which they are located and, in some cases, by individual municipalities or other local authorities. The applicable statutes, ordinances and regulations vary from location to location and typically impose licensing requirements for pawn stores or individual pawn store Team Members.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pawn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pStyle w:val="TextBody"/>
        <w:bidi w:val="0"/>
        <w:spacing w:lineRule="auto" w:line="288" w:before="180" w:after="283"/>
        <w:jc w:val="left"/>
        <w:rPr/>
      </w:pPr>
      <w:r>
        <w:rPr>
          <w:rFonts w:ascii="Arial Narrow;sans-serif" w:hAnsi="Arial Narrow;sans-serif"/>
          <w:b w:val="false"/>
          <w:color w:val="000000"/>
          <w:sz w:val="20"/>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w:t>
      </w:r>
      <w:r>
        <w:rPr>
          <w:rFonts w:ascii="Arial Narrow;sans-serif" w:hAnsi="Arial Narrow;sans-serif"/>
          <w:b w:val="false"/>
          <w:color w:val="000000"/>
          <w:sz w:val="20"/>
          <w:shd w:fill="FFFFFF" w:val="clear"/>
        </w:rPr>
        <w:t>e. Historically, we have not experienced a material number of claims of this 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Some of our pawn stores in the U.S. handle firearms and each of those stores maintains a federal firearms license as required by federal law. The federal Gun Control Act of 1968 and regulations issued by the Bureau of Alcohol, Tobacco, Firearms and Explosives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pStyle w:val="TextBody"/>
        <w:bidi w:val="0"/>
        <w:spacing w:lineRule="auto" w:line="288" w:before="180" w:after="283"/>
        <w:jc w:val="left"/>
        <w:rPr/>
      </w:pPr>
      <w:r>
        <w:rPr>
          <w:rFonts w:ascii="Arial Narrow;sans-serif" w:hAnsi="Arial Narrow;sans-serif"/>
          <w:b w:val="false"/>
          <w:i/>
          <w:color w:val="000000"/>
          <w:sz w:val="20"/>
        </w:rPr>
        <w:t>Other Regulations —</w:t>
      </w:r>
      <w:r>
        <w:rPr>
          <w:color w:val="000000"/>
        </w:rPr>
        <w:t xml:space="preserve"> </w:t>
      </w:r>
      <w:r>
        <w:rPr>
          <w:rFonts w:ascii="Arial Narrow;sans-serif" w:hAnsi="Arial Narrow;sans-serif"/>
          <w:b w:val="false"/>
          <w:color w:val="000000"/>
          <w:sz w:val="20"/>
        </w:rPr>
        <w:t>Our pawn lending activities are subject to other state and federal statutes and regulations, including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Truth in Lending Act (“TILA”), and its underlying regulations, which requires lenders to disclose information about the terms and costs of credit in a standardized manner, including in the form of an annual percentage rate. The TILA regulations also require us to provide certain disclosure in advertising our products and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In some jurisdictions, we are subject to the laws restricting the scope of data we collect and granting rights to our customers to access, correct, and/or delete the information we obtain.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9"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identity theft “red flags.”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As a provider of consumer financial products, we are prohibited from engaging in any unfair, deceptive or abusive act or practice (UDAAP) under the Dodd-Frank Act, as they can cause significant financial injury to consumers, erode consumer confidence and undermine the financial marketplace.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Equal Credit Opportunity Act prohibits discrimination on the basis of race, color, religion, national origin, sex, marital status, age, receipt of public assistance or good faith exercise of any rights under the Consumer Credit Protection Act.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We are subject to the Bank Secrecy Act and its underlying regulations, which require us to report and maintain records of certain high-dollar transactions. In addition, federal laws and regulations require us to report certain transactions (or series of transactions) deemed suspicious to the Financial Crimes Enforcement Network of the Treasury Department (“FinCen”). Generally, a transaction is considered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Office of Foreign Assets Control (“OFAC”) of the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We are prohibited from doing business with named individuals, businesses and countries subject to sanctions and restrictions, and we are required to report any transactions involving those named by the US. Department of the Treasury.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Foreign Corrupt Practices Act ("FCPA") makes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Department of Defense regulations promulgated under the Military Lending Act </w:t>
      </w:r>
      <w:r>
        <w:rPr>
          <w:rFonts w:ascii="Arial Narrow;sans-serif" w:hAnsi="Arial Narrow;sans-serif"/>
          <w:b w:val="false"/>
          <w:color w:val="000000"/>
          <w:sz w:val="20"/>
          <w:shd w:fill="FFFFFF" w:val="clear"/>
        </w:rPr>
        <w:t>limit the annual percentage rate charged on certain consumer loans (including pawn loans) made to active military personnel or their dependents to 36%.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 although it has initiated actions against pawn companies for alleged violations of consumer lending regulations, including the Military Lending Act discussed above.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Mexico Regulations</w:t>
      </w:r>
    </w:p>
    <w:p>
      <w:pPr>
        <w:pStyle w:val="TextBody"/>
        <w:bidi w:val="0"/>
        <w:spacing w:lineRule="auto" w:line="288" w:before="180" w:after="283"/>
        <w:jc w:val="left"/>
        <w:rPr/>
      </w:pPr>
      <w:r>
        <w:rPr>
          <w:rFonts w:ascii="Arial Narrow;sans-serif" w:hAnsi="Arial Narrow;sans-serif"/>
          <w:b w:val="false"/>
          <w:i/>
          <w:color w:val="000000"/>
          <w:sz w:val="20"/>
        </w:rPr>
        <w:t xml:space="preserve">Pawn Regulations </w:t>
      </w:r>
      <w:r>
        <w:rPr>
          <w:color w:val="000000"/>
        </w:rPr>
        <w:t xml:space="preserve">— </w:t>
      </w:r>
      <w:r>
        <w:rPr>
          <w:rFonts w:ascii="Arial Narrow;sans-serif" w:hAnsi="Arial Narrow;sans-serif"/>
          <w:b w:val="false"/>
          <w:color w:val="000000"/>
          <w:sz w:val="20"/>
        </w:rPr>
        <w:t xml:space="preserve">Federal law in Mexico provides for administrative regulation of the pawnshop industry by Procuraduría Federal del Consumidor (PROFECO),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PROFECO requires that we report certain transactions (or series of transactions) when a customer pawns more than three items of the same category.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Federal Law on the Protection of Personal Data Held by Private Parties requires us to protect our customers’ personal information. This law requires us to inform customers if we share customer personal information with third parties and to post (both online and in-store) our Data Privacy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0"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business in Mexico is also subject to regulation at the state and local level through state laws and local zoning and permitting ordinances. For example, some states require permits for pawn stores to operate,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pStyle w:val="TextBody"/>
        <w:bidi w:val="0"/>
        <w:spacing w:lineRule="auto" w:line="288" w:before="180" w:after="283"/>
        <w:jc w:val="left"/>
        <w:rPr/>
      </w:pPr>
      <w:r>
        <w:rPr>
          <w:rFonts w:ascii="Arial Narrow;sans-serif" w:hAnsi="Arial Narrow;sans-serif"/>
          <w:b w:val="false"/>
          <w:i/>
          <w:color w:val="000000"/>
          <w:sz w:val="20"/>
        </w:rPr>
        <w:t xml:space="preserve">Other Regulations </w:t>
      </w:r>
      <w:r>
        <w:rPr>
          <w:color w:val="000000"/>
        </w:rPr>
        <w:t xml:space="preserve">— </w:t>
      </w:r>
      <w:r>
        <w:rPr>
          <w:rFonts w:ascii="Arial Narrow;sans-serif" w:hAnsi="Arial Narrow;sans-serif"/>
          <w:b w:val="false"/>
          <w:color w:val="000000"/>
          <w:sz w:val="20"/>
        </w:rPr>
        <w:t xml:space="preserve">Our pawn business in Mexico is subject to the General Law of Administrative Responsibility (“GLAR”), which requires us to implement an integrity policy that contains mechanisms to ensure integrity standards throughout the organization. GLAR establishes administrative penalties for improper payments to government officials, influence peddling (including the hiring of public officials and the use of undue influence) and other corrupt acts in public procurement processes. </w:t>
      </w:r>
    </w:p>
    <w:p>
      <w:pPr>
        <w:pStyle w:val="TextBody"/>
        <w:bidi w:val="0"/>
        <w:spacing w:lineRule="auto" w:line="288" w:before="180" w:after="283"/>
        <w:jc w:val="left"/>
        <w:rPr/>
      </w:pPr>
      <w:r>
        <w:rPr>
          <w:rFonts w:ascii="Arial Narrow;sans-serif" w:hAnsi="Arial Narrow;sans-serif"/>
          <w:b w:val="false"/>
          <w:color w:val="000000"/>
          <w:sz w:val="20"/>
        </w:rPr>
        <w:t>We are also subject to The Federal Law for the Prevention and Identification of Transactions with Funds from Illegal Sources, which requires reporting of certain transactions exceeding certain monetary limits, the appointment of a compliance officer and maintenance of customer identification records and controls. This law affects all vulnerable activities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and, to the extent possible, money laundering activities protected by the anonymity that such cash tra</w:t>
      </w:r>
      <w:r>
        <w:rPr>
          <w:rFonts w:ascii="Arial Narrow;sans-serif" w:hAnsi="Arial Narrow;sans-serif"/>
          <w:b w:val="false"/>
          <w:color w:val="000000"/>
          <w:sz w:val="20"/>
          <w:shd w:fill="FFFFFF" w:val="clear"/>
        </w:rPr>
        <w:t>nsactions provide. Relevant aspects of the law specifically affecting the pawn industry include monthly reporting on “vulnerable activities,” which include pawn transactions exceedin</w:t>
      </w:r>
      <w:r>
        <w:rPr>
          <w:rFonts w:ascii="Arial Narrow;sans-serif" w:hAnsi="Arial Narrow;sans-serif"/>
          <w:b w:val="false"/>
          <w:color w:val="000000"/>
          <w:sz w:val="20"/>
        </w:rPr>
        <w:t>g 174,254.85 Mexican pesos and retail transactions of precious metals exceeding 174.254.85 Mexican pesos. Retail transactions of precious metals in cash exceeding 348,509.70 Mexican pesos are prohibited. There are significant fines and sanctions for failure to comply with these rules.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must also comply with the Official Mexican Standards issued by regulatory agencies in accordance with Article 40 of the Federal Law on Metrology and Standardization, which establishes rules applicable to a retail products and services and related disclosures, labeling and marketing, including NOM-179-SCFI-2016, NOM-017-SCFI-1993 and NOM-024-SCFI-2013.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Latin American Regulations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Local governmental entities in Guatemala, El Salvador and Honduras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and other documents with the Securities and Exchange Commission (“SEC”) under the Securities Exchange Act of 1934, as amended (the “Exchange Act”). The SEC maintains an internet website that contains reports and other information regarding issuers that file electronically with the SEC. The public can obtain any documents that we file with the SEC at www.sec.gov.</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website at www.ezcorp.com. Our filings with the SEC, including our Annual Reports on Form 10-K, quarterly reports on Form 10-Q, current reports on Form 8-K and Section 16 filings, are available free of charge through links maintained on our website under the heading “Investor Relations — SEC Filings.” Information contained on our website is not incorporated by reference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1B. UNRESOLVED STAFF COMMENTS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1"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There are many risks and uncertainties that may affect our operations, performance, development and results. Many of these risks are beyond our control. The following is a description of the important risk factors that may affect our business. If any of these risks were to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Company Specific Risks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or failure to comply with, laws and regulations affecting our products and services could have a material adverse effect on our operations and financial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 significant portion of our U.S. business is concentrated in Texas and Florida.</w:t>
      </w:r>
    </w:p>
    <w:p>
      <w:pPr>
        <w:pStyle w:val="TextBody"/>
        <w:bidi w:val="0"/>
        <w:spacing w:lineRule="auto" w:line="288" w:before="180" w:after="283"/>
        <w:jc w:val="left"/>
        <w:rPr/>
      </w:pPr>
      <w:r>
        <w:rPr>
          <w:rFonts w:ascii="Arial Narrow;sans-serif" w:hAnsi="Arial Narrow;sans-serif"/>
          <w:b w:val="false"/>
          <w:color w:val="000000"/>
          <w:sz w:val="20"/>
          <w:shd w:fill="FFFFFF" w:val="clear"/>
        </w:rPr>
        <w:t>As of September 30, 2024, more</w:t>
      </w:r>
      <w:r>
        <w:rPr>
          <w:color w:val="000000"/>
        </w:rPr>
        <w:t xml:space="preserve"> </w:t>
      </w:r>
      <w:r>
        <w:rPr>
          <w:rFonts w:ascii="Arial Narrow;sans-serif" w:hAnsi="Arial Narrow;sans-serif"/>
          <w:b w:val="false"/>
          <w:color w:val="000000"/>
          <w:sz w:val="20"/>
        </w:rPr>
        <w:t xml:space="preserve">than 63% of our U.S. pawn stores were located in Texas (46%) and Florida (17%), and those stores </w:t>
      </w:r>
      <w:r>
        <w:rPr>
          <w:rFonts w:ascii="Arial Narrow;sans-serif" w:hAnsi="Arial Narrow;sans-serif"/>
          <w:b w:val="false"/>
          <w:color w:val="000000"/>
          <w:sz w:val="20"/>
          <w:shd w:fill="FFFFFF" w:val="clear"/>
        </w:rPr>
        <w:t>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 significant or sudden decrease in gold values or the volume of gold transactions may have a material impact on our earnings and financial position.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Gold jewelry comprises a large portion of the collateral security for our pawn loans and our inventory. PSC,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PLO and PSC.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2"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Fluctuations in our sales, PLO, sales margins and pawn redemption rates could have a material adverse impact on our operating results.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Achievement of our growth objectives is dependent upon our ability to open and acquire new stores.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continue to have limited indemnity obligations to AlphaCredit for pre-closing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terms of the Purchase Agreement related to the sale of our 94%-owned subsidiary, Prestaciones Finmart, S.A.P.I. de C.V., SOFOM, E.N.R. ("Grupo Finmart") to Alpha Holding, S.A. de C.V. (“AlphaCredit”) in September 2016,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The final payments from AlphaCredit totaling $8.0 million were placed into escrow in 2019 pending resolution of the potential indemnity claim.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statute of limitations applicable to most of the pre-closing years has now expired, but AlphaCredit has informed us that they filed an amended return for 2016, which they claim extends the statute of limitations for that year. We are continuing to pursue release of the funds.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One person beneficially owns all of our voting stock and generally controls the outcome of all matters requiring a vote of stockholders, which may influence the value of our publicly traded non-voting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Mr. Cohen is a member of our Board of Directors and serves as Executive Chairman. As a member of the Board, Mr. Cohen is entitled to vote on all matters requiring approval of the Board. Our Bylaws currently provide that the 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a significant firearms business in the U.S., which exposes us to increased risks of regulatory fines and penalties, lawsuits and related liabilities.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business is subject to Team Member and third-party robberies, burglaries and other crimes at the store level.</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 protect against catastrophic loss or exposure, there can be no assurance that these crimes will not occur or that such losses will not have an adverse effect on our business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3"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competition from various sources could have a material adverse impact on our ability to achieve our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continued profitability and growth plans are dependent on our ability to successfully design or acquire, deploy and maintain information technology and other business systems to support our current business and our planned growth and expansion.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pStyle w:val="TextBody"/>
        <w:bidi w:val="0"/>
        <w:spacing w:lineRule="auto" w:line="288" w:before="180" w:after="283"/>
        <w:jc w:val="left"/>
        <w:rPr/>
      </w:pPr>
      <w:r>
        <w:rPr>
          <w:rFonts w:ascii="Arial Narrow;sans-serif" w:hAnsi="Arial Narrow;sans-serif"/>
          <w:b/>
          <w:i/>
          <w:color w:val="000000"/>
          <w:sz w:val="20"/>
          <w:shd w:fill="FFFFFF" w:val="clear"/>
        </w:rPr>
        <w:t xml:space="preserve">We invested in </w:t>
      </w:r>
      <w:r>
        <w:rPr>
          <w:rFonts w:ascii="Arial Narrow;sans-serif" w:hAnsi="Arial Narrow;sans-serif"/>
          <w:b/>
          <w:i/>
          <w:color w:val="000000"/>
          <w:sz w:val="20"/>
        </w:rPr>
        <w:t>Cash Converters International Limited</w:t>
      </w:r>
      <w:r>
        <w:rPr>
          <w:color w:val="000000"/>
          <w:shd w:fill="FFFFFF" w:val="clear"/>
        </w:rPr>
        <w:t xml:space="preserve"> </w:t>
      </w:r>
      <w:r>
        <w:rPr>
          <w:rFonts w:ascii="Arial Narrow;sans-serif" w:hAnsi="Arial Narrow;sans-serif"/>
          <w:b/>
          <w:i/>
          <w:color w:val="000000"/>
          <w:sz w:val="20"/>
          <w:shd w:fill="FFFFFF" w:val="clear"/>
        </w:rPr>
        <w:t>for strategic reasons. Law or regulatory changes in Australia or other jurisdictions in which Cash Converters operates, or other factors, could adversely affect Cash Converters’ operating performance, our share of which would be reflected in our own financial statements due to the equity method of accounting. Further, if that operating performance, or other factors, adversely impact the value of Cash Converters’ publicly traded stock, then we may be required to impair our investment, as we have done in the past.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own 43.7% of the outstanding ordinary shares of Cash Converters, which is a publicly traded company based in Australia. We made the initial investment in November 2009 and have made incremental investments periodically since then. The success of this strategic investment is dependent on a variety of factors, including Cash Converters’ business performance and the market’s assessment of that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the Australian Parliament passed the Financial Sector Reform Bill 2022, which establishes lending limits on small amount credit contracts and that bill became effective in June 2023. To reflect the expected adverse impact to its operating results, Cash Converters recorded a one-time, non-cash impairment expense during the period ended December 31, 2022 and we recorded our share of that charge during the second quarter of our fiscal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recorded a number of impairments to the carrying value of our investment in Cash Converters in the past. After an analysis of Cash Converters’ stock price performance and other factors, we determined the fair value of our investment in Cash Converters at September 30, 2024 was greater than its carrying value. See Note 3: Strategic Investments of Notes to Consolidated Financial Statements included in “Part II, Item 8 — Financial Statements and Supplementary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on favorable terms, should we decide to do so in the future.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Our ability to recover our investments in other companies (such as our indirect investment in Simple Management Group, Inc. and our investment in Rich Data Corporation) is heavily dependent on the success and performance of those companies, including their respective ability to obtain further debt or equity financing.</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certain investments in other companies. See Note 1: Organization And Summary Of Significant Accounting Policies — Investments of Notes to Consolidated Financial Statements included in “Part II, Item 8 — Financial Statements and Supplementary Data.” Our ability to recover our investment in these companies is heavily dependent on their success and performance, potentially including their ability to obtain further debt or equity financing. To the extent that any of such companies are not successful, we may be required in future periods to impair our investment and recognize related investment losses.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incur property, casualty or other losses, including losses related to natural disasters such as hurricanes, earthquakes and volcanoes. Not all such losses will be covered by insurance.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4"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PLO, inventory, pawn service charges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pStyle w:val="TextBody"/>
        <w:bidi w:val="0"/>
        <w:spacing w:lineRule="auto" w:line="288" w:before="180" w:after="283"/>
        <w:jc w:val="left"/>
        <w:rPr/>
      </w:pPr>
      <w:r>
        <w:rPr>
          <w:rFonts w:ascii="Arial Narrow;sans-serif" w:hAnsi="Arial Narrow;sans-serif"/>
          <w:b w:val="false"/>
          <w:color w:val="000000"/>
          <w:sz w:val="20"/>
          <w:shd w:fill="FFFFFF" w:val="clear"/>
        </w:rPr>
        <w:t>The carrying value of our goo</w:t>
      </w:r>
      <w:r>
        <w:rPr>
          <w:rFonts w:ascii="Arial Narrow;sans-serif" w:hAnsi="Arial Narrow;sans-serif"/>
          <w:b w:val="false"/>
          <w:color w:val="000000"/>
          <w:sz w:val="20"/>
        </w:rPr>
        <w:t xml:space="preserve">dwill was $306.5 million, or approximately 21% of our total assets, as of September 30, 2024. We test goodwill and intangible assets with an indefinite life for potential impairment annually, or more frequently if an event </w:t>
      </w:r>
      <w:r>
        <w:rPr>
          <w:rFonts w:ascii="Arial Narrow;sans-serif" w:hAnsi="Arial Narrow;sans-serif"/>
          <w:b w:val="false"/>
          <w:color w:val="000000"/>
          <w:sz w:val="20"/>
          <w:shd w:fill="FFFFFF" w:val="clear"/>
        </w:rPr>
        <w:t>occurs or circumstances change that would more-likely-than-not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performing our annual test of goodwill for impairment in the fourth quarter,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1: Organization and Summary of Significant Accounting Policies</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Note 6: Goodwill and Intangible Assets</w:t>
      </w:r>
      <w:r>
        <w:rPr>
          <w:color w:val="000000"/>
          <w:shd w:fill="FFFFFF" w:val="clear"/>
        </w:rPr>
        <w:t xml:space="preserve"> </w:t>
      </w:r>
      <w:r>
        <w:rPr>
          <w:rFonts w:ascii="Arial Narrow;sans-serif" w:hAnsi="Arial Narrow;sans-serif"/>
          <w:b w:val="false"/>
          <w:color w:val="000000"/>
          <w:sz w:val="20"/>
          <w:shd w:fill="FFFFFF" w:val="clear"/>
        </w:rPr>
        <w:t xml:space="preserve">of </w:t>
      </w:r>
      <w:r>
        <w:rPr>
          <w:rFonts w:ascii="Arial Narrow;sans-serif" w:hAnsi="Arial Narrow;sans-serif"/>
          <w:b w:val="false"/>
          <w:color w:val="000000"/>
          <w:sz w:val="20"/>
        </w:rPr>
        <w:t>Notes to Consolidated Financial Statements included in “Part II, Item 8 — Financial Statements and Supplementary Data”</w:t>
      </w:r>
      <w:r>
        <w:rPr>
          <w:color w:val="000000"/>
          <w:shd w:fill="FFFFFF" w:val="clear"/>
        </w:rPr>
        <w:t xml:space="preserve"> </w:t>
      </w:r>
      <w:r>
        <w:rPr>
          <w:rFonts w:ascii="Arial Narrow;sans-serif" w:hAnsi="Arial Narrow;sans-serif"/>
          <w:b w:val="false"/>
          <w:color w:val="000000"/>
          <w:sz w:val="20"/>
          <w:shd w:fill="FFFFFF" w:val="clear"/>
        </w:rPr>
        <w:t>for a discussion of our annual impairment tests performed for goodwill and indefinite-lived intangible assets.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The conversion feature of our convertible notes, if triggered, may adversely affect our financial condition and operating results.</w:t>
      </w:r>
    </w:p>
    <w:p>
      <w:pPr>
        <w:pStyle w:val="TextBody"/>
        <w:bidi w:val="0"/>
        <w:spacing w:lineRule="auto" w:line="288" w:before="180" w:after="283"/>
        <w:jc w:val="left"/>
        <w:rPr/>
      </w:pPr>
      <w:r>
        <w:rPr>
          <w:rFonts w:ascii="Arial Narrow;sans-serif" w:hAnsi="Arial Narrow;sans-serif"/>
          <w:b w:val="false"/>
          <w:color w:val="000000"/>
          <w:sz w:val="20"/>
          <w:shd w:fill="FFFFFF" w:val="clear"/>
        </w:rPr>
        <w:t>We have a</w:t>
      </w:r>
      <w:r>
        <w:rPr>
          <w:color w:val="000000"/>
        </w:rPr>
        <w:t xml:space="preserve"> </w:t>
      </w:r>
      <w:r>
        <w:rPr>
          <w:rFonts w:ascii="Arial Narrow;sans-serif" w:hAnsi="Arial Narrow;sans-serif"/>
          <w:b w:val="false"/>
          <w:color w:val="000000"/>
          <w:sz w:val="20"/>
        </w:rPr>
        <w:t>total of $333.4 million of converti</w:t>
      </w:r>
      <w:r>
        <w:rPr>
          <w:rFonts w:ascii="Arial Narrow;sans-serif" w:hAnsi="Arial Narrow;sans-serif"/>
          <w:b w:val="false"/>
          <w:color w:val="000000"/>
          <w:sz w:val="20"/>
          <w:shd w:fill="FFFFFF" w:val="clear"/>
        </w:rPr>
        <w:t xml:space="preserve">ble notes outstanding as of September 30, 2024. See </w:t>
      </w:r>
      <w:r>
        <w:rPr>
          <w:rFonts w:ascii="Arial Narrow;sans-serif" w:hAnsi="Arial Narrow;sans-serif"/>
          <w:b w:val="false"/>
          <w:color w:val="000000"/>
          <w:sz w:val="20"/>
        </w:rPr>
        <w:t>Note 7: Debt</w:t>
      </w:r>
      <w:r>
        <w:rPr>
          <w:color w:val="000000"/>
          <w:shd w:fill="FFFFFF" w:val="clear"/>
        </w:rPr>
        <w:t xml:space="preserve"> </w:t>
      </w:r>
      <w:r>
        <w:rPr>
          <w:rFonts w:ascii="Arial Narrow;sans-serif" w:hAnsi="Arial Narrow;sans-serif"/>
          <w:b w:val="false"/>
          <w:color w:val="000000"/>
          <w:sz w:val="20"/>
          <w:shd w:fill="FFFFFF" w:val="clear"/>
        </w:rPr>
        <w:t>of Notes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Conversion of our convertible notes into stock may dilute the ownership interests of existing stockholders or may otherwise depress the price of our Class A Common Stock.</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 anticipated conversion of the notes into shares of our Class A Common Stock could depress the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5"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a limited number of unreserved shares available for future issuance, which may limit our ability to conduct future financings and other transactions and our ability to offer equity awards to management.</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Our certificate of incorporation currently authorizes us to issue up to 100 million shares of Class A Common Stock. Taking into consideration the shares that are issued and outstanding, as well as the shares that have been reserved for issuance pursuant to convertible notes, </w:t>
      </w:r>
      <w:r>
        <w:rPr>
          <w:rFonts w:ascii="Arial Narrow;sans-serif" w:hAnsi="Arial Narrow;sans-serif"/>
          <w:b w:val="false"/>
          <w:color w:val="000000"/>
          <w:sz w:val="20"/>
        </w:rPr>
        <w:t>outstanding equity incentive compensation awards and the conversion of the Class B Common Stock, we had approximately 7.7 million shar</w:t>
      </w:r>
      <w:r>
        <w:rPr>
          <w:rFonts w:ascii="Arial Narrow;sans-serif" w:hAnsi="Arial Narrow;sans-serif"/>
          <w:b w:val="false"/>
          <w:color w:val="000000"/>
          <w:sz w:val="20"/>
          <w:shd w:fill="FFFFFF" w:val="clear"/>
        </w:rPr>
        <w:t xml:space="preserve">es of authorized Class A Common Stock available for other uses as of September 30, </w:t>
      </w:r>
      <w:r>
        <w:rPr>
          <w:rFonts w:ascii="Arial Narrow;sans-serif" w:hAnsi="Arial Narrow;sans-serif"/>
          <w:b w:val="false"/>
          <w:color w:val="000000"/>
          <w:sz w:val="20"/>
        </w:rPr>
        <w:t>2024</w:t>
      </w:r>
      <w:r>
        <w:rPr>
          <w:rFonts w:ascii="Arial Narrow;sans-serif" w:hAnsi="Arial Narrow;sans-serif"/>
          <w:b w:val="false"/>
          <w:color w:val="000000"/>
          <w:sz w:val="20"/>
          <w:shd w:fill="FFFFFF" w:val="clear"/>
        </w:rPr>
        <w:t xml:space="preserve">. We expect that number will be reduced to </w:t>
      </w:r>
      <w:r>
        <w:rPr>
          <w:rFonts w:ascii="Arial Narrow;sans-serif" w:hAnsi="Arial Narrow;sans-serif"/>
          <w:b w:val="false"/>
          <w:color w:val="000000"/>
          <w:sz w:val="20"/>
        </w:rPr>
        <w:t>7.0 million fol</w:t>
      </w:r>
      <w:r>
        <w:rPr>
          <w:rFonts w:ascii="Arial Narrow;sans-serif" w:hAnsi="Arial Narrow;sans-serif"/>
          <w:b w:val="false"/>
          <w:color w:val="000000"/>
          <w:sz w:val="20"/>
          <w:shd w:fill="FFFFFF" w:val="clear"/>
        </w:rPr>
        <w:t>lowing the issuance of currently approved Long-Term Incentive awards in November 2024</w:t>
      </w:r>
      <w:r>
        <w:rPr>
          <w:rFonts w:ascii="Arial Narrow;sans-serif" w:hAnsi="Arial Narrow;sans-serif"/>
          <w:b w:val="false"/>
          <w:color w:val="000000"/>
          <w:sz w:val="20"/>
        </w:rPr>
        <w:t>. There</w:t>
      </w:r>
      <w:r>
        <w:rPr>
          <w:rFonts w:ascii="Arial Narrow;sans-serif" w:hAnsi="Arial Narrow;sans-serif"/>
          <w:b w:val="false"/>
          <w:color w:val="000000"/>
          <w:sz w:val="20"/>
          <w:shd w:fill="FFFFFF" w:val="clear"/>
        </w:rPr>
        <w:t>fore, our ability to issue shares of Class A Common Stock (other than pursuant to the existing reserved-for commitments), or securities or instruments that are convertible into or exchangeable for shares of Class A Common Stock, may be limited until such time additional authorized, unissued and unreserved shares become available or unless we determine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General Risks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Public health issues could adversely affect our financial condition, results of operations or liquidity.</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business may be impacted by public health issues, such as COVID-19, other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have significant operations in Latin America, and changes in the business, regulatory, political or social climate could impact our operations there, which could adversely affect our results of operations and growth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own and operate a significant number of pawn stores in Latin America (primarily Mexico, but also Guatemala, El Salvador and Honduras). Further, our growth plans include potential expansion in some of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description of the current regulatory environment in the Latin American countries in which we operate, see “Mexico Regulations” and “Other Latin America Regulations” under “Part I, Item 1 — Business — Regulation.”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 xml:space="preserve">A significant change in foreign currency exchange rates could have a material adverse impact on our earnings and financial position.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have foreign operations in Latin America (primarily Mexico, but also Guatemala, El Salvador and Honduras)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Litigation and regulatory proceedings could have a material adverse impact on our business.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6"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our ultimate liability in any such proceeding (or any combination of proceedings that are included in the same policy year) exceeds the management liability policy limits, our results of operations and financial condition could be adversely affected.</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Our acquisitions, investments and other transactions could disrupt our ongoing business and harm our results of operations.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 — Regulation.” Further, our business is expanding in countries and regions that are less developed and are generally recognized as potentially more corrupt business and political environments.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Changes in our liquidity and capital requirements or in access to capital markets or other financing and transactional banking sources could limit our ability to achieve our plans.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7"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collect and store a variety of sensitive customer information, and breaches in data security or other cyber-attacks could harm our business operations and lead to reputational damage.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pStyle w:val="TextBody"/>
        <w:bidi w:val="0"/>
        <w:spacing w:lineRule="auto" w:line="288" w:before="180" w:after="283"/>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We may face business interruptions or other adverse effects on our operations and growth.</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pStyle w:val="TextBody"/>
        <w:bidi w:val="0"/>
        <w:spacing w:lineRule="auto" w:line="288" w:before="180" w:after="283"/>
        <w:jc w:val="left"/>
        <w:rPr/>
      </w:pPr>
      <w:r>
        <w:rPr>
          <w:rFonts w:ascii="Arial Narrow;sans-serif" w:hAnsi="Arial Narrow;sans-serif"/>
          <w:b/>
          <w:i/>
          <w:color w:val="000000"/>
          <w:sz w:val="20"/>
        </w:rPr>
        <w:t xml:space="preserve">We face other risks discussed under </w:t>
      </w:r>
      <w:r>
        <w:rPr>
          <w:color w:val="000000"/>
        </w:rPr>
        <w:t>“</w:t>
      </w:r>
      <w:r>
        <w:rPr>
          <w:rFonts w:ascii="Arial Narrow;sans-serif" w:hAnsi="Arial Narrow;sans-serif"/>
          <w:b/>
          <w:i/>
          <w:color w:val="000000"/>
          <w:sz w:val="20"/>
        </w:rPr>
        <w:t>Part II, Item 7A — Quantitative and Qualitative Disclosures about Market Risk.</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1C. CYBERSECURITY</w:t>
      </w:r>
    </w:p>
    <w:p>
      <w:pPr>
        <w:pStyle w:val="TextBody"/>
        <w:bidi w:val="0"/>
        <w:spacing w:before="0" w:after="0"/>
        <w:jc w:val="left"/>
        <w:rPr/>
      </w:pPr>
      <w:r>
        <w:rPr/>
      </w:r>
    </w:p>
    <w:p>
      <w:pPr>
        <w:pStyle w:val="TextBody"/>
        <w:bidi w:val="0"/>
        <w:spacing w:lineRule="auto" w:line="256" w:before="0" w:after="0"/>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Cybersecurity Risk Management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face various cybersecurity risks, including those related to unauthorized access to and misuse of data, system interruptions, ransomware, malicious software and other threats. Our cybersecurity program incorporates information technology, retail technology and customer products designed to mitigate cyber risks. Our security measures are customized to meet our unique business requirements and encompass firewalls, intrusion detection and prevention systems, encryption and multi-factor authentication. We also engage external experts to enhance and assess our cybersecurity measures in the form of maturity assessments, incident response, penetration testing and other advisory services. We adhere to the practices and standards outlined by the National Institute of Standards and Technology Cyber Security Framework.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employ continual monitoring of our systems and data, managed by an external detection and response firm. In the event of a cyber incident, we maintain an incident response plan coordinated across multiple departments. This strategy is designed for rapid and effective incident management to minimize operational disruption. Our response protocol includes steps for detection, containment, eradication, recovery and post-incident review, including impact on safety, data loss, operational disruption, cost and potential reputational damage.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Recognizing our employees as a vital defense mechanism, we provide cybersecurity, privacy and information-handling training. Additionally, we conduct regular phishing exercises to enhance employee vigilance. Our educational programs aim to raise awareness about cyber risks and teach employees to safeguard the Company, our customers and themselves against cyber threats. These programs inform our workforce about the latest cybersecurity dangers and safe online practices, including secure access, phishing awareness, remote work security and reporting suspicious activities.</w:t>
      </w:r>
    </w:p>
    <w:p>
      <w:pPr>
        <w:pStyle w:val="TextBody"/>
        <w:bidi w:val="0"/>
        <w:spacing w:lineRule="auto" w:line="256" w:before="0" w:after="180"/>
        <w:jc w:val="left"/>
        <w:rPr>
          <w:rFonts w:ascii="Arial Narrow;sans-serif" w:hAnsi="Arial Narrow;sans-serif"/>
          <w:b/>
          <w:i/>
          <w:color w:val="000000"/>
          <w:sz w:val="20"/>
          <w:shd w:fill="FFFFFF" w:val="clear"/>
        </w:rPr>
      </w:pPr>
      <w:r>
        <w:rPr>
          <w:rFonts w:ascii="Arial Narrow;sans-serif" w:hAnsi="Arial Narrow;sans-serif"/>
          <w:b/>
          <w:i/>
          <w:color w:val="000000"/>
          <w:sz w:val="20"/>
          <w:shd w:fill="FFFFFF" w:val="clear"/>
        </w:rPr>
        <w:t>Cybersecurity Governance and Oversight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cybersecurity governance framework is structured to promote accountability and ongoing enhancement of cybersecurity measures. Management of the cybersecurity program involves cross-functional resources, our Cyber and Technology Risk Committee, an internal multi-departmental committee formed to address cyber and data privacy matters. The cybersecurity program is led by our Chief Information Security Officer (“CISO”) who reports to the Chief Legal Officer. The Internal Audit Department monitors and reviews our cybersecurity initiatives.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Board of Directors is responsible for overseeing and monitoring the material risks facing the Company. The Audit and Risk Committee of the Board is charged with overseeing our risk management framework, including cybersecurity risks. The CISO reports directly to the Audit and Risk Committee on cybersecurity risks on a quarterly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8"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date, we have not identified any cybersecurity threats or incidents that have had or are likely to have a material impact on our business, financial condition or results of operations. Nonetheless, the escalation of cybersecurity threats poses a risk to our systems, networks and products and services, which, despite our efforts to mitigate these risks, may not protect against all incidents. For a detailed discussion on how cybersecurity risks could materially impact our business, see “Part I, Item 1A —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PROPERTIES</w:t>
      </w:r>
    </w:p>
    <w:p>
      <w:pPr>
        <w:pStyle w:val="TextBody"/>
        <w:bidi w:val="0"/>
        <w:spacing w:lineRule="auto" w:line="288" w:before="180" w:after="283"/>
        <w:jc w:val="left"/>
        <w:rPr/>
      </w:pPr>
      <w:r>
        <w:rPr>
          <w:rFonts w:ascii="Arial Narrow;sans-serif" w:hAnsi="Arial Narrow;sans-serif"/>
          <w:b w:val="false"/>
          <w:color w:val="000000"/>
          <w:sz w:val="20"/>
        </w:rPr>
        <w:t>We lease our pawn store locations, which are located throughout our geographic areas of operations. See “Part I, Item 1 — Business — Segment and Geographic Information.” 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w:t>
      </w:r>
      <w:r>
        <w:rPr>
          <w:rFonts w:ascii="Arial Narrow;sans-serif" w:hAnsi="Arial Narrow;sans-serif"/>
          <w:b w:val="false"/>
          <w:color w:val="000000"/>
          <w:sz w:val="20"/>
          <w:shd w:fill="FFFFFF" w:val="clear"/>
        </w:rPr>
        <w:t>e maintain or reimburse our landlords for maintaining property and general liability insurance for each of our stores. Our stores are open six or seven days a w</w:t>
      </w:r>
      <w:r>
        <w:rPr>
          <w:rFonts w:ascii="Arial Narrow;sans-serif" w:hAnsi="Arial Narrow;sans-serif"/>
          <w:b w:val="false"/>
          <w:color w:val="000000"/>
          <w:sz w:val="20"/>
        </w:rPr>
        <w:t xml:space="preserve">eek.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Leases for our U.S. locations generally have initial terms ranging from three to ten years and typically allow for renewals in increments of three-to-five years. Our primary corporate office is located in Austin, Texas and is leased through March 2029 with escalating rent payments annually and includes two five-year extension options at the end of the lease term. Our locations in Latin America are generally leased on three-to-five year terms.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existing leases expire on various dates through fiscal 2039,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2024, we had a total of 1,279 stores, 542 of which are located in the U.S., with 46% located in Texas, 17% in Florida and the remainder spread across 17 other states. We also have 565 locations in Mexico, 133 in Guatemala, 18 in El Salvador and 21 in Honduras.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addition to our store leases, we lease approximately 108,000 square feet of corporate office space in Austin, Texas (70,742 square feet of which is being subleased or made available for sublease to other tenants). We lease other corporate office space in Mexico (8,600 square feet), Guatemala (3,500 square feet), El Salvador (4,500 square feet) and Honduras (1,200 square feet).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additional information about store locations, see “Part I, Item 1 — Business — Segment and Geographic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LEGAL PROCEEDINGS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11: Contingencies of Notes to Consolidated Financial Statements included in “Part II, Item 8 —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MINE SAFETY DISCLOSURES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9"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5. MARKET FOR REGISTRANT'S COMMON EQUITY, RELATED STOCKHOLDER MATTERS AND ISSUER PURCHASES OF EQUITY SECURITIES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Market Information</w:t>
      </w:r>
    </w:p>
    <w:p>
      <w:pPr>
        <w:pStyle w:val="TextBody"/>
        <w:bidi w:val="0"/>
        <w:spacing w:lineRule="auto" w:line="288" w:before="180" w:after="283"/>
        <w:jc w:val="left"/>
        <w:rPr/>
      </w:pPr>
      <w:r>
        <w:rPr>
          <w:rFonts w:ascii="Arial Narrow;sans-serif" w:hAnsi="Arial Narrow;sans-serif"/>
          <w:b w:val="false"/>
          <w:color w:val="000000"/>
          <w:sz w:val="20"/>
        </w:rPr>
        <w:t>Our Class A Non-Voting Common Stock (“Class A Common Stock”) is traded on the NASDAQ Stock Market under the symbol “EZPW.” As of November 1, 2024, there were approximately 69 registered stockholders of record of our Class A Common Stock. There is no trading market for our Class B Voting Common Stock (“Class B Common Stock”), which was held by one stockholder as of</w:t>
      </w:r>
      <w:r>
        <w:rPr>
          <w:color w:val="000000"/>
          <w:shd w:fill="FFFFFF" w:val="clear"/>
        </w:rPr>
        <w:t xml:space="preserve"> </w:t>
      </w:r>
      <w:r>
        <w:rPr>
          <w:rFonts w:ascii="Arial Narrow;sans-serif" w:hAnsi="Arial Narrow;sans-serif"/>
          <w:b w:val="false"/>
          <w:color w:val="000000"/>
          <w:sz w:val="20"/>
          <w:shd w:fill="FFFFFF" w:val="clear"/>
        </w:rPr>
        <w:t xml:space="preserve">November 1, </w:t>
      </w:r>
      <w:r>
        <w:rPr>
          <w:rFonts w:ascii="Arial Narrow;sans-serif" w:hAnsi="Arial Narrow;sans-serif"/>
          <w:b w:val="false"/>
          <w:color w:val="000000"/>
          <w:sz w:val="20"/>
        </w:rPr>
        <w:t>2024. As of September 30, 2024, the closing sales price of our Class A Common Stock, as reported by the NASDAQ Stock Market, was $11.21 per share.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Performance Graph</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2019. The graph depicts the change in the value of our Class A Common Stock relative to the indices at the end of each fiscal year and not for any interim period. Historical stock price performance is not necessarily indicative of future stock price performance.</w:t>
      </w:r>
    </w:p>
    <w:p>
      <w:pPr>
        <w:pStyle w:val="TextBody"/>
        <w:bidi w:val="0"/>
        <w:spacing w:before="180" w:after="283"/>
        <w:jc w:val="center"/>
        <w:rPr/>
      </w:pPr>
      <w:r>
        <w:rPr/>
        <w:drawing>
          <wp:inline distT="0" distB="0" distL="0" distR="0">
            <wp:extent cx="6400800" cy="4286250"/>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6400800" cy="42862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tbl>
      <w:tblPr>
        <w:tblW w:w="5750" w:type="dxa"/>
        <w:jc w:val="center"/>
        <w:tblInd w:w="0" w:type="dxa"/>
        <w:tblLayout w:type="fixed"/>
        <w:tblCellMar>
          <w:top w:w="28" w:type="dxa"/>
          <w:left w:w="28" w:type="dxa"/>
          <w:bottom w:w="28" w:type="dxa"/>
          <w:right w:w="28" w:type="dxa"/>
        </w:tblCellMar>
      </w:tblPr>
      <w:tblGrid>
        <w:gridCol w:w="761"/>
        <w:gridCol w:w="666"/>
        <w:gridCol w:w="672"/>
        <w:gridCol w:w="199"/>
        <w:gridCol w:w="199"/>
        <w:gridCol w:w="203"/>
        <w:gridCol w:w="198"/>
        <w:gridCol w:w="198"/>
        <w:gridCol w:w="205"/>
        <w:gridCol w:w="199"/>
        <w:gridCol w:w="199"/>
        <w:gridCol w:w="203"/>
        <w:gridCol w:w="199"/>
        <w:gridCol w:w="199"/>
        <w:gridCol w:w="203"/>
        <w:gridCol w:w="199"/>
        <w:gridCol w:w="199"/>
        <w:gridCol w:w="203"/>
        <w:gridCol w:w="189"/>
        <w:gridCol w:w="189"/>
        <w:gridCol w:w="268"/>
      </w:tblGrid>
      <w:tr>
        <w:trPr/>
        <w:tc>
          <w:tcPr>
            <w:tcW w:w="7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Company Index</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2019</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2020</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EZCORP, INC.</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$77.86</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$117.18</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$119.35</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$127.71</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$173.53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NASDAQ Composite Index</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$139.61</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$180.62</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$132.21</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$165.26</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$227.38</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NASDAQ Other Finance Index</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$100.00</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$104.68</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$127.41</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$87.79</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$106.70</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$128.75</w:t>
            </w:r>
          </w:p>
        </w:tc>
      </w:tr>
    </w:tbl>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Share Repurchase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provides certain information about our repurchase of shares of Class A Non-voting Common Stock during the quarter ended September 30, 2024. All repurchases during the quarter were made in open market transactions at prevailing market prices and were executed pursuant to a trading plan under Rule 10b5-1 under the Securities Exchange Act of 1934.</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4"/>
        <w:gridCol w:w="414"/>
        <w:gridCol w:w="418"/>
        <w:gridCol w:w="109"/>
        <w:gridCol w:w="109"/>
        <w:gridCol w:w="109"/>
        <w:gridCol w:w="457"/>
        <w:gridCol w:w="457"/>
        <w:gridCol w:w="459"/>
        <w:gridCol w:w="109"/>
        <w:gridCol w:w="109"/>
        <w:gridCol w:w="109"/>
        <w:gridCol w:w="109"/>
        <w:gridCol w:w="109"/>
        <w:gridCol w:w="269"/>
        <w:gridCol w:w="739"/>
        <w:gridCol w:w="162"/>
        <w:gridCol w:w="109"/>
        <w:gridCol w:w="109"/>
        <w:gridCol w:w="109"/>
        <w:gridCol w:w="722"/>
        <w:gridCol w:w="722"/>
        <w:gridCol w:w="725"/>
        <w:gridCol w:w="109"/>
        <w:gridCol w:w="109"/>
        <w:gridCol w:w="109"/>
        <w:gridCol w:w="495"/>
        <w:gridCol w:w="1570"/>
        <w:gridCol w:w="436"/>
      </w:tblGrid>
      <w:tr>
        <w:trPr/>
        <w:tc>
          <w:tcPr>
            <w:tcW w:w="63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828" w:type="dxa"/>
            <w:gridSpan w:val="6"/>
            <w:tcBorders/>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Approximate Dollar Value of Shares That May Yet Be Purchased Under the Programs (1)</w:t>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828" w:type="dxa"/>
            <w:gridSpan w:val="6"/>
            <w:tcBorders/>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July 1, 2024 through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26,015 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1, 2024 through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92,870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24,933 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September 1, 2024 through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24,019 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Quarter ended 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272,754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24,019 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
        <w:gridCol w:w="120"/>
        <w:gridCol w:w="109"/>
        <w:gridCol w:w="2879"/>
        <w:gridCol w:w="2879"/>
        <w:gridCol w:w="4082"/>
      </w:tblGrid>
      <w:tr>
        <w:trPr/>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On May 3, 2022, the Board of Directors approved a share repurchase program, under which the Company is authorized to repurchase up to $50 million of our Class A Non-Voting Common Stock over a three-year period. Execution of the program will be responsive to fluctuating market conditions and valuations, liquidity needs and the expected return on investment compared to other opportunities.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7. MANAGEMENT'S DISCUSSION AND ANALYSIS OF FINANCIAL CONDITION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or the “Company”) for the two-year period ended September 30, 2024. The following discussion should be read together with our consolidated financial statements and accompanying notes included in “Part II, Item 8 — Financial Statements and Supplementary Data.” This discussion and analysis contains forward-looking statements, and our actual results could differ materially from those anticipated in these forward-looking statements. See “Part I, Item 1A — Risk Factors” and “Cautionary Statement Regarding Risks and Uncertainties That May Affect Future Results” below.</w:t>
      </w:r>
    </w:p>
    <w:p>
      <w:pPr>
        <w:pStyle w:val="TextBody"/>
        <w:bidi w:val="0"/>
        <w:spacing w:lineRule="auto" w:line="288" w:before="180" w:after="180"/>
        <w:jc w:val="left"/>
        <w:rPr>
          <w:rFonts w:ascii="Arial Narrow;sans-serif" w:hAnsi="Arial Narrow;sans-serif"/>
          <w:b/>
          <w:color w:val="00497F"/>
          <w:sz w:val="28"/>
        </w:rPr>
      </w:pPr>
      <w:r>
        <w:rPr>
          <w:rFonts w:ascii="Arial Narrow;sans-serif" w:hAnsi="Arial Narrow;sans-serif"/>
          <w:b/>
          <w:color w:val="00497F"/>
          <w:sz w:val="28"/>
        </w:rPr>
        <w:t>Business Development</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September 11, 2024, the Company announced entry into an acquisition agreement with Presta Dinero, S.A. de C.V. for the purchase of 53 pawn stores in Mexico. While at the time we expected to complete the transaction by October 31, 2024, the transaction has not yet closed and the parties remain in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Non-GAAP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supplement our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(in the case of constant currency) and our store operations (in the case of same store results)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fiscal years ended September 30, 2024 and 2023 were as follows:</w:t>
      </w:r>
    </w:p>
    <w:tbl>
      <w:tblPr>
        <w:tblW w:w="6295"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21"/>
        <w:gridCol w:w="121"/>
        <w:gridCol w:w="121"/>
        <w:gridCol w:w="210"/>
        <w:gridCol w:w="211"/>
        <w:gridCol w:w="136"/>
        <w:gridCol w:w="109"/>
        <w:gridCol w:w="109"/>
        <w:gridCol w:w="109"/>
        <w:gridCol w:w="109"/>
        <w:gridCol w:w="109"/>
        <w:gridCol w:w="326"/>
        <w:gridCol w:w="326"/>
        <w:gridCol w:w="326"/>
        <w:gridCol w:w="326"/>
        <w:gridCol w:w="328"/>
        <w:gridCol w:w="109"/>
        <w:gridCol w:w="109"/>
        <w:gridCol w:w="109"/>
        <w:gridCol w:w="210"/>
        <w:gridCol w:w="211"/>
        <w:gridCol w:w="18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Twelve Months Ended</w:t>
              <w:br/>
              <w:t>September 30,</w:t>
            </w:r>
          </w:p>
        </w:tc>
        <w:tc>
          <w:tcPr>
            <w:tcW w:w="935" w:type="dxa"/>
            <w:gridSpan w:val="6"/>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Fiscal 2024 vs. Fiscal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tables, as well as the discussion that follows, should be read in conjunction with the accompanying consolidated financial statements and related notes.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Summary Financial Data </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consolidated financial data for fiscal 2024 and fiscal 2023.</w:t>
      </w:r>
    </w:p>
    <w:tbl>
      <w:tblPr>
        <w:tblW w:w="7303" w:type="dxa"/>
        <w:jc w:val="left"/>
        <w:tblInd w:w="0" w:type="dxa"/>
        <w:tblLayout w:type="fixed"/>
        <w:tblCellMar>
          <w:top w:w="28" w:type="dxa"/>
          <w:left w:w="28" w:type="dxa"/>
          <w:bottom w:w="28" w:type="dxa"/>
          <w:right w:w="28" w:type="dxa"/>
        </w:tblCellMar>
      </w:tblPr>
      <w:tblGrid>
        <w:gridCol w:w="1270"/>
        <w:gridCol w:w="1119"/>
        <w:gridCol w:w="1121"/>
        <w:gridCol w:w="181"/>
        <w:gridCol w:w="646"/>
        <w:gridCol w:w="241"/>
        <w:gridCol w:w="109"/>
        <w:gridCol w:w="109"/>
        <w:gridCol w:w="109"/>
        <w:gridCol w:w="181"/>
        <w:gridCol w:w="646"/>
        <w:gridCol w:w="241"/>
        <w:gridCol w:w="109"/>
        <w:gridCol w:w="109"/>
        <w:gridCol w:w="109"/>
        <w:gridCol w:w="210"/>
        <w:gridCol w:w="210"/>
        <w:gridCol w:w="211"/>
        <w:gridCol w:w="109"/>
        <w:gridCol w:w="109"/>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236,333 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220,667 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9,156 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569,743 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517,688 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non-operating (income) expenses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(3,078)</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40,517 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pawn earning assets: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pawn earning assets</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466,007 </w:t>
            </w:r>
          </w:p>
        </w:tc>
        <w:tc>
          <w:tcPr>
            <w:tcW w:w="24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412,243 </w:t>
            </w:r>
          </w:p>
        </w:tc>
        <w:tc>
          <w:tcPr>
            <w:tcW w:w="24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Pawn loans outstanding (“PLO”) increased $28.3 million (12%) to $274.1 million due to improved operational performance and continued strong pawn demand.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$112.6 million (11%) and gross profit increased 12%, reflecting improved pawn service charge (“PSC”) revenue, merchandise sales and merchandise sales gross profit.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$52.8 million (14%) as a result of higher average PLO. Merchandise sales increased $48.3 million (8%). Merchandise sales gross margin remains within our targeted range at 36%.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increased $52.1 million (10%) primarily due to (a) a $42.5 million increase in store expenses as a result of increased labor driven by inflationary and minimum wage increases and, to a lesser extent, expenses related to rent and (b) a $8.0 million increase in general and administrative expenses, primarily due to labor, incentive compensation and to a lesser extent, cost related to the implementation and ongoing support for our Workday ERP system.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non-operating income increased $43.6 million (108%), primarily due to recognition in the prior year of our share of losses in Cash Converters’ net results related to their non-cash goodwill impairment charge, a reduction of interest expense and an increase in interest income. Interest expense decreased $2.9 million, primarily driven by the prior year net loss recorded on the partial extinguishments of the 2024 convertible notes and 2025 convertible notes. See Note 7: Debt of Notes to Consolidated Financial Statements in “Part II, Item 8 — Financial Statements and Supplemental Data” for further discussion. The interest income increase is primarily due to our treasury management with increased market interest rates.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increased $19.3 million, primarily due to the increase in income before income taxes of $64.0 million, an increase in non-deductible expense in Latin America and accrued withholding taxes on prior earnings that are no longer permanently reinvested.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9: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presents selected summary financial data from our U.S. Pawn segment: </w:t>
      </w:r>
    </w:p>
    <w:tbl>
      <w:tblPr>
        <w:tblW w:w="7168"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15"/>
        <w:gridCol w:w="215"/>
        <w:gridCol w:w="30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170,357 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164,704 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 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501,263 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456,338 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(97)%</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165,297 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165,290 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146,524 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 Narrow;sans-serif" w:hAnsi="Arial Narrow;sans-serif"/>
                <w:b w:val="false"/>
                <w:color w:val="000000"/>
                <w:sz w:val="18"/>
              </w:rPr>
              <w:t>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bl>
    <w:tbl>
      <w:tblPr>
        <w:tblW w:w="7527" w:type="dxa"/>
        <w:jc w:val="left"/>
        <w:tblInd w:w="0" w:type="dxa"/>
        <w:tblLayout w:type="fixed"/>
        <w:tblCellMar>
          <w:top w:w="28" w:type="dxa"/>
          <w:left w:w="28" w:type="dxa"/>
          <w:bottom w:w="28" w:type="dxa"/>
          <w:right w:w="28" w:type="dxa"/>
        </w:tblCellMar>
      </w:tblPr>
      <w:tblGrid>
        <w:gridCol w:w="124"/>
        <w:gridCol w:w="109"/>
        <w:gridCol w:w="109"/>
        <w:gridCol w:w="2104"/>
        <w:gridCol w:w="2104"/>
        <w:gridCol w:w="2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7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on the average of the monthly ending balance averages during the applicable period.</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ended the year at $214.3 million, up 12% on a total and same store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10% and gross profit increased 10%, primarily due to increased PSC and higher merchandise sales.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13%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6%. Offsetting the sales increase, merchandise sales gross margin decreased 100 bps to 37%.</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9% (8% on a same store basis), primarily due to labor costs driven by inflation.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$18.8 million due to the changes described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2024, segment net store count in our U.S. pawn segment increased by 13 due to the acquisition of 13 stores, the addition of one de novo store and the consolidation of one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Latin America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from our Latin America Pawn segment, including constant currency results, after translation to U.S. dollars from functional currencies. See “Results of Operations — Non-GAAP Financial Information” above.</w:t>
      </w:r>
    </w:p>
    <w:tbl>
      <w:tblPr>
        <w:tblW w:w="10205" w:type="dxa"/>
        <w:jc w:val="left"/>
        <w:tblInd w:w="0" w:type="dxa"/>
        <w:tblLayout w:type="fixed"/>
        <w:tblCellMar>
          <w:top w:w="28" w:type="dxa"/>
          <w:left w:w="28" w:type="dxa"/>
          <w:bottom w:w="28" w:type="dxa"/>
          <w:right w:w="28" w:type="dxa"/>
        </w:tblCellMar>
      </w:tblPr>
      <w:tblGrid>
        <w:gridCol w:w="1104"/>
        <w:gridCol w:w="941"/>
        <w:gridCol w:w="942"/>
        <w:gridCol w:w="181"/>
        <w:gridCol w:w="646"/>
        <w:gridCol w:w="241"/>
        <w:gridCol w:w="109"/>
        <w:gridCol w:w="109"/>
        <w:gridCol w:w="109"/>
        <w:gridCol w:w="181"/>
        <w:gridCol w:w="571"/>
        <w:gridCol w:w="241"/>
        <w:gridCol w:w="109"/>
        <w:gridCol w:w="109"/>
        <w:gridCol w:w="109"/>
        <w:gridCol w:w="224"/>
        <w:gridCol w:w="224"/>
        <w:gridCol w:w="226"/>
        <w:gridCol w:w="109"/>
        <w:gridCol w:w="109"/>
        <w:gridCol w:w="109"/>
        <w:gridCol w:w="234"/>
        <w:gridCol w:w="837"/>
        <w:gridCol w:w="312"/>
        <w:gridCol w:w="109"/>
        <w:gridCol w:w="109"/>
        <w:gridCol w:w="109"/>
        <w:gridCol w:w="522"/>
        <w:gridCol w:w="522"/>
        <w:gridCol w:w="748"/>
      </w:tblGrid>
      <w:tr>
        <w:trPr/>
        <w:tc>
          <w:tcPr>
            <w:tcW w:w="110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br/>
              <w:t>(GAAP)</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 (Constant Currency)</w:t>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111,784 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199,012 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9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64,138 </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9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739 </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250%</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238%</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r>
      <w:tr>
        <w:trPr/>
        <w:tc>
          <w:tcPr>
            <w:tcW w:w="29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153,445 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176,737 </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131,831 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8,599 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9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36,871 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36,307 </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(1,846)</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9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38,841 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38,153 </w:t>
            </w:r>
          </w:p>
        </w:tc>
        <w:tc>
          <w:tcPr>
            <w:tcW w:w="3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 bps</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9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 xml:space="preserve">Fiscal 2024 and 2023 constant currency amounts exclude net GAAP basis foreign currency transaction loss of $0.1 million and $0.4 million, respectively, resulting from movement in exchange rates.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on the average of the monthly ending balance averages during the applicable period.</w:t>
            </w:r>
          </w:p>
        </w:tc>
      </w:tr>
    </w:tbl>
    <w:tbl>
      <w:tblPr>
        <w:tblW w:w="5021" w:type="dxa"/>
        <w:jc w:val="left"/>
        <w:tblInd w:w="0" w:type="dxa"/>
        <w:tblLayout w:type="fixed"/>
        <w:tblCellMar>
          <w:top w:w="28" w:type="dxa"/>
          <w:left w:w="28" w:type="dxa"/>
          <w:bottom w:w="28" w:type="dxa"/>
          <w:right w:w="28" w:type="dxa"/>
        </w:tblCellMar>
      </w:tblPr>
      <w:tblGrid>
        <w:gridCol w:w="791"/>
        <w:gridCol w:w="697"/>
        <w:gridCol w:w="702"/>
        <w:gridCol w:w="324"/>
        <w:gridCol w:w="324"/>
        <w:gridCol w:w="326"/>
        <w:gridCol w:w="109"/>
        <w:gridCol w:w="109"/>
        <w:gridCol w:w="109"/>
        <w:gridCol w:w="447"/>
        <w:gridCol w:w="447"/>
        <w:gridCol w:w="636"/>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Same Store data: (a)</w:t>
            </w:r>
          </w:p>
        </w:tc>
        <w:tc>
          <w:tcPr>
            <w:tcW w:w="9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tbl>
      <w:tblPr>
        <w:tblW w:w="5792"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439"/>
        <w:gridCol w:w="439"/>
        <w:gridCol w:w="439"/>
        <w:gridCol w:w="439"/>
        <w:gridCol w:w="439"/>
        <w:gridCol w:w="439"/>
        <w:gridCol w:w="439"/>
        <w:gridCol w:w="439"/>
        <w:gridCol w:w="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33"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545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Stores open at the end of the period included in the same store calculation were 697.</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improved to $59.8 million, up 8% (18% on constant currency basis). On a same store basis, PLO increased 7% (16% on a constant currency basis) due to improved operational performance and increased loan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were up 13% (11% on a constant currency basis), and gross profit increased by 18% (15% on a constant currency basis), reflecting increased PSC, higher merchandise sales and improved gross profit.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17% (14% on constant currency basis)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12% (9% on a constant currency basis) and 11% on a same store basis (8% on a constant currency basis). Merchandise sales gross margin increased 100 bps to 32%.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$16.0 million, up 13% (11% on a constant currency basis), primarily due to increased labor headcount, in line with store activity and minimum wage increases and, to a lesser extent, rent associated with lease renewals.. Same-store expenses increased 12% (9% on a constant currency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was up 23% to $38.8 million (21% on a constant currency basis), due to the changes noted above, in addition to the impact of the prior year reversal of contingent consideration liability in connection with a previously completed acquisition, which was recorded to “Other 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2024, net store count in our Latin America pawn segment increased by 35 due to the opening of 40 de novo stores and the consolidation of five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Other Investments segment after translation to U.S. dollars from its functional currency of primarily Australian dollars:</w:t>
      </w:r>
    </w:p>
    <w:tbl>
      <w:tblPr>
        <w:tblW w:w="6531" w:type="dxa"/>
        <w:jc w:val="left"/>
        <w:tblInd w:w="0" w:type="dxa"/>
        <w:tblLayout w:type="fixed"/>
        <w:tblCellMar>
          <w:top w:w="28" w:type="dxa"/>
          <w:left w:w="28" w:type="dxa"/>
          <w:bottom w:w="28" w:type="dxa"/>
          <w:right w:w="28" w:type="dxa"/>
        </w:tblCellMar>
      </w:tblPr>
      <w:tblGrid>
        <w:gridCol w:w="1269"/>
        <w:gridCol w:w="1118"/>
        <w:gridCol w:w="1122"/>
        <w:gridCol w:w="181"/>
        <w:gridCol w:w="496"/>
        <w:gridCol w:w="109"/>
        <w:gridCol w:w="109"/>
        <w:gridCol w:w="109"/>
        <w:gridCol w:w="109"/>
        <w:gridCol w:w="181"/>
        <w:gridCol w:w="616"/>
        <w:gridCol w:w="109"/>
        <w:gridCol w:w="109"/>
        <w:gridCol w:w="109"/>
        <w:gridCol w:w="109"/>
        <w:gridCol w:w="198"/>
        <w:gridCol w:w="198"/>
        <w:gridCol w:w="280"/>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118%</w:t>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 (loss)</w:t>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(26,904)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128%</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segment (income)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0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(26,935)</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128%</w:t>
            </w:r>
          </w:p>
        </w:tc>
      </w:tr>
    </w:tbl>
    <w:p>
      <w:pPr>
        <w:pStyle w:val="TextBody"/>
        <w:bidi w:val="0"/>
        <w:spacing w:lineRule="auto" w:line="288" w:before="0" w:after="0"/>
        <w:jc w:val="left"/>
        <w:rPr/>
      </w:pPr>
      <w:r>
        <w:rPr>
          <w:rFonts w:ascii="Arial Narrow;sans-serif" w:hAnsi="Arial Narrow;sans-serif"/>
          <w:b w:val="false"/>
          <w:color w:val="000000"/>
          <w:sz w:val="20"/>
          <w:shd w:fill="FFFF00" w:val="clear"/>
        </w:rPr>
        <w:br/>
      </w:r>
      <w:r>
        <w:rPr>
          <w:rFonts w:ascii="Arial Narrow;sans-serif" w:hAnsi="Arial Narrow;sans-serif"/>
          <w:b w:val="false"/>
          <w:color w:val="000000"/>
          <w:sz w:val="20"/>
        </w:rPr>
        <w:t>Segment income was $7.5 million, an increase of $34.4 million, primarily due to the prior year net loss on our share of Cash Converters’ net results related to their non-cash goodwill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6187" w:type="dxa"/>
        <w:jc w:val="left"/>
        <w:tblInd w:w="0" w:type="dxa"/>
        <w:tblLayout w:type="fixed"/>
        <w:tblCellMar>
          <w:top w:w="28" w:type="dxa"/>
          <w:left w:w="28" w:type="dxa"/>
          <w:bottom w:w="28" w:type="dxa"/>
          <w:right w:w="28" w:type="dxa"/>
        </w:tblCellMar>
      </w:tblPr>
      <w:tblGrid>
        <w:gridCol w:w="1058"/>
        <w:gridCol w:w="933"/>
        <w:gridCol w:w="934"/>
        <w:gridCol w:w="181"/>
        <w:gridCol w:w="646"/>
        <w:gridCol w:w="109"/>
        <w:gridCol w:w="109"/>
        <w:gridCol w:w="109"/>
        <w:gridCol w:w="109"/>
        <w:gridCol w:w="181"/>
        <w:gridCol w:w="646"/>
        <w:gridCol w:w="109"/>
        <w:gridCol w:w="109"/>
        <w:gridCol w:w="109"/>
        <w:gridCol w:w="109"/>
        <w:gridCol w:w="215"/>
        <w:gridCol w:w="215"/>
        <w:gridCol w:w="306"/>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(81)%</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(68)%</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137%</w:t>
            </w:r>
          </w:p>
        </w:tc>
      </w:tr>
      <w:tr>
        <w:trPr/>
        <w:tc>
          <w:tcPr>
            <w:tcW w:w="29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147%</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5303" w:type="dxa"/>
        <w:jc w:val="left"/>
        <w:tblInd w:w="0" w:type="dxa"/>
        <w:tblLayout w:type="fixed"/>
        <w:tblCellMar>
          <w:top w:w="28" w:type="dxa"/>
          <w:left w:w="28" w:type="dxa"/>
          <w:bottom w:w="28" w:type="dxa"/>
          <w:right w:w="28" w:type="dxa"/>
        </w:tblCellMar>
      </w:tblPr>
      <w:tblGrid>
        <w:gridCol w:w="124"/>
        <w:gridCol w:w="109"/>
        <w:gridCol w:w="109"/>
        <w:gridCol w:w="525"/>
        <w:gridCol w:w="525"/>
        <w:gridCol w:w="525"/>
        <w:gridCol w:w="525"/>
        <w:gridCol w:w="525"/>
        <w:gridCol w:w="525"/>
        <w:gridCol w:w="525"/>
        <w:gridCol w:w="525"/>
        <w:gridCol w:w="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$60.3 million or 40%, primarily due to the improved operating results of the segments, as discussed above.</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$8.0 million (12%), primarily due to labor, incentive compensation and, to a lesser extent, costs related to the implementation and ongoing support of our Workday ERP system.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decreased $2.9 million (17%), primarily driven by the prior year net loss recorded on the partial extinguishments of the 2024 convertible notes and 2025 convertible notes. See Note 7: Debt of Notes to Consolidated Financial Statements included in “Part II, Item 8 — Financial Statements and Supplemental Data” for further discussion.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income increased $1.7 million, due primarily to our treasury management with increased market interest rates.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increased $19.3 million primarily due to the increase in income before income taxes of $64.0 million, an increase in non-deductible expense in Latin America and accrued withholding taxes on prior earnings that are no longer permanently reinvested. 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9: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Fiscal 2023 vs. Fiscal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Operations discussion for fiscal 2023 vs. fiscal 2022 is located in “Part II, Item 7 — Management’s Discussion and Analysis of Financial Condition and Results of Operations” of our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left"/>
        <w:rPr>
          <w:rFonts w:ascii="Arial Narrow;sans-serif" w:hAnsi="Arial Narrow;sans-serif"/>
          <w:b/>
          <w:color w:val="000000"/>
          <w:sz w:val="24"/>
          <w:shd w:fill="FFFFFF" w:val="clear"/>
        </w:rPr>
      </w:pPr>
      <w:r>
        <w:rPr>
          <w:rFonts w:ascii="Arial Narrow;sans-serif" w:hAnsi="Arial Narrow;sans-serif"/>
          <w:b/>
          <w:color w:val="000000"/>
          <w:sz w:val="24"/>
          <w:shd w:fill="FFFFFF" w:val="clear"/>
        </w:rPr>
        <w:t>Cash and Cash Equivalents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Our cash and equivalents balance </w:t>
      </w:r>
      <w:r>
        <w:rPr>
          <w:rFonts w:ascii="Arial Narrow;sans-serif" w:hAnsi="Arial Narrow;sans-serif"/>
          <w:b w:val="false"/>
          <w:color w:val="000000"/>
          <w:sz w:val="20"/>
        </w:rPr>
        <w:t>was $170.5 million at September 30, 2024 compared to $220.6 million at September 30, 2023. Our cash and equivalents</w:t>
      </w:r>
      <w:r>
        <w:rPr>
          <w:color w:val="000000"/>
          <w:shd w:fill="FFFFFF" w:val="clear"/>
        </w:rPr>
        <w:t xml:space="preserve"> </w:t>
      </w:r>
      <w:r>
        <w:rPr>
          <w:rFonts w:ascii="Arial Narrow;sans-serif" w:hAnsi="Arial Narrow;sans-serif"/>
          <w:b w:val="false"/>
          <w:color w:val="000000"/>
          <w:sz w:val="20"/>
          <w:shd w:fill="FFFFFF" w:val="clear"/>
        </w:rPr>
        <w:t>were held in cash depository accounts with major banks or invested in high quality, short-term liquid investments.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 a summary of the sources and uses of our cash:</w:t>
      </w:r>
    </w:p>
    <w:tbl>
      <w:tblPr>
        <w:tblW w:w="8526" w:type="dxa"/>
        <w:jc w:val="left"/>
        <w:tblInd w:w="0" w:type="dxa"/>
        <w:tblLayout w:type="fixed"/>
        <w:tblCellMar>
          <w:top w:w="28" w:type="dxa"/>
          <w:left w:w="28" w:type="dxa"/>
          <w:bottom w:w="28" w:type="dxa"/>
          <w:right w:w="28" w:type="dxa"/>
        </w:tblCellMar>
      </w:tblPr>
      <w:tblGrid>
        <w:gridCol w:w="1925"/>
        <w:gridCol w:w="1696"/>
        <w:gridCol w:w="1703"/>
        <w:gridCol w:w="181"/>
        <w:gridCol w:w="646"/>
        <w:gridCol w:w="109"/>
        <w:gridCol w:w="109"/>
        <w:gridCol w:w="109"/>
        <w:gridCol w:w="109"/>
        <w:gridCol w:w="181"/>
        <w:gridCol w:w="646"/>
        <w:gridCol w:w="109"/>
        <w:gridCol w:w="109"/>
        <w:gridCol w:w="109"/>
        <w:gridCol w:w="109"/>
        <w:gridCol w:w="198"/>
        <w:gridCol w:w="198"/>
        <w:gridCol w:w="280"/>
      </w:tblGrid>
      <w:tr>
        <w:trPr/>
        <w:tc>
          <w:tcPr>
            <w:tcW w:w="1925"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18"/>
              </w:rPr>
              <w:br/>
            </w:r>
            <w:r>
              <w:rPr>
                <w:rFonts w:ascii="Arial Narrow;sans-serif" w:hAnsi="Arial Narrow;sans-serif"/>
                <w:b/>
                <w:color w:val="000000"/>
                <w:sz w:val="18"/>
              </w:rPr>
              <w:t>Change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Cash flows provided by operating activities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flows (used in) provided by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32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and cash equivalents and restricted cash</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(49,161)</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(437)%</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400"/>
        <w:gridCol w:w="400"/>
        <w:gridCol w:w="400"/>
        <w:gridCol w:w="400"/>
        <w:gridCol w:w="400"/>
        <w:gridCol w:w="400"/>
        <w:gridCol w:w="400"/>
        <w:gridCol w:w="400"/>
        <w:gridCol w:w="400"/>
        <w:gridCol w:w="400"/>
        <w:gridCol w:w="400"/>
        <w:gridCol w:w="5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$11.8 million increase in cash flows provided by operating activities was primarily due to an increase in net income (when considering adjustments for non-cash items affecting net income) as well as changes in working capital primarily related to the timing of payments of income taxes, prepaid expenses, accounts payable and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$1.0 million increase in cash flows used in investing activities was primarily due to an increase of $51.7 million in net pawn lending outflows, offset by a $27.0 million increase in cash inflows from the sale of forfeited collateral and a $23.7 million net decrease in cash flows used to fund strategic investments, capital expenditures and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$73.9 million increase in cash flows used in financing activities was primarily related to the December 2022 financing of the 2029 Convertible Notes, in which we issued $230.0 million principal amount of 3.750% Convertible Senior Notes Due 2029 offset by the extinguishment of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Further, on July 1, 2024, the 2024 Convertible Notes matured and the remaining $34.4 million aggregate principal amount outstanding plus accrued interest was repaid using cash on hand. During 2024, the Company repurchased and retired 1,218,503 shares of our Class A Common Stock for $12.0 million under the Common Stock Repurchase Program. </w:t>
      </w:r>
    </w:p>
    <w:p>
      <w:pPr>
        <w:pStyle w:val="TextBody"/>
        <w:bidi w:val="0"/>
        <w:spacing w:lineRule="auto" w:line="256"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net effect of these changes was a $49.2 million decrease in cash on hand during the current year, resulting in a $179.8 million ending cash and restricted cash balance.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Debt of Notes to Consolidated Financial Statements included in “Part II, Item 8 — Financial Statements and Supplementary Data.” The shares repurchased in conjunction with the transactions discussed above were authorized separately from, and not considered part of, the publicly announced share repurchase program referred to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our Board authorized the repurchase of up to $50 million of our Class A Common Stock over three years. As of September 30, 2024, we have repurchased 2,845,548 shares of our Class A Common Stock under the program for $26.0 million which amount was allocated between “Additional paid-in capital” and “Retained earnings” in our Consolidated Balance Sheets. Execution of the program will be responsive to fluctuating market conditions and valuations, liquidity needs and the expected return on investment compared to other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has reserved the right to modify, suspend or terminate the program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July 1, 2024, the 2024 Convertible Notes matured and the remaining $34.4 million aggregate principal amount outstanding plus accrued interest was repaid using cash on hand.</w:t>
      </w:r>
    </w:p>
    <w:p>
      <w:pPr>
        <w:pStyle w:val="TextBody"/>
        <w:bidi w:val="0"/>
        <w:spacing w:lineRule="auto" w:line="288" w:before="180" w:after="283"/>
        <w:jc w:val="left"/>
        <w:rPr/>
      </w:pPr>
      <w:r>
        <w:rPr>
          <w:rFonts w:ascii="Arial Narrow;sans-serif" w:hAnsi="Arial Narrow;sans-serif"/>
          <w:b w:val="false"/>
          <w:color w:val="000000"/>
          <w:sz w:val="20"/>
        </w:rPr>
        <w:t xml:space="preserve">We anticipate that cash flows from operations and cash on hand will be adequate to fund ongoing operations, debt service requirements, tax payments, any future stock repurchases, strategic investments, our contractual obligations, planned de novo store growth, capital expenditures and working capital requirements through fiscal 2025. We continue to explore acquisition opportunities, both large and small, and may choose to pursue additional debt, equity or equity-linked financings in the future should the need arise. </w:t>
      </w:r>
      <w:r>
        <w:rPr>
          <w:rFonts w:ascii="Arial Narrow;sans-serif" w:hAnsi="Arial Narrow;sans-serif"/>
          <w:b w:val="false"/>
          <w:color w:val="212529"/>
          <w:sz w:val="20"/>
        </w:rPr>
        <w:t>Depending on the level of acquisition activity and other factors, our ability to repay our longer term debt obligations, including the convertible debt maturing in May 2025 and December 2029, may require us to refinance these obligations through the issuance of new debt securities, equity securities, convertible securities or through new credit facilities.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 description of the terms of our convertible notes, including the associated conversion and other related features and transactions, see Note 7: Debt of Notes to Consolidated Financial Statements included in “Part II, Item 8 — Financial Statements and Supplementary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Below is a summary of our cash needs to meet future aggregate contractual obligations as of September 30, 2024:</w:t>
      </w:r>
    </w:p>
    <w:tbl>
      <w:tblPr>
        <w:tblW w:w="8402" w:type="dxa"/>
        <w:jc w:val="left"/>
        <w:tblInd w:w="0" w:type="dxa"/>
        <w:tblLayout w:type="fixed"/>
        <w:tblCellMar>
          <w:top w:w="28" w:type="dxa"/>
          <w:left w:w="28" w:type="dxa"/>
          <w:bottom w:w="28" w:type="dxa"/>
          <w:right w:w="28" w:type="dxa"/>
        </w:tblCellMar>
      </w:tblPr>
      <w:tblGrid>
        <w:gridCol w:w="884"/>
        <w:gridCol w:w="778"/>
        <w:gridCol w:w="782"/>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Payments due by Period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Less than</w:t>
              <w:br/>
              <w:t>1 year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1-3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3-5 years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More than</w:t>
              <w:br/>
              <w:t>5 years</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obligations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long-term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obligations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 (d)</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673,466 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190,069 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136,042 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77,189 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270,166 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Excludes debt discount and deferred financing costs as well as convertible features.</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Excludes $5.6 million in sublease payments expected to be received.</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(c)    No provision for uncertain tax benefits has been reflected in the contractual obligations table as the timing of any such payment is uncertain. See Note 9: Income Taxes of Notes to Consolidated Financial Statements included in “Part II, Item 8 — Financial Statements and Supplementary Data.” Additionally, no provision for insurance reserves, deferred compensation arrangements, or other liabilities totaling $8.5 million has been included as the timing of such payments are uncertain.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(d)    Total excludes contractual obligations already recorded on our consolidated balance sheets as current liabilities, except for current maturities of long-term debt, which are included in the debt obligations caption above and accrued portions of interest and lease obligations, which are included in the interest on long-term debt obligations and lease obligations captions above.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lease obligations in the table above, we are responsible for the maintenance, property taxes and insurance at most of our locations. During the fiscal year ended September 30, 2024, these collectively amounted to $17.7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Critical Accounting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accordance with generally accepted accounting principles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goodwill and indefinite-lived intangible assets, long-lived and other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critical accounting policies and estimates that could have a significant impact on our results of operations, as well as relevant recent accounting pronouncements, are described in Note 1: Organization And Summary Of Significant Accounting Policies of Notes to Consolidated Financial Statements included in “Part II, Item 8 — Financial Statements and Supplementary Data.” Certain accounting policies regarding the quantification of the sensitivity of certain critical estimates are discussed further below.</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Loan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2024, the balance of our PSC receivable was $44.0 million. Assuming the average forfeiture rate increased or decreased by 10%, our pawn service charges receivable balance as of September 30, 2024 would have increased or decreased by approximately $1.4 million.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Inventory and Cost of Goods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our estimates of obsolete or slow-moving inventory and shrinkage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pertaining to jewelry inventory depending on the current price of gold and resulting trends in margins. Future declines in gold prices may cause an increase in reserve rates pertaining to jewelry inventory. As of September 30, 2024, the gross balance of our inventory was $194.7 million, for which we have included reserves of $2.7 million. Assuming the reserve rates were increased or decreased by 10%, our inventory reserve balance as of September 30, 2024 would have increased or decreased by approximately $0.3 million.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Goodwill and Indefinite-Lived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testing goodwill for impairment, we have the option to first assess qualitative factors to determine whether the existence of events or circumstances leads to a determination that it is more-likely-than-not that the estimated fair value of a reporting unit is less than its carrying amount. If we elect to perform a qualitative assessment and determine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test indefinite-lived intangible assets for impairment by first assessing qualitative factors to determine whether it is necessary to perform a quantitative impairment test. If we believe as a result of the qualitative assessment that it is more-likely-than-not that the fair value of the indefinite-lived intangible asset is less than its carrying amount, a quantitative impairment test is required. Otherwise, no further testing is required.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the assessment of the occurrence of triggering events or substantive changes in circumstances that may indicate the fair value of goodwill may be impaired to be a critical estimate. Furthermore, we consider the assumptions discussed above pertaining to the income approach we use in the quantitative testing of impairment to be critical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the impairment analyses for fiscal 2024 and fiscal 2023 are discussed in Note 6: Goodwill And Intangible Assets of Notes to Consolidated Financial Statements included in “Part II, Item 8 — Financial Statements and Supplementary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2"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the earnings of certain non-U.S. subsidiaries to be indefinitely invested outside the U.S.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Changes in laws and regulations;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Negative characterizations of our industry;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Concentration of business in Texas and Florida;</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gold prices or volumes;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sales, pawn loan balances, sales margins, pawn redemption rates or other important operating metrics;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ability to continue growing our store count through acquisitions and de novo openings;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Continuing indemnification obligations for pre-closing taxes related to our sale of Grupo Finmart;</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controlled ownership structure;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regulatory fines and penalties, lawsuits and related liabilities related to firearms business;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robberies, burglaries and other crimes at our stores;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the competitive landscape;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Our ability to design or acquire, deploy and maintain adequate information technology and other business systems;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Failure to achieve adequate return on investments;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uninsured property, casualty or other losses;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natural disasters;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Financial statement impact of potential impairment of goodwill or other intangible assets such as trade names;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conversion of Convertible Notes into cash (which could adversely affect liquidity) or stock (which will cause dilution of existing stockholders);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Limited number of unreserved shares available for future issuance;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Public health issues that could adversely affect our financial condition or results of operations;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the business, regulatory, political or social climate in Latin America;</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foreign currency exchange rates;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The outcome of future litigation and regulatory proceedings;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disruptive effect of acquisitions, investments and new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3"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exposure under anti-corruption, anti-bribery, anti-money laundering and other general business laws and regulations;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Changes in liquidity, capital requirements or access to debt and capital markets;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data security breaches or other cyber-attacks; and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Potential civil unrest or government overthrow and other events beyond our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a discussion of these important risk factors, see “Part I, Item 1A —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7A. QUANTITATIVE AND QUALITATIVE DISCLOSURES ABOUT MARKET RISK</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Market Risk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exposed to market risk related primarily to gold values and changes in foreign currency exchange rates.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translation adjustment from Cash Converters through June 30, 2024 (included in our September 30, 2024 results on a three-month lag) was a nominal increase to stockholders’ equity, excluding income tax impacts. As of September 30, 2024, $1.00 Australian dollar strengthened at $0.6944 U.S. as compared to $0.6452 in the prior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translation adjustment from Latin America primarily representing the change of the Mexican peso during the fiscal year ended September 30, 2024 was a $20.5 million decrease to stockholders’ equity. As of September 30, 2024, the Mexican peso weakened approximately 11% to $1.00 Mexican to $0.0508 U.S. from $0.0574 U.S. as of September 30, 2023. As of September 30, 2024, the Guatemalan quetzal strengthened approximately 2% Q1.00 Guatemalan to $0.1325 U.S. from $0.1302 U.S. as of September 30, 2023. We have currently assumed indefinite reinvestment of earnings and capital in Latin America in excess of the $20.0 million of prior earnings for which applicable withholding taxes have been accrued as of September 30, 2024. Accumulated translation gains or losses related to any future repatriation of earnings or capital would impact our earnings in the period of repatriation.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To a lesser degree, our operations are affected by fluctuations in the exchange rate of the Honduran lempira.</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cannot predict the future valuation of foreign currencies or how further movements in exchange rates could affect our future earnings or financial position due to the interrelationship of operating results and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4"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8. FINANCIAL STATEMENTS AND SUPPLEMENTARY DATA</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Consolidated Financial Statements</w:t>
      </w:r>
    </w:p>
    <w:tbl>
      <w:tblPr>
        <w:tblW w:w="9196" w:type="dxa"/>
        <w:jc w:val="left"/>
        <w:tblInd w:w="0" w:type="dxa"/>
        <w:tblLayout w:type="fixed"/>
        <w:tblCellMar>
          <w:top w:w="28" w:type="dxa"/>
          <w:left w:w="28" w:type="dxa"/>
          <w:bottom w:w="28" w:type="dxa"/>
          <w:right w:w="28" w:type="dxa"/>
        </w:tblCellMar>
      </w:tblPr>
      <w:tblGrid>
        <w:gridCol w:w="3142"/>
        <w:gridCol w:w="2760"/>
        <w:gridCol w:w="2768"/>
        <w:gridCol w:w="154"/>
        <w:gridCol w:w="154"/>
        <w:gridCol w:w="218"/>
      </w:tblGrid>
      <w:tr>
        <w:trPr/>
        <w:tc>
          <w:tcPr>
            <w:tcW w:w="314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Page</w:t>
            </w:r>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18">
              <w:r>
                <w:rPr>
                  <w:rStyle w:val="InternetLink"/>
                  <w:rFonts w:ascii="Arial Narrow;sans-serif" w:hAnsi="Arial Narrow;sans-serif"/>
                  <w:b w:val="false"/>
                  <w:color w:val="000080"/>
                  <w:sz w:val="20"/>
                  <w:u w:val="single"/>
                </w:rPr>
                <w:t>Report of Independent Registered Public Accounting Firm (BDO USA, P.C.; Dallas, Texas; PCAOB ID #</w:t>
              </w:r>
            </w:hyperlink>
            <w:r>
              <w:rPr>
                <w:rFonts w:ascii="Arial Narrow;sans-serif" w:hAnsi="Arial Narrow;sans-serif"/>
                <w:b w:val="false"/>
                <w:color w:val="0000FF"/>
                <w:sz w:val="20"/>
                <w:u w:val="single"/>
              </w:rPr>
              <w:t>243)</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18">
              <w:r>
                <w:rPr>
                  <w:rStyle w:val="InternetLink"/>
                  <w:rFonts w:ascii="Arial Narrow;sans-serif" w:hAnsi="Arial Narrow;sans-serif"/>
                  <w:b w:val="false"/>
                  <w:color w:val="0000FF"/>
                  <w:sz w:val="20"/>
                  <w:u w:val="single"/>
                </w:rPr>
                <w:t>38</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21">
              <w:r>
                <w:rPr>
                  <w:rStyle w:val="InternetLink"/>
                  <w:rFonts w:ascii="Arial Narrow;sans-serif" w:hAnsi="Arial Narrow;sans-serif"/>
                  <w:b w:val="false"/>
                  <w:color w:val="0000FF"/>
                  <w:sz w:val="20"/>
                  <w:u w:val="single"/>
                </w:rPr>
                <w:t>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21">
              <w:r>
                <w:rPr>
                  <w:rStyle w:val="InternetLink"/>
                  <w:rFonts w:ascii="Arial Narrow;sans-serif" w:hAnsi="Arial Narrow;sans-serif"/>
                  <w:b w:val="false"/>
                  <w:color w:val="000080"/>
                  <w:sz w:val="20"/>
                  <w:u w:val="single"/>
                </w:rPr>
                <w:t>Consolidated Balance Sheets as of September 30, 202</w:t>
              </w:r>
            </w:hyperlink>
            <w:hyperlink w:anchor="i95f49e3e276b42ada48c154579dda6f2_121">
              <w:r>
                <w:rPr>
                  <w:rStyle w:val="InternetLink"/>
                  <w:rFonts w:ascii="Arial Narrow;sans-serif" w:hAnsi="Arial Narrow;sans-serif"/>
                  <w:b w:val="false"/>
                  <w:color w:val="000080"/>
                  <w:sz w:val="20"/>
                  <w:u w:val="single"/>
                </w:rPr>
                <w:t>4</w:t>
              </w:r>
            </w:hyperlink>
            <w:hyperlink w:anchor="i95f49e3e276b42ada48c154579dda6f2_121">
              <w:r>
                <w:rPr>
                  <w:rStyle w:val="InternetLink"/>
                  <w:rFonts w:ascii="Arial Narrow;sans-serif" w:hAnsi="Arial Narrow;sans-serif"/>
                  <w:b w:val="false"/>
                  <w:color w:val="000080"/>
                  <w:sz w:val="20"/>
                  <w:u w:val="single"/>
                </w:rPr>
                <w:t xml:space="preserve"> and 20</w:t>
              </w:r>
            </w:hyperlink>
            <w:hyperlink w:anchor="i95f49e3e276b42ada48c154579dda6f2_121">
              <w:r>
                <w:rPr>
                  <w:rStyle w:val="InternetLink"/>
                  <w:rFonts w:ascii="Arial Narrow;sans-serif" w:hAnsi="Arial Narrow;sans-serif"/>
                  <w:b w:val="false"/>
                  <w:color w:val="000080"/>
                  <w:sz w:val="20"/>
                  <w:u w:val="single"/>
                </w:rPr>
                <w:t>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21">
              <w:r>
                <w:rPr>
                  <w:rStyle w:val="InternetLink"/>
                  <w:rFonts w:ascii="Arial Narrow;sans-serif" w:hAnsi="Arial Narrow;sans-serif"/>
                  <w:b w:val="false"/>
                  <w:color w:val="0000FF"/>
                  <w:sz w:val="20"/>
                  <w:u w:val="single"/>
                </w:rPr>
                <w:t>40</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27">
              <w:r>
                <w:rPr>
                  <w:rStyle w:val="InternetLink"/>
                  <w:rFonts w:ascii="Arial Narrow;sans-serif" w:hAnsi="Arial Narrow;sans-serif"/>
                  <w:b w:val="false"/>
                  <w:color w:val="000080"/>
                  <w:sz w:val="20"/>
                  <w:u w:val="single"/>
                </w:rPr>
                <w:t>Consolidated Statements of Operations for each of the three years ended September 30, 202</w:t>
              </w:r>
            </w:hyperlink>
            <w:hyperlink w:anchor="i95f49e3e276b42ada48c154579dda6f2_127">
              <w:r>
                <w:rPr>
                  <w:rStyle w:val="InternetLink"/>
                  <w:rFonts w:ascii="Arial Narrow;sans-serif" w:hAnsi="Arial Narrow;sans-serif"/>
                  <w:b w:val="false"/>
                  <w:color w:val="000080"/>
                  <w:sz w:val="20"/>
                  <w:u w:val="single"/>
                </w:rPr>
                <w:t>4</w:t>
              </w:r>
            </w:hyperlink>
            <w:hyperlink w:anchor="i95f49e3e276b42ada48c154579dda6f2_127">
              <w:r>
                <w:rPr>
                  <w:rStyle w:val="InternetLink"/>
                  <w:rFonts w:ascii="Arial Narrow;sans-serif" w:hAnsi="Arial Narrow;sans-serif"/>
                  <w:b w:val="false"/>
                  <w:color w:val="000080"/>
                  <w:sz w:val="20"/>
                  <w:u w:val="single"/>
                </w:rPr>
                <w:t>, 202</w:t>
              </w:r>
            </w:hyperlink>
            <w:hyperlink w:anchor="i95f49e3e276b42ada48c154579dda6f2_127">
              <w:r>
                <w:rPr>
                  <w:rStyle w:val="InternetLink"/>
                  <w:rFonts w:ascii="Arial Narrow;sans-serif" w:hAnsi="Arial Narrow;sans-serif"/>
                  <w:b w:val="false"/>
                  <w:color w:val="000080"/>
                  <w:sz w:val="20"/>
                  <w:u w:val="single"/>
                </w:rPr>
                <w:t>3</w:t>
              </w:r>
            </w:hyperlink>
            <w:hyperlink w:anchor="i95f49e3e276b42ada48c154579dda6f2_127">
              <w:r>
                <w:rPr>
                  <w:rStyle w:val="InternetLink"/>
                  <w:rFonts w:ascii="Arial Narrow;sans-serif" w:hAnsi="Arial Narrow;sans-serif"/>
                  <w:b w:val="false"/>
                  <w:color w:val="000080"/>
                  <w:sz w:val="20"/>
                  <w:u w:val="single"/>
                </w:rPr>
                <w:t xml:space="preserve"> and 202</w:t>
              </w:r>
            </w:hyperlink>
            <w:hyperlink w:anchor="i95f49e3e276b42ada48c154579dda6f2_127">
              <w:r>
                <w:rPr>
                  <w:rStyle w:val="InternetLink"/>
                  <w:rFonts w:ascii="Arial Narrow;sans-serif" w:hAnsi="Arial Narrow;sans-serif"/>
                  <w:b w:val="false"/>
                  <w:color w:val="000080"/>
                  <w:sz w:val="20"/>
                  <w:u w:val="single"/>
                </w:rPr>
                <w:t>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27">
              <w:r>
                <w:rPr>
                  <w:rStyle w:val="InternetLink"/>
                  <w:rFonts w:ascii="Arial Narrow;sans-serif" w:hAnsi="Arial Narrow;sans-serif"/>
                  <w:b w:val="false"/>
                  <w:color w:val="0000FF"/>
                  <w:sz w:val="20"/>
                  <w:u w:val="single"/>
                </w:rPr>
                <w:t>41</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30">
              <w:r>
                <w:rPr>
                  <w:rStyle w:val="InternetLink"/>
                  <w:rFonts w:ascii="Arial Narrow;sans-serif" w:hAnsi="Arial Narrow;sans-serif"/>
                  <w:b w:val="false"/>
                  <w:color w:val="000080"/>
                  <w:sz w:val="20"/>
                  <w:u w:val="single"/>
                </w:rPr>
                <w:t>Consolidated Statements of Comprehensive Income for three years ended September 30, 202</w:t>
              </w:r>
            </w:hyperlink>
            <w:hyperlink w:anchor="i95f49e3e276b42ada48c154579dda6f2_130">
              <w:r>
                <w:rPr>
                  <w:rStyle w:val="InternetLink"/>
                  <w:rFonts w:ascii="Arial Narrow;sans-serif" w:hAnsi="Arial Narrow;sans-serif"/>
                  <w:b w:val="false"/>
                  <w:color w:val="000080"/>
                  <w:sz w:val="20"/>
                  <w:u w:val="single"/>
                </w:rPr>
                <w:t>4</w:t>
              </w:r>
            </w:hyperlink>
            <w:hyperlink w:anchor="i95f49e3e276b42ada48c154579dda6f2_130">
              <w:r>
                <w:rPr>
                  <w:rStyle w:val="InternetLink"/>
                  <w:rFonts w:ascii="Arial Narrow;sans-serif" w:hAnsi="Arial Narrow;sans-serif"/>
                  <w:b w:val="false"/>
                  <w:color w:val="000080"/>
                  <w:sz w:val="20"/>
                  <w:u w:val="single"/>
                </w:rPr>
                <w:t>, 202</w:t>
              </w:r>
            </w:hyperlink>
            <w:hyperlink w:anchor="i95f49e3e276b42ada48c154579dda6f2_130">
              <w:r>
                <w:rPr>
                  <w:rStyle w:val="InternetLink"/>
                  <w:rFonts w:ascii="Arial Narrow;sans-serif" w:hAnsi="Arial Narrow;sans-serif"/>
                  <w:b w:val="false"/>
                  <w:color w:val="000080"/>
                  <w:sz w:val="20"/>
                  <w:u w:val="single"/>
                </w:rPr>
                <w:t>3</w:t>
              </w:r>
            </w:hyperlink>
            <w:hyperlink w:anchor="i95f49e3e276b42ada48c154579dda6f2_130">
              <w:r>
                <w:rPr>
                  <w:rStyle w:val="InternetLink"/>
                  <w:rFonts w:ascii="Arial Narrow;sans-serif" w:hAnsi="Arial Narrow;sans-serif"/>
                  <w:b w:val="false"/>
                  <w:color w:val="000080"/>
                  <w:sz w:val="20"/>
                  <w:u w:val="single"/>
                </w:rPr>
                <w:t xml:space="preserve"> and 20</w:t>
              </w:r>
            </w:hyperlink>
            <w:hyperlink w:anchor="i95f49e3e276b42ada48c154579dda6f2_130">
              <w:r>
                <w:rPr>
                  <w:rStyle w:val="InternetLink"/>
                  <w:rFonts w:ascii="Arial Narrow;sans-serif" w:hAnsi="Arial Narrow;sans-serif"/>
                  <w:b w:val="false"/>
                  <w:color w:val="000080"/>
                  <w:sz w:val="20"/>
                  <w:u w:val="single"/>
                </w:rPr>
                <w:t>2</w:t>
              </w:r>
            </w:hyperlink>
            <w:hyperlink w:anchor="i95f49e3e276b42ada48c154579dda6f2_130">
              <w:r>
                <w:rPr>
                  <w:rStyle w:val="InternetLink"/>
                  <w:rFonts w:ascii="Arial Narrow;sans-serif" w:hAnsi="Arial Narrow;sans-serif"/>
                  <w:b w:val="false"/>
                  <w:color w:val="000080"/>
                  <w:sz w:val="20"/>
                  <w:u w:val="single"/>
                </w:rPr>
                <w:t>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30">
              <w:r>
                <w:rPr>
                  <w:rStyle w:val="InternetLink"/>
                  <w:rFonts w:ascii="Arial Narrow;sans-serif" w:hAnsi="Arial Narrow;sans-serif"/>
                  <w:b w:val="false"/>
                  <w:color w:val="0000FF"/>
                  <w:sz w:val="20"/>
                  <w:u w:val="single"/>
                </w:rPr>
                <w:t>42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36">
              <w:r>
                <w:rPr>
                  <w:rStyle w:val="InternetLink"/>
                  <w:rFonts w:ascii="Arial Narrow;sans-serif" w:hAnsi="Arial Narrow;sans-serif"/>
                  <w:b w:val="false"/>
                  <w:color w:val="000080"/>
                  <w:sz w:val="20"/>
                  <w:u w:val="single"/>
                </w:rPr>
                <w:t>Consolidated Statements of Stockholders’ Equity for each of the three years ended September 30, 202</w:t>
              </w:r>
            </w:hyperlink>
            <w:hyperlink w:anchor="i95f49e3e276b42ada48c154579dda6f2_136">
              <w:r>
                <w:rPr>
                  <w:rStyle w:val="InternetLink"/>
                  <w:rFonts w:ascii="Arial Narrow;sans-serif" w:hAnsi="Arial Narrow;sans-serif"/>
                  <w:b w:val="false"/>
                  <w:color w:val="000080"/>
                  <w:sz w:val="20"/>
                  <w:u w:val="single"/>
                </w:rPr>
                <w:t>4</w:t>
              </w:r>
            </w:hyperlink>
            <w:hyperlink w:anchor="i95f49e3e276b42ada48c154579dda6f2_136">
              <w:r>
                <w:rPr>
                  <w:rStyle w:val="InternetLink"/>
                  <w:rFonts w:ascii="Arial Narrow;sans-serif" w:hAnsi="Arial Narrow;sans-serif"/>
                  <w:b w:val="false"/>
                  <w:color w:val="000080"/>
                  <w:sz w:val="20"/>
                  <w:u w:val="single"/>
                </w:rPr>
                <w:t>, 202</w:t>
              </w:r>
            </w:hyperlink>
            <w:hyperlink w:anchor="i95f49e3e276b42ada48c154579dda6f2_136">
              <w:r>
                <w:rPr>
                  <w:rStyle w:val="InternetLink"/>
                  <w:rFonts w:ascii="Arial Narrow;sans-serif" w:hAnsi="Arial Narrow;sans-serif"/>
                  <w:b w:val="false"/>
                  <w:color w:val="000080"/>
                  <w:sz w:val="20"/>
                  <w:u w:val="single"/>
                </w:rPr>
                <w:t>3</w:t>
              </w:r>
            </w:hyperlink>
            <w:hyperlink w:anchor="i95f49e3e276b42ada48c154579dda6f2_136">
              <w:r>
                <w:rPr>
                  <w:rStyle w:val="InternetLink"/>
                  <w:rFonts w:ascii="Arial Narrow;sans-serif" w:hAnsi="Arial Narrow;sans-serif"/>
                  <w:b w:val="false"/>
                  <w:color w:val="000080"/>
                  <w:sz w:val="20"/>
                  <w:u w:val="single"/>
                </w:rPr>
                <w:t xml:space="preserve"> and 20</w:t>
              </w:r>
            </w:hyperlink>
            <w:hyperlink w:anchor="i95f49e3e276b42ada48c154579dda6f2_136">
              <w:r>
                <w:rPr>
                  <w:rStyle w:val="InternetLink"/>
                  <w:rFonts w:ascii="Arial Narrow;sans-serif" w:hAnsi="Arial Narrow;sans-serif"/>
                  <w:b w:val="false"/>
                  <w:color w:val="000080"/>
                  <w:sz w:val="20"/>
                  <w:u w:val="single"/>
                </w:rPr>
                <w:t>2</w:t>
              </w:r>
            </w:hyperlink>
            <w:hyperlink w:anchor="i95f49e3e276b42ada48c154579dda6f2_136">
              <w:r>
                <w:rPr>
                  <w:rStyle w:val="InternetLink"/>
                  <w:rFonts w:ascii="Arial Narrow;sans-serif" w:hAnsi="Arial Narrow;sans-serif"/>
                  <w:b w:val="false"/>
                  <w:color w:val="000080"/>
                  <w:sz w:val="20"/>
                  <w:u w:val="single"/>
                </w:rPr>
                <w:t>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36">
              <w:r>
                <w:rPr>
                  <w:rStyle w:val="InternetLink"/>
                  <w:rFonts w:ascii="Arial Narrow;sans-serif" w:hAnsi="Arial Narrow;sans-serif"/>
                  <w:b w:val="false"/>
                  <w:color w:val="0000FF"/>
                  <w:sz w:val="20"/>
                  <w:u w:val="single"/>
                </w:rPr>
                <w:t>43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39">
              <w:r>
                <w:rPr>
                  <w:rStyle w:val="InternetLink"/>
                  <w:rFonts w:ascii="Arial Narrow;sans-serif" w:hAnsi="Arial Narrow;sans-serif"/>
                  <w:b w:val="false"/>
                  <w:color w:val="000080"/>
                  <w:sz w:val="20"/>
                  <w:u w:val="single"/>
                </w:rPr>
                <w:t>Consolidated Statements of Cash Flows for each of the three years ended September 30, 202</w:t>
              </w:r>
            </w:hyperlink>
            <w:hyperlink w:anchor="i95f49e3e276b42ada48c154579dda6f2_139">
              <w:r>
                <w:rPr>
                  <w:rStyle w:val="InternetLink"/>
                  <w:rFonts w:ascii="Arial Narrow;sans-serif" w:hAnsi="Arial Narrow;sans-serif"/>
                  <w:b w:val="false"/>
                  <w:color w:val="000080"/>
                  <w:sz w:val="20"/>
                  <w:u w:val="single"/>
                </w:rPr>
                <w:t>4</w:t>
              </w:r>
            </w:hyperlink>
            <w:hyperlink w:anchor="i95f49e3e276b42ada48c154579dda6f2_139">
              <w:r>
                <w:rPr>
                  <w:rStyle w:val="InternetLink"/>
                  <w:rFonts w:ascii="Arial Narrow;sans-serif" w:hAnsi="Arial Narrow;sans-serif"/>
                  <w:b w:val="false"/>
                  <w:color w:val="000080"/>
                  <w:sz w:val="20"/>
                  <w:u w:val="single"/>
                </w:rPr>
                <w:t>, 202</w:t>
              </w:r>
            </w:hyperlink>
            <w:hyperlink w:anchor="i95f49e3e276b42ada48c154579dda6f2_139">
              <w:r>
                <w:rPr>
                  <w:rStyle w:val="InternetLink"/>
                  <w:rFonts w:ascii="Arial Narrow;sans-serif" w:hAnsi="Arial Narrow;sans-serif"/>
                  <w:b w:val="false"/>
                  <w:color w:val="000080"/>
                  <w:sz w:val="20"/>
                  <w:u w:val="single"/>
                </w:rPr>
                <w:t>3</w:t>
              </w:r>
            </w:hyperlink>
            <w:hyperlink w:anchor="i95f49e3e276b42ada48c154579dda6f2_139">
              <w:r>
                <w:rPr>
                  <w:rStyle w:val="InternetLink"/>
                  <w:rFonts w:ascii="Arial Narrow;sans-serif" w:hAnsi="Arial Narrow;sans-serif"/>
                  <w:b w:val="false"/>
                  <w:color w:val="000080"/>
                  <w:sz w:val="20"/>
                  <w:u w:val="single"/>
                </w:rPr>
                <w:t xml:space="preserve"> and 202</w:t>
              </w:r>
            </w:hyperlink>
            <w:hyperlink w:anchor="i95f49e3e276b42ada48c154579dda6f2_139">
              <w:r>
                <w:rPr>
                  <w:rStyle w:val="InternetLink"/>
                  <w:rFonts w:ascii="Arial Narrow;sans-serif" w:hAnsi="Arial Narrow;sans-serif"/>
                  <w:b w:val="false"/>
                  <w:color w:val="000080"/>
                  <w:sz w:val="20"/>
                  <w:u w:val="single"/>
                </w:rPr>
                <w:t>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39">
              <w:r>
                <w:rPr>
                  <w:rStyle w:val="InternetLink"/>
                  <w:rFonts w:ascii="Arial Narrow;sans-serif" w:hAnsi="Arial Narrow;sans-serif"/>
                  <w:b w:val="false"/>
                  <w:color w:val="0000FF"/>
                  <w:sz w:val="20"/>
                  <w:u w:val="single"/>
                </w:rPr>
                <w:t>44</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42">
              <w:r>
                <w:rPr>
                  <w:rStyle w:val="InternetLink"/>
                  <w:rFonts w:ascii="Arial Narrow;sans-serif" w:hAnsi="Arial Narrow;sans-serif"/>
                  <w:b w:val="false"/>
                  <w:color w:val="0000FF"/>
                  <w:sz w:val="20"/>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42">
              <w:r>
                <w:rPr>
                  <w:rStyle w:val="InternetLink"/>
                  <w:rFonts w:ascii="Arial Narrow;sans-serif" w:hAnsi="Arial Narrow;sans-serif"/>
                  <w:b w:val="false"/>
                  <w:color w:val="0000FF"/>
                  <w:sz w:val="20"/>
                  <w:u w:val="single"/>
                </w:rPr>
                <w:t>45</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45">
              <w:r>
                <w:rPr>
                  <w:rStyle w:val="InternetLink"/>
                  <w:rFonts w:ascii="Arial Narrow;sans-serif" w:hAnsi="Arial Narrow;sans-serif"/>
                  <w:b w:val="false"/>
                  <w:color w:val="0000FF"/>
                  <w:sz w:val="20"/>
                  <w:u w:val="single"/>
                </w:rPr>
                <w:t>Note 1: Organization and Summary of Significant Accounting Policies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45">
              <w:r>
                <w:rPr>
                  <w:rStyle w:val="InternetLink"/>
                  <w:rFonts w:ascii="Arial Narrow;sans-serif" w:hAnsi="Arial Narrow;sans-serif"/>
                  <w:b w:val="false"/>
                  <w:color w:val="0000FF"/>
                  <w:sz w:val="20"/>
                  <w:u w:val="single"/>
                </w:rPr>
                <w:t>45</w:t>
              </w:r>
            </w:hyperlink>
          </w:p>
        </w:tc>
      </w:tr>
      <w:tr>
        <w:trPr/>
        <w:tc>
          <w:tcPr>
            <w:tcW w:w="8670"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670"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54">
              <w:r>
                <w:rPr>
                  <w:rStyle w:val="InternetLink"/>
                  <w:rFonts w:ascii="Arial Narrow;sans-serif" w:hAnsi="Arial Narrow;sans-serif"/>
                  <w:b w:val="false"/>
                  <w:color w:val="000080"/>
                  <w:sz w:val="20"/>
                  <w:u w:val="single"/>
                </w:rPr>
                <w:t xml:space="preserve">Note </w:t>
              </w:r>
            </w:hyperlink>
            <w:hyperlink w:anchor="i95f49e3e276b42ada48c154579dda6f2_154">
              <w:r>
                <w:rPr>
                  <w:rStyle w:val="InternetLink"/>
                  <w:rFonts w:ascii="Arial Narrow;sans-serif" w:hAnsi="Arial Narrow;sans-serif"/>
                  <w:b w:val="false"/>
                  <w:color w:val="000080"/>
                  <w:sz w:val="20"/>
                  <w:u w:val="single"/>
                </w:rPr>
                <w:t>2</w:t>
              </w:r>
            </w:hyperlink>
            <w:hyperlink w:anchor="i95f49e3e276b42ada48c154579dda6f2_154">
              <w:r>
                <w:rPr>
                  <w:rStyle w:val="InternetLink"/>
                  <w:rFonts w:ascii="Arial Narrow;sans-serif" w:hAnsi="Arial Narrow;sans-serif"/>
                  <w:b w:val="false"/>
                  <w:color w:val="000080"/>
                  <w:sz w:val="20"/>
                  <w:u w:val="single"/>
                </w:rPr>
                <w:t>: Earnings Per Share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54">
              <w:r>
                <w:rPr>
                  <w:rStyle w:val="InternetLink"/>
                  <w:rFonts w:ascii="Arial Narrow;sans-serif" w:hAnsi="Arial Narrow;sans-serif"/>
                  <w:b w:val="false"/>
                  <w:color w:val="0000FF"/>
                  <w:sz w:val="20"/>
                  <w:u w:val="single"/>
                </w:rPr>
                <w:t>51</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57">
              <w:r>
                <w:rPr>
                  <w:rStyle w:val="InternetLink"/>
                  <w:rFonts w:ascii="Arial Narrow;sans-serif" w:hAnsi="Arial Narrow;sans-serif"/>
                  <w:b w:val="false"/>
                  <w:color w:val="000080"/>
                  <w:sz w:val="20"/>
                  <w:u w:val="single"/>
                </w:rPr>
                <w:t xml:space="preserve">Note </w:t>
              </w:r>
            </w:hyperlink>
            <w:hyperlink w:anchor="i95f49e3e276b42ada48c154579dda6f2_157">
              <w:r>
                <w:rPr>
                  <w:rStyle w:val="InternetLink"/>
                  <w:rFonts w:ascii="Arial Narrow;sans-serif" w:hAnsi="Arial Narrow;sans-serif"/>
                  <w:b w:val="false"/>
                  <w:color w:val="000080"/>
                  <w:sz w:val="20"/>
                  <w:u w:val="single"/>
                </w:rPr>
                <w:t>3</w:t>
              </w:r>
            </w:hyperlink>
            <w:hyperlink w:anchor="i95f49e3e276b42ada48c154579dda6f2_157">
              <w:r>
                <w:rPr>
                  <w:rStyle w:val="InternetLink"/>
                  <w:rFonts w:ascii="Arial Narrow;sans-serif" w:hAnsi="Arial Narrow;sans-serif"/>
                  <w:b w:val="false"/>
                  <w:color w:val="000080"/>
                  <w:sz w:val="20"/>
                  <w:u w:val="single"/>
                </w:rPr>
                <w:t>: Strategic Investments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57">
              <w:r>
                <w:rPr>
                  <w:rStyle w:val="InternetLink"/>
                  <w:rFonts w:ascii="Arial Narrow;sans-serif" w:hAnsi="Arial Narrow;sans-serif"/>
                  <w:b w:val="false"/>
                  <w:color w:val="0000FF"/>
                  <w:sz w:val="20"/>
                  <w:u w:val="single"/>
                </w:rPr>
                <w:t>52</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60">
              <w:r>
                <w:rPr>
                  <w:rStyle w:val="InternetLink"/>
                  <w:rFonts w:ascii="Arial Narrow;sans-serif" w:hAnsi="Arial Narrow;sans-serif"/>
                  <w:b w:val="false"/>
                  <w:color w:val="000080"/>
                  <w:sz w:val="20"/>
                  <w:u w:val="single"/>
                </w:rPr>
                <w:t xml:space="preserve">Note </w:t>
              </w:r>
            </w:hyperlink>
            <w:hyperlink w:anchor="i95f49e3e276b42ada48c154579dda6f2_160">
              <w:r>
                <w:rPr>
                  <w:rStyle w:val="InternetLink"/>
                  <w:rFonts w:ascii="Arial Narrow;sans-serif" w:hAnsi="Arial Narrow;sans-serif"/>
                  <w:b w:val="false"/>
                  <w:color w:val="000080"/>
                  <w:sz w:val="20"/>
                  <w:u w:val="single"/>
                </w:rPr>
                <w:t>4</w:t>
              </w:r>
            </w:hyperlink>
            <w:hyperlink w:anchor="i95f49e3e276b42ada48c154579dda6f2_160">
              <w:r>
                <w:rPr>
                  <w:rStyle w:val="InternetLink"/>
                  <w:rFonts w:ascii="Arial Narrow;sans-serif" w:hAnsi="Arial Narrow;sans-serif"/>
                  <w:b w:val="false"/>
                  <w:color w:val="000080"/>
                  <w:sz w:val="20"/>
                  <w:u w:val="single"/>
                </w:rPr>
                <w:t>: Fair Value Measurements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60">
              <w:r>
                <w:rPr>
                  <w:rStyle w:val="InternetLink"/>
                  <w:rFonts w:ascii="Arial Narrow;sans-serif" w:hAnsi="Arial Narrow;sans-serif"/>
                  <w:b w:val="false"/>
                  <w:color w:val="0000FF"/>
                  <w:sz w:val="20"/>
                  <w:u w:val="single"/>
                </w:rPr>
                <w:t>53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63">
              <w:r>
                <w:rPr>
                  <w:rStyle w:val="InternetLink"/>
                  <w:rFonts w:ascii="Arial Narrow;sans-serif" w:hAnsi="Arial Narrow;sans-serif"/>
                  <w:b w:val="false"/>
                  <w:color w:val="000080"/>
                  <w:sz w:val="20"/>
                  <w:u w:val="single"/>
                </w:rPr>
                <w:t xml:space="preserve">Note </w:t>
              </w:r>
            </w:hyperlink>
            <w:hyperlink w:anchor="i95f49e3e276b42ada48c154579dda6f2_163">
              <w:r>
                <w:rPr>
                  <w:rStyle w:val="InternetLink"/>
                  <w:rFonts w:ascii="Arial Narrow;sans-serif" w:hAnsi="Arial Narrow;sans-serif"/>
                  <w:b w:val="false"/>
                  <w:color w:val="000080"/>
                  <w:sz w:val="20"/>
                  <w:u w:val="single"/>
                </w:rPr>
                <w:t>5</w:t>
              </w:r>
            </w:hyperlink>
            <w:hyperlink w:anchor="i95f49e3e276b42ada48c154579dda6f2_163">
              <w:r>
                <w:rPr>
                  <w:rStyle w:val="InternetLink"/>
                  <w:rFonts w:ascii="Arial Narrow;sans-serif" w:hAnsi="Arial Narrow;sans-serif"/>
                  <w:b w:val="false"/>
                  <w:color w:val="000080"/>
                  <w:sz w:val="20"/>
                  <w:u w:val="single"/>
                </w:rPr>
                <w:t>: Property and Equipment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63">
              <w:r>
                <w:rPr>
                  <w:rStyle w:val="InternetLink"/>
                  <w:rFonts w:ascii="Arial Narrow;sans-serif" w:hAnsi="Arial Narrow;sans-serif"/>
                  <w:b w:val="false"/>
                  <w:color w:val="0000FF"/>
                  <w:sz w:val="20"/>
                  <w:u w:val="single"/>
                </w:rPr>
                <w:t>53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66">
              <w:r>
                <w:rPr>
                  <w:rStyle w:val="InternetLink"/>
                  <w:rFonts w:ascii="Arial Narrow;sans-serif" w:hAnsi="Arial Narrow;sans-serif"/>
                  <w:b w:val="false"/>
                  <w:color w:val="000080"/>
                  <w:sz w:val="20"/>
                  <w:u w:val="single"/>
                </w:rPr>
                <w:t xml:space="preserve">Note </w:t>
              </w:r>
            </w:hyperlink>
            <w:hyperlink w:anchor="i95f49e3e276b42ada48c154579dda6f2_166">
              <w:r>
                <w:rPr>
                  <w:rStyle w:val="InternetLink"/>
                  <w:rFonts w:ascii="Arial Narrow;sans-serif" w:hAnsi="Arial Narrow;sans-serif"/>
                  <w:b w:val="false"/>
                  <w:color w:val="000080"/>
                  <w:sz w:val="20"/>
                  <w:u w:val="single"/>
                </w:rPr>
                <w:t>6</w:t>
              </w:r>
            </w:hyperlink>
            <w:hyperlink w:anchor="i95f49e3e276b42ada48c154579dda6f2_166">
              <w:r>
                <w:rPr>
                  <w:rStyle w:val="InternetLink"/>
                  <w:rFonts w:ascii="Arial Narrow;sans-serif" w:hAnsi="Arial Narrow;sans-serif"/>
                  <w:b w:val="false"/>
                  <w:color w:val="000080"/>
                  <w:sz w:val="20"/>
                  <w:u w:val="single"/>
                </w:rPr>
                <w:t>: Goodwill and Intangible Assets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66">
              <w:r>
                <w:rPr>
                  <w:rStyle w:val="InternetLink"/>
                  <w:rFonts w:ascii="Arial Narrow;sans-serif" w:hAnsi="Arial Narrow;sans-serif"/>
                  <w:b w:val="false"/>
                  <w:color w:val="0000FF"/>
                  <w:sz w:val="20"/>
                  <w:u w:val="single"/>
                </w:rPr>
                <w:t>53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69">
              <w:r>
                <w:rPr>
                  <w:rStyle w:val="InternetLink"/>
                  <w:rFonts w:ascii="Arial Narrow;sans-serif" w:hAnsi="Arial Narrow;sans-serif"/>
                  <w:b w:val="false"/>
                  <w:color w:val="000080"/>
                  <w:sz w:val="20"/>
                  <w:u w:val="single"/>
                </w:rPr>
                <w:t xml:space="preserve">Note </w:t>
              </w:r>
            </w:hyperlink>
            <w:hyperlink w:anchor="i95f49e3e276b42ada48c154579dda6f2_169">
              <w:r>
                <w:rPr>
                  <w:rStyle w:val="InternetLink"/>
                  <w:rFonts w:ascii="Arial Narrow;sans-serif" w:hAnsi="Arial Narrow;sans-serif"/>
                  <w:b w:val="false"/>
                  <w:color w:val="000080"/>
                  <w:sz w:val="20"/>
                  <w:u w:val="single"/>
                </w:rPr>
                <w:t>7</w:t>
              </w:r>
            </w:hyperlink>
            <w:hyperlink w:anchor="i95f49e3e276b42ada48c154579dda6f2_169">
              <w:r>
                <w:rPr>
                  <w:rStyle w:val="InternetLink"/>
                  <w:rFonts w:ascii="Arial Narrow;sans-serif" w:hAnsi="Arial Narrow;sans-serif"/>
                  <w:b w:val="false"/>
                  <w:color w:val="000080"/>
                  <w:sz w:val="20"/>
                  <w:u w:val="single"/>
                </w:rPr>
                <w:t>: Debt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69">
              <w:r>
                <w:rPr>
                  <w:rStyle w:val="InternetLink"/>
                  <w:rFonts w:ascii="Arial Narrow;sans-serif" w:hAnsi="Arial Narrow;sans-serif"/>
                  <w:b w:val="false"/>
                  <w:color w:val="0000FF"/>
                  <w:sz w:val="20"/>
                  <w:u w:val="single"/>
                </w:rPr>
                <w:t>54</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75">
              <w:r>
                <w:rPr>
                  <w:rStyle w:val="InternetLink"/>
                  <w:rFonts w:ascii="Arial Narrow;sans-serif" w:hAnsi="Arial Narrow;sans-serif"/>
                  <w:b w:val="false"/>
                  <w:color w:val="000080"/>
                  <w:sz w:val="20"/>
                  <w:u w:val="single"/>
                </w:rPr>
                <w:t xml:space="preserve">Note </w:t>
              </w:r>
            </w:hyperlink>
            <w:hyperlink w:anchor="i95f49e3e276b42ada48c154579dda6f2_175">
              <w:r>
                <w:rPr>
                  <w:rStyle w:val="InternetLink"/>
                  <w:rFonts w:ascii="Arial Narrow;sans-serif" w:hAnsi="Arial Narrow;sans-serif"/>
                  <w:b w:val="false"/>
                  <w:color w:val="000080"/>
                  <w:sz w:val="20"/>
                  <w:u w:val="single"/>
                </w:rPr>
                <w:t>8</w:t>
              </w:r>
            </w:hyperlink>
            <w:hyperlink w:anchor="i95f49e3e276b42ada48c154579dda6f2_175">
              <w:r>
                <w:rPr>
                  <w:rStyle w:val="InternetLink"/>
                  <w:rFonts w:ascii="Arial Narrow;sans-serif" w:hAnsi="Arial Narrow;sans-serif"/>
                  <w:b w:val="false"/>
                  <w:color w:val="000080"/>
                  <w:sz w:val="20"/>
                  <w:u w:val="single"/>
                </w:rPr>
                <w:t>: Common Stock and Stock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75">
              <w:r>
                <w:rPr>
                  <w:rStyle w:val="InternetLink"/>
                  <w:rFonts w:ascii="Arial Narrow;sans-serif" w:hAnsi="Arial Narrow;sans-serif"/>
                  <w:b w:val="false"/>
                  <w:color w:val="0000FF"/>
                  <w:sz w:val="20"/>
                  <w:u w:val="single"/>
                </w:rPr>
                <w:t>57</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78">
              <w:r>
                <w:rPr>
                  <w:rStyle w:val="InternetLink"/>
                  <w:rFonts w:ascii="Arial Narrow;sans-serif" w:hAnsi="Arial Narrow;sans-serif"/>
                  <w:b w:val="false"/>
                  <w:color w:val="000080"/>
                  <w:sz w:val="20"/>
                  <w:u w:val="single"/>
                </w:rPr>
                <w:t xml:space="preserve">Note </w:t>
              </w:r>
            </w:hyperlink>
            <w:hyperlink w:anchor="i95f49e3e276b42ada48c154579dda6f2_178">
              <w:r>
                <w:rPr>
                  <w:rStyle w:val="InternetLink"/>
                  <w:rFonts w:ascii="Arial Narrow;sans-serif" w:hAnsi="Arial Narrow;sans-serif"/>
                  <w:b w:val="false"/>
                  <w:color w:val="000080"/>
                  <w:sz w:val="20"/>
                  <w:u w:val="single"/>
                </w:rPr>
                <w:t>9</w:t>
              </w:r>
            </w:hyperlink>
            <w:hyperlink w:anchor="i95f49e3e276b42ada48c154579dda6f2_178">
              <w:r>
                <w:rPr>
                  <w:rStyle w:val="InternetLink"/>
                  <w:rFonts w:ascii="Arial Narrow;sans-serif" w:hAnsi="Arial Narrow;sans-serif"/>
                  <w:b w:val="false"/>
                  <w:color w:val="000080"/>
                  <w:sz w:val="20"/>
                  <w:u w:val="single"/>
                </w:rPr>
                <w:t>: Income Taxes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78">
              <w:r>
                <w:rPr>
                  <w:rStyle w:val="InternetLink"/>
                  <w:rFonts w:ascii="Arial Narrow;sans-serif" w:hAnsi="Arial Narrow;sans-serif"/>
                  <w:b w:val="false"/>
                  <w:color w:val="0000FF"/>
                  <w:sz w:val="20"/>
                  <w:u w:val="single"/>
                </w:rPr>
                <w:t>61</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81">
              <w:r>
                <w:rPr>
                  <w:rStyle w:val="InternetLink"/>
                  <w:rFonts w:ascii="Arial Narrow;sans-serif" w:hAnsi="Arial Narrow;sans-serif"/>
                  <w:b w:val="false"/>
                  <w:color w:val="000080"/>
                  <w:sz w:val="20"/>
                  <w:u w:val="single"/>
                </w:rPr>
                <w:t xml:space="preserve">Note </w:t>
              </w:r>
            </w:hyperlink>
            <w:hyperlink w:anchor="i95f49e3e276b42ada48c154579dda6f2_181">
              <w:r>
                <w:rPr>
                  <w:rStyle w:val="InternetLink"/>
                  <w:rFonts w:ascii="Arial Narrow;sans-serif" w:hAnsi="Arial Narrow;sans-serif"/>
                  <w:b w:val="false"/>
                  <w:color w:val="000080"/>
                  <w:sz w:val="20"/>
                  <w:u w:val="single"/>
                </w:rPr>
                <w:t>10</w:t>
              </w:r>
            </w:hyperlink>
            <w:hyperlink w:anchor="i95f49e3e276b42ada48c154579dda6f2_181">
              <w:r>
                <w:rPr>
                  <w:rStyle w:val="InternetLink"/>
                  <w:rFonts w:ascii="Arial Narrow;sans-serif" w:hAnsi="Arial Narrow;sans-serif"/>
                  <w:b w:val="false"/>
                  <w:color w:val="000080"/>
                  <w:sz w:val="20"/>
                  <w:u w:val="single"/>
                </w:rPr>
                <w:t>: Leases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81">
              <w:r>
                <w:rPr>
                  <w:rStyle w:val="InternetLink"/>
                  <w:rFonts w:ascii="Arial Narrow;sans-serif" w:hAnsi="Arial Narrow;sans-serif"/>
                  <w:b w:val="false"/>
                  <w:color w:val="0000FF"/>
                  <w:sz w:val="20"/>
                  <w:u w:val="single"/>
                </w:rPr>
                <w:t>63</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84">
              <w:r>
                <w:rPr>
                  <w:rStyle w:val="InternetLink"/>
                  <w:rFonts w:ascii="Arial Narrow;sans-serif" w:hAnsi="Arial Narrow;sans-serif"/>
                  <w:b w:val="false"/>
                  <w:color w:val="000080"/>
                  <w:sz w:val="20"/>
                  <w:u w:val="single"/>
                </w:rPr>
                <w:t xml:space="preserve">Note </w:t>
              </w:r>
            </w:hyperlink>
            <w:hyperlink w:anchor="i95f49e3e276b42ada48c154579dda6f2_184">
              <w:r>
                <w:rPr>
                  <w:rStyle w:val="InternetLink"/>
                  <w:rFonts w:ascii="Arial Narrow;sans-serif" w:hAnsi="Arial Narrow;sans-serif"/>
                  <w:b w:val="false"/>
                  <w:color w:val="000080"/>
                  <w:sz w:val="20"/>
                  <w:u w:val="single"/>
                </w:rPr>
                <w:t>11</w:t>
              </w:r>
            </w:hyperlink>
            <w:hyperlink w:anchor="i95f49e3e276b42ada48c154579dda6f2_184">
              <w:r>
                <w:rPr>
                  <w:rStyle w:val="InternetLink"/>
                  <w:rFonts w:ascii="Arial Narrow;sans-serif" w:hAnsi="Arial Narrow;sans-serif"/>
                  <w:b w:val="false"/>
                  <w:color w:val="000080"/>
                  <w:sz w:val="20"/>
                  <w:u w:val="single"/>
                </w:rPr>
                <w:t>: Contingencies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84">
              <w:r>
                <w:rPr>
                  <w:rStyle w:val="InternetLink"/>
                  <w:rFonts w:ascii="Arial Narrow;sans-serif" w:hAnsi="Arial Narrow;sans-serif"/>
                  <w:b w:val="false"/>
                  <w:color w:val="0000FF"/>
                  <w:sz w:val="20"/>
                  <w:u w:val="single"/>
                </w:rPr>
                <w:t>65</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87">
              <w:r>
                <w:rPr>
                  <w:rStyle w:val="InternetLink"/>
                  <w:rFonts w:ascii="Arial Narrow;sans-serif" w:hAnsi="Arial Narrow;sans-serif"/>
                  <w:b w:val="false"/>
                  <w:color w:val="000080"/>
                  <w:sz w:val="20"/>
                  <w:u w:val="single"/>
                </w:rPr>
                <w:t xml:space="preserve">Note </w:t>
              </w:r>
            </w:hyperlink>
            <w:hyperlink w:anchor="i95f49e3e276b42ada48c154579dda6f2_187">
              <w:r>
                <w:rPr>
                  <w:rStyle w:val="InternetLink"/>
                  <w:rFonts w:ascii="Arial Narrow;sans-serif" w:hAnsi="Arial Narrow;sans-serif"/>
                  <w:b w:val="false"/>
                  <w:color w:val="000080"/>
                  <w:sz w:val="20"/>
                  <w:u w:val="single"/>
                </w:rPr>
                <w:t>12</w:t>
              </w:r>
            </w:hyperlink>
            <w:hyperlink w:anchor="i95f49e3e276b42ada48c154579dda6f2_187">
              <w:r>
                <w:rPr>
                  <w:rStyle w:val="InternetLink"/>
                  <w:rFonts w:ascii="Arial Narrow;sans-serif" w:hAnsi="Arial Narrow;sans-serif"/>
                  <w:b w:val="false"/>
                  <w:color w:val="000080"/>
                  <w:sz w:val="20"/>
                  <w:u w:val="single"/>
                </w:rPr>
                <w:t>: Segment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87">
              <w:r>
                <w:rPr>
                  <w:rStyle w:val="InternetLink"/>
                  <w:rFonts w:ascii="Arial Narrow;sans-serif" w:hAnsi="Arial Narrow;sans-serif"/>
                  <w:b w:val="false"/>
                  <w:color w:val="0000FF"/>
                  <w:sz w:val="20"/>
                  <w:u w:val="single"/>
                </w:rPr>
                <w:t>65</w:t>
              </w:r>
            </w:hyperlink>
          </w:p>
        </w:tc>
      </w:tr>
      <w:tr>
        <w:trPr/>
        <w:tc>
          <w:tcPr>
            <w:tcW w:w="86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f49e3e276b42ada48c154579dda6f2_190">
              <w:r>
                <w:rPr>
                  <w:rStyle w:val="InternetLink"/>
                  <w:rFonts w:ascii="Arial Narrow;sans-serif" w:hAnsi="Arial Narrow;sans-serif"/>
                  <w:b w:val="false"/>
                  <w:color w:val="000080"/>
                  <w:sz w:val="20"/>
                  <w:u w:val="single"/>
                </w:rPr>
                <w:t xml:space="preserve">Note </w:t>
              </w:r>
            </w:hyperlink>
            <w:hyperlink w:anchor="i95f49e3e276b42ada48c154579dda6f2_190">
              <w:r>
                <w:rPr>
                  <w:rStyle w:val="InternetLink"/>
                  <w:rFonts w:ascii="Arial Narrow;sans-serif" w:hAnsi="Arial Narrow;sans-serif"/>
                  <w:b w:val="false"/>
                  <w:color w:val="000080"/>
                  <w:sz w:val="20"/>
                  <w:u w:val="single"/>
                </w:rPr>
                <w:t>13</w:t>
              </w:r>
            </w:hyperlink>
            <w:hyperlink w:anchor="i95f49e3e276b42ada48c154579dda6f2_190">
              <w:r>
                <w:rPr>
                  <w:rStyle w:val="InternetLink"/>
                  <w:rFonts w:ascii="Arial Narrow;sans-serif" w:hAnsi="Arial Narrow;sans-serif"/>
                  <w:b w:val="false"/>
                  <w:color w:val="000080"/>
                  <w:sz w:val="20"/>
                  <w:u w:val="single"/>
                </w:rPr>
                <w:t>: Supplemental Consolidated Financial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f49e3e276b42ada48c154579dda6f2_190">
              <w:r>
                <w:rPr>
                  <w:rStyle w:val="InternetLink"/>
                  <w:rFonts w:ascii="Arial Narrow;sans-serif" w:hAnsi="Arial Narrow;sans-serif"/>
                  <w:b w:val="false"/>
                  <w:color w:val="0000FF"/>
                  <w:sz w:val="20"/>
                  <w:u w:val="single"/>
                </w:rPr>
                <w:t>68</w:t>
              </w:r>
            </w:hyperlink>
          </w:p>
        </w:tc>
      </w:tr>
      <w:tr>
        <w:trPr/>
        <w:tc>
          <w:tcPr>
            <w:tcW w:w="8670"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670"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5"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both"/>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Shareholders and Board of Directors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the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have audited the accompanying consolidated balance sheets of EZCORP, Inc. (the “Company”) as of September 30, 2024 and 2023, the related consolidated statements of operations, comprehensive income, stockholders’ equity, and cash flows for each of the three years in the period ended September 30, 2024, and the related notes (collectively referred to as the “consolidated financial statements”). In our opinion, the consolidated financial statements present fairly, in all material respects, the financial position of the Company at September 30, 2024 and 2023, and the results of its operations and its cash flows for each of the three years in the period ended September 30, 2024, in conformity with accounting principles generally accepted in the United States of America.</w:t>
      </w:r>
    </w:p>
    <w:p>
      <w:pPr>
        <w:pStyle w:val="TextBody"/>
        <w:bidi w:val="0"/>
        <w:spacing w:lineRule="auto" w:line="288" w:before="180" w:after="283"/>
        <w:jc w:val="both"/>
        <w:rPr/>
      </w:pPr>
      <w:r>
        <w:rPr>
          <w:rFonts w:ascii="Arial Narrow;sans-serif" w:hAnsi="Arial Narrow;sans-serif"/>
          <w:b w:val="false"/>
          <w:color w:val="000000"/>
          <w:sz w:val="20"/>
        </w:rPr>
        <w:t xml:space="preserve">We also have audited, in accordance with the standards of the Public Company Accounting Oversight Board (United States) (“PCAOB”), the Company's internal control over financial reporting as of September 30, 2024,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(“COSO”) and our report dated November 13, 2024, expressed an unqualified opinion thereon.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lineRule="auto" w:line="240"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40"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40"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Audit Matter</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Revenue Recognition for United States (U.S.) and Mexico Merchandise Sales and Pawn Service Charges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described in Note 1 to the consolidated financial statements, the Company recognizes revenue for merchandise sales at the point in time when merchandise inventory is sold and delivered to the customer. The Company recognizes revenue for pawn service charges using the effective interest method over the life of the pawn loans for all pawn loans the Company believes to be collectible. As described in Note 12 to the consolidated financial statements, for the year ended September 30, 2024, the Company’s total revenues within the U.S. and Mexico were $836.1 million and $247.6 million, respectively, substantially all of which related to merchandise sales and pawn service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identified revenue recognition for merchandise sales and pawn service charges within the U.S. and Mexico as a critical audit matter, as auditing merchandise sales and pawn service charges revenue within these locations required a higher extent of audit effort.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primary procedures we performed to address this critical audit matter included: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Testing the effectiveness of automated application controls over the initiation, processing and recording of revenue for merchandise sales and pawn service charges within the U.S. and Mexico.</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6"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Testing U.S. and Mexico merchandise sales revenue and pawn service charges revenue transactions, on a sample basis, by tracing the sampled transactions to supporting information, such as electronic sales records and electronic evidence of payment.</w:t>
      </w:r>
    </w:p>
    <w:p>
      <w:pPr>
        <w:pStyle w:val="TextBody"/>
        <w:bidi w:val="0"/>
        <w:spacing w:before="120" w:after="283"/>
        <w:jc w:val="left"/>
        <w:rPr/>
      </w:pPr>
      <w:r>
        <w:rPr/>
      </w: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/s/ BDO USA, P.C.</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2015.</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Dallas, Texas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7"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82"/>
        <w:gridCol w:w="2414"/>
        <w:gridCol w:w="2423"/>
        <w:gridCol w:w="181"/>
        <w:gridCol w:w="766"/>
        <w:gridCol w:w="109"/>
        <w:gridCol w:w="109"/>
        <w:gridCol w:w="109"/>
        <w:gridCol w:w="109"/>
        <w:gridCol w:w="181"/>
        <w:gridCol w:w="76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719,719 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 net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191,972 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721,943 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11)</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51,582,698 issued and outstanding as of September 30, 2024; and issued and outstanding of 51,869,569 as of September 30, 2023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 as of September 30, 2024 and 2023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745,768 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5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OPERATIONS</w:t>
      </w:r>
    </w:p>
    <w:tbl>
      <w:tblPr>
        <w:tblW w:w="7017"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569,743 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453,225 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92,150 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74,922 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9"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510"/>
        <w:gridCol w:w="2196"/>
        <w:gridCol w:w="2216"/>
        <w:gridCol w:w="181"/>
        <w:gridCol w:w="571"/>
        <w:gridCol w:w="109"/>
        <w:gridCol w:w="109"/>
        <w:gridCol w:w="109"/>
        <w:gridCol w:w="109"/>
        <w:gridCol w:w="181"/>
        <w:gridCol w:w="571"/>
        <w:gridCol w:w="109"/>
        <w:gridCol w:w="109"/>
        <w:gridCol w:w="109"/>
        <w:gridCol w:w="109"/>
        <w:gridCol w:w="181"/>
        <w:gridCol w:w="571"/>
        <w:gridCol w:w="155"/>
      </w:tblGrid>
      <w:tr>
        <w:trPr/>
        <w:tc>
          <w:tcPr>
            <w:tcW w:w="2510"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6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comprehensive (loss)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expense for our investment in unconsolidated affiliate of $7, $666 and $229 for the years ended September 30, 2024, 2023 and 2022,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63,650 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62,030 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52,906 </w:t>
            </w:r>
          </w:p>
        </w:tc>
        <w:tc>
          <w:tcPr>
            <w:tcW w:w="15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0"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CONSOLIDATED STATEMENTS OF STOCKHOLDERS' EQUITY</w:t>
      </w:r>
    </w:p>
    <w:tbl>
      <w:tblPr>
        <w:tblW w:w="10205" w:type="dxa"/>
        <w:jc w:val="center"/>
        <w:tblInd w:w="0" w:type="dxa"/>
        <w:tblLayout w:type="fixed"/>
        <w:tblCellMar>
          <w:top w:w="28" w:type="dxa"/>
          <w:left w:w="28" w:type="dxa"/>
          <w:bottom w:w="28" w:type="dxa"/>
          <w:right w:w="28" w:type="dxa"/>
        </w:tblCellMar>
      </w:tblPr>
      <w:tblGrid>
        <w:gridCol w:w="792"/>
        <w:gridCol w:w="557"/>
        <w:gridCol w:w="559"/>
        <w:gridCol w:w="285"/>
        <w:gridCol w:w="286"/>
        <w:gridCol w:w="191"/>
        <w:gridCol w:w="109"/>
        <w:gridCol w:w="109"/>
        <w:gridCol w:w="109"/>
        <w:gridCol w:w="181"/>
        <w:gridCol w:w="376"/>
        <w:gridCol w:w="109"/>
        <w:gridCol w:w="109"/>
        <w:gridCol w:w="109"/>
        <w:gridCol w:w="109"/>
        <w:gridCol w:w="233"/>
        <w:gridCol w:w="834"/>
        <w:gridCol w:w="140"/>
        <w:gridCol w:w="109"/>
        <w:gridCol w:w="109"/>
        <w:gridCol w:w="109"/>
        <w:gridCol w:w="181"/>
        <w:gridCol w:w="646"/>
        <w:gridCol w:w="109"/>
        <w:gridCol w:w="109"/>
        <w:gridCol w:w="109"/>
        <w:gridCol w:w="109"/>
        <w:gridCol w:w="351"/>
        <w:gridCol w:w="1107"/>
        <w:gridCol w:w="212"/>
        <w:gridCol w:w="109"/>
        <w:gridCol w:w="109"/>
        <w:gridCol w:w="109"/>
        <w:gridCol w:w="109"/>
        <w:gridCol w:w="109"/>
        <w:gridCol w:w="109"/>
        <w:gridCol w:w="109"/>
        <w:gridCol w:w="181"/>
        <w:gridCol w:w="646"/>
        <w:gridCol w:w="158"/>
      </w:tblGrid>
      <w:tr>
        <w:trPr/>
        <w:tc>
          <w:tcPr>
            <w:tcW w:w="79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October 1, 2021</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56,057 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403,312 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(58,415)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672,238 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consideration for other investment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Cumulative effect of adoption of ASU 2020-06</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(62,804)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(36,638)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2,746 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50,160 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2022</w:t>
            </w:r>
          </w:p>
        </w:tc>
        <w:tc>
          <w:tcPr>
            <w:tcW w:w="7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345,330 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402,006 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(55,669)</w:t>
            </w:r>
          </w:p>
        </w:tc>
        <w:tc>
          <w:tcPr>
            <w:tcW w:w="2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692,231 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9,539 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Transfer of equity consideration for acquisition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23,567 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(7,639)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2023</w:t>
            </w:r>
          </w:p>
        </w:tc>
        <w:tc>
          <w:tcPr>
            <w:tcW w:w="76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54,840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3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346,181 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431,140 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0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(32,102)</w:t>
            </w:r>
          </w:p>
        </w:tc>
        <w:tc>
          <w:tcPr>
            <w:tcW w:w="21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745,768 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Stock compensation</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bookmarkStart w:id="0" w:name="iab2885c8c4424144bc71fe1487a589e5_36-5-1"/>
            <w:bookmarkEnd w:id="0"/>
            <w:r>
              <w:rPr>
                <w:rFonts w:ascii="Arial Narrow;sans-serif" w:hAnsi="Arial Narrow;sans-serif"/>
                <w:b w:val="false"/>
                <w:color w:val="000000"/>
                <w:sz w:val="16"/>
              </w:rPr>
              <w:t>10,406 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Release of restricted stock, net of shares withheld for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Settlement of conversion premium of convertible notes due 2024</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Foreign currency translation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(19,445)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(4,966)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(12,008)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Balances as of September 30, 2024</w:t>
            </w:r>
          </w:p>
        </w:tc>
        <w:tc>
          <w:tcPr>
            <w:tcW w:w="762"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54,553</w:t>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3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348,366 </w:t>
            </w:r>
          </w:p>
        </w:tc>
        <w:tc>
          <w:tcPr>
            <w:tcW w:w="14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507,206 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110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(51,547)</w:t>
            </w:r>
          </w:p>
        </w:tc>
        <w:tc>
          <w:tcPr>
            <w:tcW w:w="21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804,571 </w:t>
            </w:r>
          </w:p>
        </w:tc>
        <w:tc>
          <w:tcPr>
            <w:tcW w:w="15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pPr>
      <w:r>
        <w:rPr>
          <w:rFonts w:ascii="Arial Narrow;sans-serif" w:hAnsi="Arial Narrow;sans-serif"/>
          <w:b w:val="false"/>
          <w:color w:val="000000"/>
          <w:sz w:val="20"/>
        </w:rPr>
        <w:t>S</w:t>
      </w:r>
      <w:r>
        <w:rPr>
          <w:rFonts w:ascii="Arial Narrow;sans-serif" w:hAnsi="Arial Narrow;sans-serif"/>
          <w:b w:val="false"/>
          <w:color w:val="000000"/>
          <w:sz w:val="18"/>
        </w:rPr>
        <w:t>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1"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pPr>
      <w:r>
        <w:rPr>
          <w:rFonts w:ascii="Arial Narrow;sans-serif" w:hAnsi="Arial Narrow;sans-serif"/>
          <w:b/>
          <w:color w:val="00497F"/>
          <w:sz w:val="28"/>
        </w:rPr>
        <w:t>EZCORP, Inc</w:t>
      </w:r>
      <w:r>
        <w:rPr>
          <w:rFonts w:ascii="Arial Narrow;sans-serif" w:hAnsi="Arial Narrow;sans-serif"/>
          <w:b/>
          <w:color w:val="000000"/>
          <w:sz w:val="20"/>
        </w:rPr>
        <w:t>.</w:t>
      </w:r>
    </w:p>
    <w:p>
      <w:pPr>
        <w:pStyle w:val="TextBody"/>
        <w:bidi w:val="0"/>
        <w:spacing w:lineRule="auto" w:line="288" w:before="0" w:after="120"/>
        <w:jc w:val="center"/>
        <w:rPr>
          <w:rFonts w:ascii="Arial Narrow;sans-serif" w:hAnsi="Arial Narrow;sans-serif"/>
          <w:b/>
          <w:color w:val="00497F"/>
          <w:sz w:val="28"/>
        </w:rPr>
      </w:pPr>
      <w:r>
        <w:rPr>
          <w:rFonts w:ascii="Arial Narrow;sans-serif" w:hAnsi="Arial Narrow;sans-serif"/>
          <w:b/>
          <w:color w:val="00497F"/>
          <w:sz w:val="28"/>
        </w:rPr>
        <w:t>CONSOLIDATED STATEMENTS OF CASH FLOWS</w:t>
      </w:r>
    </w:p>
    <w:tbl>
      <w:tblPr>
        <w:tblW w:w="8832" w:type="dxa"/>
        <w:jc w:val="center"/>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from 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113,600 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66,535 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note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(111,853)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(110,886)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(113,283)</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Payments on assumed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and cash equivalents and restricted cash</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(49,161)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(49,255)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2"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was founded in 1989 and is a provider of pawn services in the United States and Latin America. At our pawn stores, we advance cash against the value of collateralized personal property. We also sell merchandise, primarily collateral forfeited from pawn activities and pre-owned merchandise purchased from customers. We fulfill short-term cash needs to consumers, with a focus on delivering an industry-leading customer experience.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we operated a total of 1,279 locations, consisting of: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542 United States pawn stores (operating primarily as EZPAWN or Value Pawn &amp; Jewelry);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565 Mexico pawn stores (operating primarily as Empeño Fácil and Cash Apoyo Efectivo);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172 pawn stores in Guatemala, El Salvador and Honduras (operating as GuatePrenda and MaxiEfectivo).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an equity interest (43.7% as of September 30, 2024) in Cash Converters International Limited (“Cash Converters”), a publicly traded company (ASX:CCV) headquartered in Perth, Western Australia. Cash Converters and its controlled companies comprise a diverse group generating revenues from franchising, store operations, personal finance (including pawn transactions) and vehicle finance, in 669 stores across 17 countries. Additionally, we own a preferred interest in Founders One, LLC (“Founders”) that has majority ownership in Simple Management Group, Inc. (“SMG”).</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Basis of Presentation and 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consolidated financial statements have been prepared in accordance with generally accepted accounting principles and are expressed in U.S. dollars. They include the accounts of EZCORP, Inc., and its wholly-owned subsidiaries. We use the equity method of accounting for entities over which we exercise significant influence, but in which we have a 50% or less investment. We account for equity investments in entities over which we do not exercise significant influence, and do not have a readily determinable fair value, at cost. If we obtain evidence that the fair value of such an investment has declined below its cost, we reduce the recorded cost to the lower value through an impairment charge recorded in the Consolidated Statements of Operations. All inter-company accounts and transactions have been eliminated in consolidation.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Use of Estimates and Assumptions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these financial statements requires management to make estimates and assumptions that affect the reported amounts of assets, liabilities, revenues and expenses and related disclosure of contingent assets and liabilities. We regularly evaluate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we believe are reasonable, the results of which form the basis for making judgements about the carrying values of assets and liabilities and the accrual of costs and expenses that are not readily apparent from other sources. Actual results may differ materially from the estimates under different assumptions or conditions.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Pawn Loans and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pawn loans are fully collateralized and the carrying values are based on the initial amounts loaned to customers. We record pawn service charges using the effective interest method over the life of the pawn loans for all pawn loans we believe to be collectible. We base our estimate of collectability on several inputs, including recent redemption rates, historical trends in redemption rates and the amount of loans due in the following months. Unexpected variations in any of these factors could change our estimate of collectability and affect our results of operations and financial condition. If a pawn loan is not repaid, the forfeited collateral is recorded as inventory at the lower of the principal balance of the pawn loan or the net realizable value of the item. As of September 30, 2024, consolidated pawn loans outstanding was $274.1 million, of which $107.5 million (39%) is attributable to stores in Texas and $28.6 million (10%) is attributable to stores in Florida. As of September 30, 2023, consolidated pawn loans outstanding was $245.8 million, of which $95.5 million (39%) is attributable to stores in Texas and $25.7 million (10%) is attributable to stores in Florida.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3"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Merchandise Sales 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performance obligations for merchandise sales primarily relate to point in time retail sales in our stores. We recognize the satisfaction of the performance obligations and record merchandise sales revenue and the related costs when merchandise inventory is sold and delivered to the customer or, in the case of a layaway sale, when we receive the final payment. Customer layaway deposits are recorded as liabilities when a customer provides a deposit for merchandise. Customer layaway deposits are generally refundable upon cancellation. Our customer layaway deposits balance as of September 30, 2024, 2023 and 2022 was $21.6 million, $18.9 million and $16.0 million, respectively, and are generally recognized as revenue within a one-year period. Customers have a limited period of time to return merchandise for a refund or exchange, and actual returns for refunds are not material. Sales taxes collected on sales of inventory are excluded from the amounts recognized as merchandise sales and are recorded as “Accounts payable, accrued expenses and other current liabilities” in our Consolidated Balance Sheets until remitted to the appropriate governmental authorities.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precious metals and stones sold as scrap, we recognize the satisfaction of the performance obligations and record the revenues and the related costs when the inventory is legally transferred to the refiner and the refiner obtains control of the inventory. The accounts receivable outstanding at the end of a given reporting period from such transactions are not material as payments are generally received within a short period of time after the legal transfer of the inventory.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transaction prices are explicitly stated within the contracts with our customers.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Inventory and Cost of Goods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If a pawn loan is not redeemed, the forfeited collateral is recorded as inventory at the lower of the principal balance of the pawn loan or the net realizable value of the item. We do not record a loan loss allowance or charge-off expense on the principal portion of forfeited pawn loans, as such loans are fully collateralized. Inventory is recorded using the specific identification method of accounting.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order to state inventory at the lower of cost or net realizable value, we record an allowance for excess, obsolete or slow-moving inventory based on the type and age of the underlying merchandise. Our inventory consists primarily of general merchandise and jewelry. “Merchandise cost of goods sold” as recorded in our Consolidated Statements of Operations includes the historical cost of inventory sold, inventory shrinkage and any change in the allowance for inventory shrinkage and valuation. We include the costs of operating our central jewelry processing unit as “Jewelry scrapping cost of goods sold” in our Consolidated Statements of Operations as such costs relate directly to sales of precious metals and stones to refiners.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our estimates of obsolete or slow-moving inventory and shrinkage critical to the determination of the appropriate overall valuation allowance for inventory. We continually monitor our sales margins for each type of inventory and compare the current margins to historical margins. Significant variances in those margins may require a revision to future inventory reserve estimates. We determine our reserve pertaining to jewelry inventory based on the current and projected prices of gold. Future declines in the value of gold may result in an increase in reserves pertaining to jewelry inventory. </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Situations that may result in excess or obsolete inventory include changes in business and economic </w:t>
      </w:r>
      <w:r>
        <w:rPr>
          <w:rFonts w:ascii="Arial Narrow;sans-serif" w:hAnsi="Arial Narrow;sans-serif"/>
          <w:b w:val="false"/>
          <w:color w:val="000000"/>
          <w:sz w:val="20"/>
        </w:rPr>
        <w:t>conditions, changes in consumer confidence caused by changes in market conditions, decreases in demand for our products or inventory obsolescence resulting from changes in technology.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 respect to our Mexico pawn operations, we do not own the forfeited collateral. However, we assume the risk of loss on such collateral and are solely responsible for its care and disposition and, therefore, record such collateral as inventory in our Consolidated Balance Sheets. As of September 30, 2024 and 2023, inventory related to our Mexico pawn operations was $42.2 million and $31.4 million, respectively.</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and Cash Equivalents and Cash Concentrations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consist primarily of cash on deposit or highly liquid investments with original contractual maturities of three months or less, or money market mutual funds. We hold cash at major financial institutions in amounts that often exceed FDIC insured limits. We manage our credit risk associated with cash and cash equivalents and cash concentrations by maintaining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Restricted Cash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2024 and 2023, restricted cash consists of $0.5 million and $0.3 million, respectively, related to the acquisition of PLO del Bajio S. de. R.L. de C.V. and $8.8 million and $8.1 million, respectively, held in escrow pending the resolution of a pre-closing tax indemnity claim related to the sale of Grupo Finmart.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4"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account for our investment in Cash Converters under the equity method. Because the fiscal year of Cash Converters ends three months before our fiscal year, we record our interest from the results of Cash Converters on a three-month lag. Thus, the results of our operations reported for the fiscal years ended September 30, 2024, 2023 and 2022 include our percentage interest in the results of Cash Converters for the twelve-month periods ended June 30, 2024, 2023 and 2022,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our fiscal year, we record our percentage interest in the results of Cash Converters for the three months ended December 31 based on an estimate of the results of Cash Converters for the three months ended September 30 of that year. Similarly, during the third quarter of our fiscal year, we record our percentage interest in the results of Cash Converters for the three months ended June 30 using the estimated results of Cash Converters for the three months ended March 31 of that year. Cash Converters files semi-annual financial reports with the Australian Securities &amp; Investments Commission and the Australian Stock Exchange as of and for the periods ended June 30 and December 31. We use these publicly available financial reports to adjust the estimated amounts we recorded. The actual results of Cash Converters may vary from our estimates. Refer to Note 3: Strategic Investments for further details on our investment in Cash Converters.</w:t>
      </w:r>
    </w:p>
    <w:p>
      <w:pPr>
        <w:pStyle w:val="TextBody"/>
        <w:bidi w:val="0"/>
        <w:spacing w:lineRule="auto" w:line="288" w:before="180" w:after="283"/>
        <w:jc w:val="left"/>
        <w:rPr/>
      </w:pPr>
      <w:r>
        <w:rPr>
          <w:rFonts w:ascii="Arial Narrow;sans-serif" w:hAnsi="Arial Narrow;sans-serif"/>
          <w:b w:val="false"/>
          <w:color w:val="000000"/>
          <w:sz w:val="20"/>
        </w:rPr>
        <w:t xml:space="preserve">We account for our investment in Rich Data Corporation (“RDC”) in accordance with ASC 321, </w:t>
      </w:r>
      <w:r>
        <w:rPr>
          <w:rFonts w:ascii="Arial Narrow;sans-serif" w:hAnsi="Arial Narrow;sans-serif"/>
          <w:b w:val="false"/>
          <w:i/>
          <w:color w:val="000000"/>
          <w:sz w:val="20"/>
        </w:rPr>
        <w:t>Investments — Equity Securities,</w:t>
      </w:r>
      <w:r>
        <w:rPr>
          <w:color w:val="000000"/>
        </w:rPr>
        <w:t xml:space="preserve"> </w:t>
      </w:r>
      <w:r>
        <w:rPr>
          <w:rFonts w:ascii="Arial Narrow;sans-serif" w:hAnsi="Arial Narrow;sans-serif"/>
          <w:b w:val="false"/>
          <w:color w:val="000000"/>
          <w:sz w:val="20"/>
        </w:rPr>
        <w:t>and we have elected to use the measurement alternative to measure this investment at cost, less any impairment, plus or minus changes resulting from observable price changes in orderly transactions for identical or similar investments of the same issuer, if any. As of September 30, 2024 and 2023, the carrying value of our investment in RDC was $6.2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3: Strategic Investments for details on our investment in Founders.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determine if an arrangement contains a lease at inception. We have elected not to recognize on the balance sheet leases with terms of one year or less as a practical expedient. Operating lease assets are included in Right-of-use assets, net and financing lease assets are included in Other assets, net on the Consolidated Balance Sheets. We enter into operating lease agreements for real estate related to pawn locations and corporate offices. We have entered into financing lease agreements mainly for motor vehicles.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and financing lease liabilities are recognized at the lease commencement date based on the present value of fixed lease payments using the Company’s incremental borrowing rate. As our leases generally do not include an implicit rate, we compute our incremental borrowing rate based on information available at the lease commencement date applying the portfolio approach to groups of leases with similar characteristics. Our lease terms include options to extend the lease when it is reasonably certain we will exercise its option. We used incremental borrowing rates that match the duration of the remaining lease terms of our operating leases on a fully collateralized basis to initially measure our lease liability. We evaluate renewal options periodically for any changes in assumptions.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account for lease and non-lease components separately. Lease components generally include rent, taxes and insurance and non-lease components generally include common area maintenance. Right-of-use assets are tested for impairment in the same manner as long-lived assets. We recognize lease expense on a straight-line basis over the lease term with variable lease expense recognized in the period in which the costs are incurred. Our operating lease portfolio consists of pawn locations and corporate offices with lease terms ranging from three to ten years, including options to renew. Our financing lease terms range from two to five years. We generally account for the initial lease term of our pawn locations as up to ten years. Our primary corporate office is leased through March 2029 with annual escalating rent payments.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Goodwill and Indefinite-Lived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Goodwill represents the excess of the purchase price over the net amount of identifiable assets acquired and liabilities assumed in a business combination measured at fair value. We evaluate goodwill for impairment annually on September 30 and upon the occurrence of certain triggering events or substantive changes in circumstances that indicate that the fair value of goodwill may be impaired. We consider the assessment of the occurrence of triggering events or substantive changes in circumstances that may indicate the fair value of goodwill may be impaired to be a critical estimate.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Impairment of goodwill is tested at the reporting unit level. A reporting unit is an operating segment or one level below an operating segment, referred to as a “component.” A component of an operating segment is required to be identified as a reporting unit if the component is a business for which discrete financial information is available and segment management regularly reviews its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5"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testing goodwill for impairment, we have the option to first assess qualitative factors to determine whether the existence of events or circumstances leads to a determination that it is more-likely-than-not the estimated fair value of a reporting unit is less than its carrying amount. If we elect to perform a qualitative assessment and determine that an impairment is more-likely-than-not, we are then required to perform a quantitative impairment test; otherwise, no further analysis is required. We also may elect not to perform a qualitative assessment and, instead, proceed directly to a quantitative impairment test. When performing a quantitative impairment test, we apply a one-step quantitative test and record the amount of goodwill impairment as the excess of a reporting unit’s carrying amount over its fair value, not to exceed the total amount of goodwill allocated to that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we perform a quantitative goodwill impairment test, we estimate the fair value of the reporting unit using an income approach based on the present value of expected future cash flows, including terminal value, utilizing a market-based weighted average cost of capital (“WACC”) determined separately for each reporting unit. The determination of fair value involves the use of estimates and assumptions, including revenue growth rates, operating margins and terminal growth rates discounted by an estimated WACC derived from other publicly traded companies that are similar but not identical to us from an operational and economic standpoint. We use discount rates that are commensurate with the risks and uncertainties inherent in the respective businesses and in our internally developed forecasts.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test indefinite-lived intangible assets for impairment by first assessing qualitative factors to determine whether it is necessary to perform a quantitative impairment test. If we believe as a result of its qualitative assessment that it is more-likely-than-not the fair value of the indefinite-lived intangible asset is less than its carrying amount, a quantitative impairment test is required. Otherwise, no further testing is required.</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property and equipment at cost. We depreciate these assets on a straight-line basis using estimated useful lives of 30 years for buildings and two-to-seven years for furniture, equipment and software development costs. We depreciate leasehold improvements over the shorter of their estimated useful life (typically 10 years) or the reasonably assured lease term at the inception of the lease.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Valuation of Long-Lived Assets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values of long-lived assets, inclusive of right-of-use (ROU) assets, are periodically reviewed whenever events or changes in circumstances indicate the carrying value may not be recoverable, such as historical operating losses or plans to close stores before the end of their previously estimated useful lives. A potential impairment has occurred if projected future undiscounted cash flows are less than the carrying value of the assets. The estimate of cash flows includes management's assumptions of cash inflows and outflows directly resulting from the use of those assets in operations. We consider the assumptions associated with the determination of projected future cash flows to be a critical estimate. When a potential impairment has occurred, an impairment write-down is recorded if the carrying value of the long-lived asset exceeds its fair value.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Software Development Costs and Cloud Computing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capitalize certain costs incurred in connection with developing or obtaining software for internal use and amortize the costs on a straight-line basis over the estimated useful lives of the software, typically five years. Net capitalized development costs are included in “Capital expenditures, net” in our Consolidated Statements of 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evaluating whether our cloud computing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we account for the software license element of the arrangement consistent with the acquisition of other software licenses. If a cloud computing arrangement does not include a software license, we account for the arrangement as a service contract. For cloud computing arrangements that meet the definition of a service contract, the Company capitalizes implementation costs incurred during the application development stage and until the software is ready for its intended use within Other assets, net in our Consolidated Balance Sheets and then amortizes the costs on a straight-line basis over the term of the contract. The hosting service fees are not considered an implementation cost and are treated as a prepaid expense and then the Company amortizes the costs on a straight-line basis over the term of the contract. Costs related to data conversion, training and other maintenance activities are expensed as incurred.</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Business Combinations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allocate the total acquisition price to the fair value of assets and liabilities acquired under the acquisition method with goodwill representing the excess of purchase price over the fair value of net assets acquired. We expense transaction costs as incurred. We recognize any adjustments to provisional amounts and goodwill that are identified during the measurement period in the reporting period in 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6"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Convertible Debt Securities</w:t>
      </w:r>
    </w:p>
    <w:p>
      <w:pPr>
        <w:pStyle w:val="TextBody"/>
        <w:bidi w:val="0"/>
        <w:spacing w:lineRule="auto" w:line="288" w:before="180" w:after="283"/>
        <w:jc w:val="left"/>
        <w:rPr/>
      </w:pPr>
      <w:r>
        <w:rPr>
          <w:rFonts w:ascii="Arial Narrow;sans-serif" w:hAnsi="Arial Narrow;sans-serif"/>
          <w:b w:val="false"/>
          <w:color w:val="000000"/>
          <w:sz w:val="20"/>
        </w:rPr>
        <w:t xml:space="preserve">On October 1, 2021, we early adopted Accounting Standards Update (“ASU”) 2020-06, </w:t>
      </w:r>
      <w:r>
        <w:rPr>
          <w:rFonts w:ascii="Arial Narrow;sans-serif" w:hAnsi="Arial Narrow;sans-serif"/>
          <w:b w:val="false"/>
          <w:i/>
          <w:color w:val="000000"/>
          <w:sz w:val="20"/>
        </w:rPr>
        <w:t>Debt – Debt with Conversion and Other Options (Subtopic 470-20) and Derivatives and Hedging – Contracts in Entity’s Own Equity (Subtopic 815 – 40)</w:t>
      </w:r>
      <w:r>
        <w:rPr>
          <w:rFonts w:ascii="Arial Narrow;sans-serif" w:hAnsi="Arial Narrow;sans-serif"/>
          <w:b w:val="false"/>
          <w:color w:val="000000"/>
          <w:sz w:val="20"/>
        </w:rPr>
        <w:t>, (“ASU 2020-06”) on a modified retrospective basis. Under ASU 2020-06, we no longer separate the convertible senior notes into liability and equity components.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Foreign Currency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foreign subsidiaries use the local currency of their respective countries as their functional currency. Assets and liabilities of our foreign subsidiaries' balance sheet accounts and our equity method investments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 The cumulative translation adjustments associated with the net assets of foreign subsidiaries are the only amounts recorded in Accumulated Other Comprehensive Loss in the accompanying Consolidated Statements of Stockholders’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gains and losses not accounted for as translations are included in “Other (income) expense” in our Consolidated Statements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Store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Included in “Store expenses”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General and Administrative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Included in “General and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Advertising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Advertising costs are expensed as incurred and included primarily within “Store expenses” in our Consolidated Statements of Operations. These costs were $6.2 million, $4.9 million and $2.3 million for fiscal 2024, 2023 and 2022, respectively. During fiscal 2024, 2023 and 2022, we incurred $3.6 million, $2.9 million and $0.3 million, respectively, related to digital advertising. The remaining for each year relates to general advertising costs.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measure share-based compensation expense at the grant date based on the price of underlying shares at that date and recognize it as expense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 We recognize forfeitures as they occur when calculating share-based compensation expense.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7"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 We treat taxes due on future U.S. inclusions in taxable income related to Global Intangible Low-Taxed Income (“GILTI”) as a current-period expense when incurred.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 Our policy is to release income tax effects from accumulated other comprehensive income on a segregated unit of account basis.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consider our assessment of the recognition of deferred tax assets as well as estimates of uncertain tax positions to be critical estimates.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Share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When treasury shares are retired, the Company allocates the excess of the repurchase price over the par value of shares acquired between additional paid-in capital and retained earnings. The portion allocated to additional paid-in capital is limited to the pro rata portion of additional paid-in capital for the retired treasury shares. Any further excess of the repurchase price is allocated to retained earnings.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Earnings per Share and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compute basic earnings per share based on the weighted average number of shares of common stock outstanding during the period. Upon our adoption of ASU 2020-06 on October 1, 2021, interest charges on the convertible debt are required to be added to net income and we calculate diluted earnings per share during the period using the if-converted method. Diluted net income (loss) and diluted weighted-average shares outstanding are adjusted to account for the impact of the assumed issuance of potential common shares that are dilutive, subject to dilution sequencing rules. Dilutive potential common shares include outstanding restricted stock awards as well as shares issuable on conversion of our outstanding convertible debt securities.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2024, 2023 and 2022 requiring the application of the two-class method. When we are in a loss position for the period, dilutive securities are excluded from the calculation of earnings per share, as they would have an anti-dilutive effect.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Recently Issued Accounting Pronouncements</w:t>
      </w:r>
    </w:p>
    <w:p>
      <w:pPr>
        <w:pStyle w:val="TextBody"/>
        <w:bidi w:val="0"/>
        <w:spacing w:lineRule="auto" w:line="288" w:before="180" w:after="180"/>
        <w:jc w:val="left"/>
        <w:rPr/>
      </w:pPr>
      <w:r>
        <w:rPr>
          <w:rFonts w:ascii="Arial Narrow;sans-serif" w:hAnsi="Arial Narrow;sans-serif"/>
          <w:b w:val="false"/>
          <w:color w:val="000000"/>
          <w:sz w:val="20"/>
        </w:rPr>
        <w:t xml:space="preserve">In October 2023, the Financial Accounting Standards Board (“FASB”) issued ASU 2023-06, </w:t>
      </w:r>
      <w:r>
        <w:rPr>
          <w:rFonts w:ascii="Arial Narrow;sans-serif" w:hAnsi="Arial Narrow;sans-serif"/>
          <w:b w:val="false"/>
          <w:i/>
          <w:color w:val="000000"/>
          <w:sz w:val="20"/>
        </w:rPr>
        <w:t xml:space="preserve">Disclosure Improvements - Codification Amendments in Response to the SEC’s Disclosure Update and Simplification Initiative </w:t>
      </w:r>
      <w:r>
        <w:rPr>
          <w:rFonts w:ascii="Arial Narrow;sans-serif" w:hAnsi="Arial Narrow;sans-serif"/>
          <w:b w:val="false"/>
          <w:color w:val="000000"/>
          <w:sz w:val="20"/>
        </w:rPr>
        <w:t>(“ASU 2023-06”).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8"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color w:val="000000"/>
          <w:sz w:val="20"/>
        </w:rPr>
        <w:t xml:space="preserve">In November 2023, the FASB issued ASU 2023-07, Segment Reporting (Topic 280): </w:t>
      </w:r>
      <w:r>
        <w:rPr>
          <w:rFonts w:ascii="Arial Narrow;sans-serif" w:hAnsi="Arial Narrow;sans-serif"/>
          <w:b w:val="false"/>
          <w:i/>
          <w:color w:val="000000"/>
          <w:sz w:val="20"/>
        </w:rPr>
        <w:t>Improvements to Reportable Segment Disclosures</w:t>
      </w:r>
      <w:r>
        <w:rPr>
          <w:color w:val="000000"/>
        </w:rPr>
        <w:t xml:space="preserve"> </w:t>
      </w:r>
      <w:r>
        <w:rPr>
          <w:rFonts w:ascii="Arial Narrow;sans-serif" w:hAnsi="Arial Narrow;sans-serif"/>
          <w:b w:val="false"/>
          <w:color w:val="000000"/>
          <w:sz w:val="20"/>
        </w:rPr>
        <w:t>(“ASU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ASU 2023-07 are effective for the Company for fiscal years beginning after December 15, 2023 and interim periods within fiscal years beginning after December 15, 2024. Early adoption is permitted, and retrospective application is required for all periods presented.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 xml:space="preserve">Income Taxes (Topic 740): Improvements to Income Tax Disclosures </w:t>
      </w:r>
      <w:r>
        <w:rPr>
          <w:rFonts w:ascii="Arial Narrow;sans-serif" w:hAnsi="Arial Narrow;sans-serif"/>
          <w:b w:val="false"/>
          <w:color w:val="000000"/>
          <w:sz w:val="20"/>
        </w:rPr>
        <w:t>(“ASU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In March 2024, the FASB issued ASU 2024-02,</w:t>
      </w:r>
      <w:r>
        <w:rPr>
          <w:color w:val="000000"/>
        </w:rPr>
        <w:t xml:space="preserve"> </w:t>
      </w:r>
      <w:r>
        <w:rPr>
          <w:rFonts w:ascii="Arial Narrow;sans-serif" w:hAnsi="Arial Narrow;sans-serif"/>
          <w:b w:val="false"/>
          <w:i/>
          <w:color w:val="000000"/>
          <w:sz w:val="20"/>
        </w:rPr>
        <w:t xml:space="preserve">Codification Improvements—Amendments to Remove References to the Concepts Statements </w:t>
      </w:r>
      <w:r>
        <w:rPr>
          <w:rFonts w:ascii="Arial Narrow;sans-serif" w:hAnsi="Arial Narrow;sans-serif"/>
          <w:b w:val="false"/>
          <w:color w:val="000000"/>
          <w:sz w:val="20"/>
        </w:rPr>
        <w:t>(“ASU 2024-02”). ASU 2024-02 contains amendments to the Codification that remove references to various FASB Concepts Statements. The requirements of this ASU 2024-02 are effective for the Company for fiscal years beginning after December 15, 2024 and can be applied on a prospective or retrospective basis. This standard is not expected to have a significant impact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 xml:space="preserve">Income Statement—Reporting Comprehensive Income—Expense Disaggregation Disclosures (Subtopic 220-40): Disaggregation of Income Statement Expenses </w:t>
      </w:r>
      <w:r>
        <w:rPr>
          <w:rFonts w:ascii="Arial Narrow;sans-serif" w:hAnsi="Arial Narrow;sans-serif"/>
          <w:b w:val="false"/>
          <w:color w:val="000000"/>
          <w:sz w:val="20"/>
        </w:rPr>
        <w:t>(“ASU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 periods presented in the financial statements. We are currently evaluating the impact of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NOTE 2: EARNINGS PER SHARE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the number of common shares used to compute basic and diluted earnings per common share:</w:t>
      </w:r>
    </w:p>
    <w:tbl>
      <w:tblPr>
        <w:tblW w:w="9488" w:type="dxa"/>
        <w:jc w:val="left"/>
        <w:tblInd w:w="0" w:type="dxa"/>
        <w:tblLayout w:type="fixed"/>
        <w:tblCellMar>
          <w:top w:w="28" w:type="dxa"/>
          <w:left w:w="28" w:type="dxa"/>
          <w:bottom w:w="28" w:type="dxa"/>
          <w:right w:w="28" w:type="dxa"/>
        </w:tblCellMar>
      </w:tblPr>
      <w:tblGrid>
        <w:gridCol w:w="2133"/>
        <w:gridCol w:w="1869"/>
        <w:gridCol w:w="1877"/>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213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Fiscal Year Ended September 30, </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common share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Diluted</w:t>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93,042 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42,790 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57,649 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84,448 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09"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6D6D6D"/>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82,400 </w:t>
            </w:r>
          </w:p>
        </w:tc>
        <w:tc>
          <w:tcPr>
            <w:tcW w:w="154" w:type="dxa"/>
            <w:tcBorders>
              <w:top w:val="single" w:sz="8" w:space="0" w:color="6D6D6D"/>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share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6,397</w:t>
            </w:r>
          </w:p>
        </w:tc>
        <w:tc>
          <w:tcPr>
            <w:tcW w:w="327" w:type="dxa"/>
            <w:gridSpan w:val="3"/>
            <w:tcBorders>
              <w:top w:val="single" w:sz="8" w:space="0" w:color="6D6D6D"/>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6D6D6D"/>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w:t>
            </w:r>
          </w:p>
        </w:tc>
      </w:tr>
    </w:tbl>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Effective January 1, 2024, we were required to combination settle the 2024 Convertible Notes. Only the first quarter of 2024 interest expense is included for the year ended September 30, 2024. The year ended September 30, 2023 includes $5.4 million gain on the partial extinguishment of debt, associated with the 2025 Convertible Notes, which was recorded to “Interest expense” in our condensed consolidated statement of operations. See Note 7: Debt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9"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    Includes time-based share-based awards and performance-based awards for which targets for fiscal year tranches have been achieved and vesting is subject only to achievement of service conditions. </w:t>
      </w:r>
    </w:p>
    <w:p>
      <w:pPr>
        <w:pStyle w:val="TextBody"/>
        <w:bidi w:val="0"/>
        <w:spacing w:lineRule="auto" w:line="256"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xml:space="preserve">***    As we were required to combination settle the 2024 Convertible Notes effective January 1, 2024, only weighted average shares of 883,283 were included until settlement on July 1, 2024. On July 1, 2024, the $34.4 million aggregate principal amount outstanding plus accrued interest was repaid using cash on hand and 77,328 shares of Class A Common Stock, equal to the accreted value, were issued as part of the 2024 Convertible Notes conversion. The 2024 Convertible Notes were considered anti-dilutive in the sequencing calculation for the fiscal year ended September 30, 2023. See Note 7: Debt for conversion price, initial conversion rate and additional information on the 2024 Convertible Notes, 2025 Convertible Notes and 2029 Convertible Notes. </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and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3: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we owned 273,939,157 shares, or approximately 43.7%, of Cash Converters. We acquired our original investment in November 2009 and have increased our ownership through the acquisition of additional shares periodically since that time.</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We received cash dividends from Cash Converters of </w:t>
      </w:r>
      <w:r>
        <w:rPr>
          <w:rFonts w:ascii="Arial Narrow;sans-serif" w:hAnsi="Arial Narrow;sans-serif"/>
          <w:b w:val="false"/>
          <w:color w:val="000000"/>
          <w:sz w:val="20"/>
        </w:rPr>
        <w:t>$3.5 million</w:t>
      </w:r>
      <w:r>
        <w:rPr>
          <w:rFonts w:ascii="Arial Narrow;sans-serif" w:hAnsi="Arial Narrow;sans-serif"/>
          <w:b w:val="false"/>
          <w:color w:val="000000"/>
          <w:sz w:val="20"/>
          <w:shd w:fill="FFFFFF" w:val="clear"/>
        </w:rPr>
        <w:t xml:space="preserve">, </w:t>
      </w:r>
      <w:r>
        <w:rPr>
          <w:rFonts w:ascii="Arial Narrow;sans-serif" w:hAnsi="Arial Narrow;sans-serif"/>
          <w:b w:val="false"/>
          <w:color w:val="000000"/>
          <w:sz w:val="20"/>
        </w:rPr>
        <w:t>$3.6 million</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$3.4 million</w:t>
      </w:r>
      <w:r>
        <w:rPr>
          <w:color w:val="000000"/>
          <w:shd w:fill="FFFFFF" w:val="clear"/>
        </w:rPr>
        <w:t xml:space="preserve"> </w:t>
      </w:r>
      <w:r>
        <w:rPr>
          <w:rFonts w:ascii="Arial Narrow;sans-serif" w:hAnsi="Arial Narrow;sans-serif"/>
          <w:b w:val="false"/>
          <w:color w:val="000000"/>
          <w:sz w:val="20"/>
          <w:shd w:fill="FFFFFF" w:val="clear"/>
        </w:rPr>
        <w:t>during th</w:t>
      </w:r>
      <w:r>
        <w:rPr>
          <w:rFonts w:ascii="Arial Narrow;sans-serif" w:hAnsi="Arial Narrow;sans-serif"/>
          <w:b w:val="false"/>
          <w:color w:val="000000"/>
          <w:sz w:val="20"/>
        </w:rPr>
        <w:t xml:space="preserve">e years </w:t>
      </w:r>
      <w:r>
        <w:rPr>
          <w:rFonts w:ascii="Arial Narrow;sans-serif" w:hAnsi="Arial Narrow;sans-serif"/>
          <w:b w:val="false"/>
          <w:color w:val="000000"/>
          <w:sz w:val="20"/>
          <w:shd w:fill="FFFFFF" w:val="clear"/>
        </w:rPr>
        <w:t xml:space="preserve">ended September 30, </w:t>
      </w:r>
      <w:r>
        <w:rPr>
          <w:rFonts w:ascii="Arial Narrow;sans-serif" w:hAnsi="Arial Narrow;sans-serif"/>
          <w:b w:val="false"/>
          <w:color w:val="000000"/>
          <w:sz w:val="20"/>
        </w:rPr>
        <w:t>2024</w:t>
      </w:r>
      <w:r>
        <w:rPr>
          <w:rFonts w:ascii="Arial Narrow;sans-serif" w:hAnsi="Arial Narrow;sans-serif"/>
          <w:b w:val="false"/>
          <w:color w:val="000000"/>
          <w:sz w:val="20"/>
          <w:shd w:fill="FFFFFF" w:val="clear"/>
        </w:rPr>
        <w:t xml:space="preserve">, </w:t>
      </w:r>
      <w:r>
        <w:rPr>
          <w:rFonts w:ascii="Arial Narrow;sans-serif" w:hAnsi="Arial Narrow;sans-serif"/>
          <w:b w:val="false"/>
          <w:color w:val="000000"/>
          <w:sz w:val="20"/>
        </w:rPr>
        <w:t>2023</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2022</w:t>
      </w:r>
      <w:r>
        <w:rPr>
          <w:rFonts w:ascii="Arial Narrow;sans-serif" w:hAnsi="Arial Narrow;sans-serif"/>
          <w:b w:val="false"/>
          <w:color w:val="000000"/>
          <w:sz w:val="20"/>
          <w:shd w:fill="FFFFFF" w:val="clear"/>
        </w:rPr>
        <w:t xml:space="preserve">, respectively. </w:t>
      </w:r>
      <w:r>
        <w:rPr>
          <w:rFonts w:ascii="Arial Narrow;sans-serif" w:hAnsi="Arial Narrow;sans-serif"/>
          <w:b w:val="false"/>
          <w:color w:val="000000"/>
          <w:sz w:val="20"/>
        </w:rPr>
        <w:t>In October 2024, we received a cash dividend of $1.8 million from Cash Converters.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 most recently reported results as applicable after translation to U.S. dollars:</w:t>
      </w:r>
    </w:p>
    <w:tbl>
      <w:tblPr>
        <w:tblW w:w="4809" w:type="dxa"/>
        <w:jc w:val="left"/>
        <w:tblInd w:w="0" w:type="dxa"/>
        <w:tblLayout w:type="fixed"/>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318,692 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293,158 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318,692 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293,158 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647" w:type="dxa"/>
        <w:jc w:val="left"/>
        <w:tblInd w:w="0" w:type="dxa"/>
        <w:tblLayout w:type="fixed"/>
        <w:tblCellMar>
          <w:top w:w="28" w:type="dxa"/>
          <w:left w:w="28" w:type="dxa"/>
          <w:bottom w:w="28" w:type="dxa"/>
          <w:right w:w="28" w:type="dxa"/>
        </w:tblCellMar>
      </w:tblPr>
      <w:tblGrid>
        <w:gridCol w:w="412"/>
        <w:gridCol w:w="363"/>
        <w:gridCol w:w="365"/>
        <w:gridCol w:w="181"/>
        <w:gridCol w:w="646"/>
        <w:gridCol w:w="109"/>
        <w:gridCol w:w="109"/>
        <w:gridCol w:w="109"/>
        <w:gridCol w:w="109"/>
        <w:gridCol w:w="181"/>
        <w:gridCol w:w="646"/>
        <w:gridCol w:w="109"/>
        <w:gridCol w:w="109"/>
        <w:gridCol w:w="109"/>
        <w:gridCol w:w="109"/>
        <w:gridCol w:w="181"/>
        <w:gridCol w:w="64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June 30,</w:t>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Net profit (loss)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equity in Cash Converters’ net income was $5.0 million and $2.9 million in fiscal 2024 and 2022, respectively. Our equity in Cash Converters’ net loss was $28.5 million in fiscal 2023, which includes $32.4 million of our share of their non-cash goodwill impairment charge. Cash Converters’ accumulated undistributed after-tax loss included in our consolidated retained earnings were $14.7 million as of September 30,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September 30, 2024, 2023 and 2022, the fair value of our investment in Cash Converters, as estimated by reference to its quoted market price per share, was greater than its carrying value. See Note 4: Fair Value Measurements for the fair value and carrying value of our investment in Cash Converters.</w:t>
      </w:r>
    </w:p>
    <w:p>
      <w:pPr>
        <w:pStyle w:val="TextBody"/>
        <w:bidi w:val="0"/>
        <w:spacing w:lineRule="auto" w:line="288" w:before="180" w:after="283"/>
        <w:jc w:val="left"/>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In fiscal 2022, we invested $15.0 million in exchange for a non-redeemable voting participating preferred equity interest in Founders One, LLC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0"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We have an interest in Founders, a variable interest entity, but because we are not the primary beneficiary, we do not consolidate Founders. Further, as we are not the appointed manager, we do not have the ability to direct the activities of the investment entity that most significantly impact its economic performance. Consequently, our equity investment in Founders is accounted for utilizing the measurement alternative within ASC 321, Investments — Equity Securities. As of September 30, 2024, our $45.0 million carrying value of the investment and $15.0 million Demand Promissory Note are included in “Other investments” and “Prepaid expenses and other current assets” in our consolidated balance sheets, respectively. As of September 30, 2024, our maximum exposure for losses related to our investment in Founders was our $45.0 million equity investment and $15.0 million Demand Promissory Note plus accrued and unpaid interest. See Note 4: Fair Value Measurements for the fair value and carrying value of our loan to Founders.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4: FAIR VALUE MEASUREMENTS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Level 3 — Unobservable inputs that are not corroborated by market data.</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Financial Assets and Liabilities Not Measured at Fair Value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tables below present our financial assets and liabilities that were not measured at fair value:</w:t>
      </w:r>
    </w:p>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27"/>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92" w:type="dxa"/>
        <w:jc w:val="left"/>
        <w:tblInd w:w="0" w:type="dxa"/>
        <w:tblLayout w:type="fixed"/>
        <w:tblCellMar>
          <w:top w:w="28" w:type="dxa"/>
          <w:left w:w="28" w:type="dxa"/>
          <w:bottom w:w="28" w:type="dxa"/>
          <w:right w:w="28" w:type="dxa"/>
        </w:tblCellMar>
      </w:tblPr>
      <w:tblGrid>
        <w:gridCol w:w="1008"/>
        <w:gridCol w:w="889"/>
        <w:gridCol w:w="893"/>
        <w:gridCol w:w="109"/>
        <w:gridCol w:w="109"/>
        <w:gridCol w:w="109"/>
        <w:gridCol w:w="302"/>
        <w:gridCol w:w="956"/>
        <w:gridCol w:w="182"/>
        <w:gridCol w:w="109"/>
        <w:gridCol w:w="109"/>
        <w:gridCol w:w="109"/>
        <w:gridCol w:w="302"/>
        <w:gridCol w:w="955"/>
        <w:gridCol w:w="182"/>
        <w:gridCol w:w="109"/>
        <w:gridCol w:w="109"/>
        <w:gridCol w:w="109"/>
        <w:gridCol w:w="181"/>
        <w:gridCol w:w="406"/>
        <w:gridCol w:w="109"/>
        <w:gridCol w:w="109"/>
        <w:gridCol w:w="109"/>
        <w:gridCol w:w="109"/>
        <w:gridCol w:w="181"/>
        <w:gridCol w:w="571"/>
        <w:gridCol w:w="109"/>
        <w:gridCol w:w="109"/>
        <w:gridCol w:w="109"/>
        <w:gridCol w:w="109"/>
        <w:gridCol w:w="181"/>
        <w:gridCol w:w="496"/>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0"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due 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223,284 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fiscal 2023, we loaned $15.0 million to Founders in exchange for a Demand Promissory Note secured by the common interest in Founders held by the other member. As of September 30, 2024, the interest rate on the note was 15.00% per annum, and all principal and accrued interest is due on demand. Based primarily on the short-term nature of the note, we estimate that its carrying value approximates fair value as of September 30,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fiscal 2019, we received $1.1 million in previously escrowed seller funds as a result of settling certain indemnification claims with the seller of GPMX. In April 2019, we loaned the $1.1 million back to the seller of GPMX in exchange for a promissory note. The interest rate on the note was 2.89% per annum and was secured by certain marketable securities owned by the seller and held in a U.S. brokerage account. All principal and accrued interest on the promissory note was received in April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10: Leases” for discussion on the non-recurring fair value adjustment related to our corporate office lease during fiscal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Major classifications of property and equipment were as follows:</w:t>
      </w:r>
    </w:p>
    <w:tbl>
      <w:tblPr>
        <w:tblW w:w="9176" w:type="dxa"/>
        <w:jc w:val="left"/>
        <w:tblInd w:w="0" w:type="dxa"/>
        <w:tblLayout w:type="fixed"/>
        <w:tblCellMar>
          <w:top w:w="28" w:type="dxa"/>
          <w:left w:w="28" w:type="dxa"/>
          <w:bottom w:w="28" w:type="dxa"/>
          <w:right w:w="28" w:type="dxa"/>
        </w:tblCellMar>
      </w:tblPr>
      <w:tblGrid>
        <w:gridCol w:w="682"/>
        <w:gridCol w:w="601"/>
        <w:gridCol w:w="607"/>
        <w:gridCol w:w="181"/>
        <w:gridCol w:w="646"/>
        <w:gridCol w:w="109"/>
        <w:gridCol w:w="109"/>
        <w:gridCol w:w="109"/>
        <w:gridCol w:w="109"/>
        <w:gridCol w:w="194"/>
        <w:gridCol w:w="694"/>
        <w:gridCol w:w="118"/>
        <w:gridCol w:w="109"/>
        <w:gridCol w:w="109"/>
        <w:gridCol w:w="109"/>
        <w:gridCol w:w="181"/>
        <w:gridCol w:w="571"/>
        <w:gridCol w:w="109"/>
        <w:gridCol w:w="109"/>
        <w:gridCol w:w="109"/>
        <w:gridCol w:w="109"/>
        <w:gridCol w:w="181"/>
        <w:gridCol w:w="646"/>
        <w:gridCol w:w="109"/>
        <w:gridCol w:w="109"/>
        <w:gridCol w:w="109"/>
        <w:gridCol w:w="109"/>
        <w:gridCol w:w="194"/>
        <w:gridCol w:w="694"/>
        <w:gridCol w:w="118"/>
        <w:gridCol w:w="109"/>
        <w:gridCol w:w="109"/>
        <w:gridCol w:w="109"/>
        <w:gridCol w:w="181"/>
        <w:gridCol w:w="571"/>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Depreciation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Accumulated</w:t>
              <w:br/>
              <w:t>Depreciation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Book</w:t>
              <w:br/>
              <w:t>Value</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(109,710)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Furniture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(74,882)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(133,870)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280,714 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(214,741)</w:t>
            </w:r>
          </w:p>
        </w:tc>
        <w:tc>
          <w:tcPr>
            <w:tcW w:w="11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345,461 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(277,365)</w:t>
            </w:r>
          </w:p>
        </w:tc>
        <w:tc>
          <w:tcPr>
            <w:tcW w:w="11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depreciation of property and equipment is recorded as depreciation expense and included under “Depreciation and amortization” recorded in our Consolidated Statements of Operations. These amounts were $21.5 million, $22.1 million and $20.4 million for fiscal 2024,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GOODWILL AND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evaluate goodwill for impairment annually on September 30 and upon the occurrence of certain triggering events or substantive changes in circumstances that indicate that the fair value of goodwill may be impaired.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we assessed qualitative and quantitative factors and determined that it was not more-likely-than-not that the fair values of our reporting units were less than their carrying values as of the testing date. As a result of our assessment, no goodwill impairment charge was recorded during the fiscal year ended September 30, 2024. There was no impairment charge recorded during the fiscal years ended September 30, 2023 and 2022. Accumulated goodwill impairment losses of $41.3 million were recorded prior to 2022 associated with the U.S. Pawn ($10.0 million) and Latin America Pawn ($31.3 million) segments because of the impact of the COVID-19 pandemic on typical customer behavior, which led to a significant decline in pawn loan balances and the mandated closure of stores in our GPMX countries.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changes in the carrying value of goodwill by segment:</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2022</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286,828 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255,942 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46,430 </w:t>
            </w:r>
          </w:p>
        </w:tc>
        <w:tc>
          <w:tcPr>
            <w:tcW w:w="19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42,050 </w:t>
            </w:r>
          </w:p>
        </w:tc>
        <w:tc>
          <w:tcPr>
            <w:tcW w:w="19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6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6"/>
        </w:rPr>
      </w:pPr>
      <w:r>
        <w:rPr>
          <w:rFonts w:ascii="Arial Narrow;sans-serif" w:hAnsi="Arial Narrow;sans-serif"/>
          <w:b w:val="false"/>
          <w:color w:val="000000"/>
          <w:sz w:val="16"/>
        </w:rPr>
        <w:t>(a) Amount represents goodwill recognized in connection with acquisitions within the U.S. Pawn segment that were immaterial, individually and in the aggregate, and we have therefore omitted certain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1"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2024, we assessed qualitative and quantitative factors and determined that it was not more-likely-than-not that the fair values of our indefinite-lived intangible assets were less than their carrying values.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balance of each major class of intangible assets:</w:t>
      </w:r>
    </w:p>
    <w:tbl>
      <w:tblPr>
        <w:tblW w:w="4598" w:type="dxa"/>
        <w:jc w:val="left"/>
        <w:tblInd w:w="0" w:type="dxa"/>
        <w:tblLayout w:type="fixed"/>
        <w:tblCellMar>
          <w:top w:w="28" w:type="dxa"/>
          <w:left w:w="28" w:type="dxa"/>
          <w:bottom w:w="28" w:type="dxa"/>
          <w:right w:w="28" w:type="dxa"/>
        </w:tblCellMar>
      </w:tblPr>
      <w:tblGrid>
        <w:gridCol w:w="877"/>
        <w:gridCol w:w="773"/>
        <w:gridCol w:w="779"/>
        <w:gridCol w:w="181"/>
        <w:gridCol w:w="646"/>
        <w:gridCol w:w="109"/>
        <w:gridCol w:w="109"/>
        <w:gridCol w:w="109"/>
        <w:gridCol w:w="109"/>
        <w:gridCol w:w="181"/>
        <w:gridCol w:w="571"/>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Non-amortizing intangible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Trade names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Pawn licenses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28,305 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Amortizing intangible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Internally developed software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Other</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58,216 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The amortization of most definite-lived intangible assets is recorded as amortization expense and included under “Depreciation and amortization” expense in our Consolidated Statements of Operations. These amounts were $11.6 million, $10.0 million and $11.7 million for fiscal 2024, 2023 and 2022,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charge of $2.4 million was recorded during fiscal 2022 to ”General and administrative” expenses in our Consolidated Statements of Operations related to an asset write-down associated with an information technology software infrastructure migration.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our estimate of future amortization expense for definite-lived intangible assets is as follows (in thousands):</w:t>
      </w:r>
    </w:p>
    <w:tbl>
      <w:tblPr>
        <w:tblW w:w="1999" w:type="dxa"/>
        <w:jc w:val="left"/>
        <w:tblInd w:w="0" w:type="dxa"/>
        <w:tblLayout w:type="fixed"/>
        <w:tblCellMar>
          <w:top w:w="28" w:type="dxa"/>
          <w:left w:w="28" w:type="dxa"/>
          <w:bottom w:w="28" w:type="dxa"/>
          <w:right w:w="28" w:type="dxa"/>
        </w:tblCellMar>
      </w:tblPr>
      <w:tblGrid>
        <w:gridCol w:w="276"/>
        <w:gridCol w:w="243"/>
        <w:gridCol w:w="247"/>
        <w:gridCol w:w="109"/>
        <w:gridCol w:w="109"/>
        <w:gridCol w:w="109"/>
        <w:gridCol w:w="181"/>
        <w:gridCol w:w="571"/>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30,146 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acquisitions and dispositions occur in the future, amortization expense may vary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DEBT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0205" w:type="dxa"/>
        <w:jc w:val="left"/>
        <w:tblInd w:w="0" w:type="dxa"/>
        <w:tblLayout w:type="fixed"/>
        <w:tblCellMar>
          <w:top w:w="28" w:type="dxa"/>
          <w:left w:w="28" w:type="dxa"/>
          <w:bottom w:w="28" w:type="dxa"/>
          <w:right w:w="28" w:type="dxa"/>
        </w:tblCellMar>
      </w:tblPr>
      <w:tblGrid>
        <w:gridCol w:w="557"/>
        <w:gridCol w:w="488"/>
        <w:gridCol w:w="489"/>
        <w:gridCol w:w="214"/>
        <w:gridCol w:w="767"/>
        <w:gridCol w:w="129"/>
        <w:gridCol w:w="109"/>
        <w:gridCol w:w="109"/>
        <w:gridCol w:w="109"/>
        <w:gridCol w:w="315"/>
        <w:gridCol w:w="942"/>
        <w:gridCol w:w="189"/>
        <w:gridCol w:w="109"/>
        <w:gridCol w:w="109"/>
        <w:gridCol w:w="109"/>
        <w:gridCol w:w="181"/>
        <w:gridCol w:w="646"/>
        <w:gridCol w:w="109"/>
        <w:gridCol w:w="109"/>
        <w:gridCol w:w="109"/>
        <w:gridCol w:w="109"/>
        <w:gridCol w:w="214"/>
        <w:gridCol w:w="767"/>
        <w:gridCol w:w="129"/>
        <w:gridCol w:w="109"/>
        <w:gridCol w:w="109"/>
        <w:gridCol w:w="109"/>
        <w:gridCol w:w="315"/>
        <w:gridCol w:w="942"/>
        <w:gridCol w:w="189"/>
        <w:gridCol w:w="109"/>
        <w:gridCol w:w="109"/>
        <w:gridCol w:w="109"/>
        <w:gridCol w:w="181"/>
        <w:gridCol w:w="646"/>
        <w:gridCol w:w="161"/>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w:t>
              <w:br/>
              <w:t>Amount</w:t>
            </w:r>
          </w:p>
        </w:tc>
      </w:tr>
      <w:tr>
        <w:trPr/>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327,328 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(7,650)</w:t>
            </w:r>
          </w:p>
        </w:tc>
        <w:tc>
          <w:tcPr>
            <w:tcW w:w="18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360,112 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8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(7,526)</w:t>
            </w:r>
          </w:p>
        </w:tc>
        <w:tc>
          <w:tcPr>
            <w:tcW w:w="18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325,847 </w:t>
            </w:r>
          </w:p>
        </w:tc>
        <w:tc>
          <w:tcPr>
            <w:tcW w:w="16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2"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contractual maturities related to the debt instruments as of September 30, 2024</w:t>
      </w:r>
    </w:p>
    <w:tbl>
      <w:tblPr>
        <w:tblW w:w="6686" w:type="dxa"/>
        <w:jc w:val="left"/>
        <w:tblInd w:w="0" w:type="dxa"/>
        <w:tblLayout w:type="fixed"/>
        <w:tblCellMar>
          <w:top w:w="28" w:type="dxa"/>
          <w:left w:w="28" w:type="dxa"/>
          <w:bottom w:w="28" w:type="dxa"/>
          <w:right w:w="28" w:type="dxa"/>
        </w:tblCellMar>
      </w:tblPr>
      <w:tblGrid>
        <w:gridCol w:w="499"/>
        <w:gridCol w:w="440"/>
        <w:gridCol w:w="441"/>
        <w:gridCol w:w="324"/>
        <w:gridCol w:w="1160"/>
        <w:gridCol w:w="195"/>
        <w:gridCol w:w="128"/>
        <w:gridCol w:w="128"/>
        <w:gridCol w:w="128"/>
        <w:gridCol w:w="324"/>
        <w:gridCol w:w="1160"/>
        <w:gridCol w:w="195"/>
        <w:gridCol w:w="128"/>
        <w:gridCol w:w="128"/>
        <w:gridCol w:w="109"/>
        <w:gridCol w:w="109"/>
        <w:gridCol w:w="109"/>
        <w:gridCol w:w="181"/>
        <w:gridCol w:w="64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 of Contractual Maturities</w:t>
            </w:r>
          </w:p>
        </w:tc>
        <w:tc>
          <w:tcPr>
            <w:tcW w:w="1308" w:type="dxa"/>
            <w:gridSpan w:val="6"/>
            <w:tcBorders/>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2029 Convertible Notes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 Convertible Notes</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32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6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9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the Convertible Notes:</w:t>
      </w:r>
    </w:p>
    <w:tbl>
      <w:tblPr>
        <w:tblW w:w="5757" w:type="dxa"/>
        <w:jc w:val="left"/>
        <w:tblInd w:w="0" w:type="dxa"/>
        <w:tblLayout w:type="fixed"/>
        <w:tblCellMar>
          <w:top w:w="28" w:type="dxa"/>
          <w:left w:w="28" w:type="dxa"/>
          <w:bottom w:w="28" w:type="dxa"/>
          <w:right w:w="28" w:type="dxa"/>
        </w:tblCellMar>
      </w:tblPr>
      <w:tblGrid>
        <w:gridCol w:w="949"/>
        <w:gridCol w:w="837"/>
        <w:gridCol w:w="839"/>
        <w:gridCol w:w="181"/>
        <w:gridCol w:w="496"/>
        <w:gridCol w:w="109"/>
        <w:gridCol w:w="109"/>
        <w:gridCol w:w="109"/>
        <w:gridCol w:w="109"/>
        <w:gridCol w:w="181"/>
        <w:gridCol w:w="571"/>
        <w:gridCol w:w="109"/>
        <w:gridCol w:w="109"/>
        <w:gridCol w:w="109"/>
        <w:gridCol w:w="109"/>
        <w:gridCol w:w="181"/>
        <w:gridCol w:w="49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extinguishment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extinguishment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866 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10,804 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4,768 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color w:val="252525"/>
          <w:sz w:val="20"/>
        </w:rPr>
      </w:pPr>
      <w:r>
        <w:rPr>
          <w:rFonts w:ascii="Arial Narrow;sans-serif" w:hAnsi="Arial Narrow;sans-serif"/>
          <w:b/>
          <w:color w:val="252525"/>
          <w:sz w:val="20"/>
        </w:rPr>
        <w:t>3.750% Convertible Senior Notes Due 2029</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December 2022, we issued $230.0 million aggregate principal amount of 3.750% Convertible Senior Notes Due 2029 (the “2029 Convertible Notes”), for which $230.0 million remains outstanding as of September 30, 2024.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for fiscal 2024 was approximately 4.28%. As of September 30, 2024, the remaining unamortized debt issuance costs will be amortized using the effective interest method through the 2029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3"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the 2029 Convertible Notes were not convertible as no conditions of conversion had been met. Accordingly, the net balance of the 2029 Convertible Notes was classified as a non-current liability in our Consolidated Balance Sheets as of September 30, 2024. The classification of the 2029 Convertible Notes as current or non-current in the Consolidated Balance Sheets is evaluated at each balance sheet date and may change from time to time depending on whether any of the conversion conditions has been met.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one of the conversion conditions is met in any future fiscal quarter, we will classify our net liability under the 2029 Convertible Notes as a current liability in the Consolidated Balance Sheets as of the end of that fiscal quarter. If none of the conversion conditions have been met in a future fiscal quarter prior to the one-year period immediately preceding the 2029 Maturity Date, we will classify our net liability under the 2029 Convertible Notes as a non-current liability in the Consolidated Balance Sheets as of the end of that fiscal quarter. If the note holders elect to convert their 2029 Convertible Notes prior to maturity, any unamortized debt issuance costs will be recognized as expense at the time of conversion. If the entire outstanding principal amount had been converted on September 30, 2024, we would have recorded an expense associated with the conversion, comprised of $5.7 million of unamortized debt issuance costs. As of September 30, 2024, none of the note holders had elected to convert their 2029 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 trading price condition and other triggers are measured on a quarter-by-quarter basis and were not met as of September 30, 2024. As of September 30, 2024, the if-converted value of the 2029 Convertible Notes did not exceed the principal amount.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2022, we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our Consolidated Statement of Operations.</w:t>
      </w:r>
    </w:p>
    <w:p>
      <w:pPr>
        <w:pStyle w:val="TextBody"/>
        <w:bidi w:val="0"/>
        <w:spacing w:lineRule="auto" w:line="276" w:before="180" w:after="283"/>
        <w:jc w:val="left"/>
        <w:rPr>
          <w:rFonts w:ascii="Arial Narrow;sans-serif" w:hAnsi="Arial Narrow;sans-serif"/>
          <w:b/>
          <w:color w:val="252525"/>
          <w:sz w:val="20"/>
        </w:rPr>
      </w:pPr>
      <w:r>
        <w:rPr>
          <w:rFonts w:ascii="Arial Narrow;sans-serif" w:hAnsi="Arial Narrow;sans-serif"/>
          <w:b/>
          <w:color w:val="252525"/>
          <w:sz w:val="20"/>
        </w:rPr>
        <w:t>2.375% Convertible Senior Notes Due 2025</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May 2018, we issued $172.5 million aggregate principal amount of 2.375% Convertible Senior Notes Due 2025 (the “2025 Convertible Notes”), for which $103.4 million remains outstanding as of September 30, 2024.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 interest rate for fiscal 2024 was approximately 2.88% for the 2025 Convertible Notes. As of September 30, 2024, the remaining unamortized debt issuance costs will be amortized using the effective interest method through the 2025 Maturity Date assuming no early conversion.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4"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prior to November 1, 2024, we could settle in cash, shares of Class A Common Stock or any combination thereof, at our election.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November 1, 2024, the 2025 Convertible Notes were convertible at the option of the holders only upon certain conditions, none of which were met. On or after November 1, 2024 until the close of business on the business day immediately preceding the 2025 Maturity Date, holders of 2025 Convertible Notes may, at their option, convert their 2025 Convertible Notes at any time. Conversions occurring on or after November 1, 2024, are settled in a combination of cash and shares of Class A Common Stock, unless, by November 1, 2024, we elect another settlement method. Pursuant to the terms of the 2018 Indenture, we have elected to settle any conversions of the 2025 Convertible Notes using shares of Class A Common Stock (physical settlement). On October 28, 2024, we provided notice of that election to the trustee.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Given the 2025 Maturity Date of May 1, 2025, the net balance of the 2025 Convertible Notes was classified as a current liability in our Consolidated Balance Sheets as of September 30, 2024. If the note holders elect to convert their 2025 Convertible Notes prior to maturity, any unamortized debt issuance costs will be recognized as expense at the time of conversion. If the entire outstanding principal amount had been converted on September 30, 2024, we would have recorded an expense associated with the conversion, comprised of $0.3 million of unamortized debt issuance costs. The stock trading price condition and other triggers are measured on a quarter-by-quarter basis and were not met as of September 30, 2024. As of September 30, 2024, the if-converted value of the 2025 Convertible Notes did not exceed the principal amount and none of the note holders had elected to convert their 2025 Convertible Notes.</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2.875% Convertible Senior Notes Due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July 2017, we issued $143.75 million aggregate principal amount of 2.875% Convertible Senior Notes Due 2024 (the “2024 Convertible Notes”), none of which remain outstanding as of September 30, 2024.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paid interest semi-annually in arrears at a rate of 2.875% per annum on January 1 and July 1 of each year, commencing January 1, 2018, and matured on July 1, 2024 (the “2024 Maturity Date”). On July 1, 2024, the $34.4 million aggregate principal amount outstanding plus accrued interest was repaid using cash on hand and 77,328 Class A Common Stock shares, equal to the accreted value, were issued as part of the 2024 Convertible Notes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COMMON STOCK AND STOCK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3, 2022, our Board of Directors (the “Board”) authorized the repurchase of up to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has reserved the right to modify, suspend or terminate the program at any time. As of September 30, 2024, we had repurchased and retired 2,845,548 shares of our Class A Common Stock for $26.0 million under the Common Stock Repurchase Program, of which 1,218,503 and 1,389,102 shares were repurchased and retired for $12.0 million during the fiscal years ended September 30, 2024 and 2023, respectively. The repurchase amount is allocated between “Additional paid-in capital” and “Retained earnings” in our Consolidated Balance Sheets.</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December 2022, we used approximately $5.0 million of the net proceeds from the 2029 Convertible Notes offering to repurchase for cash 578,703 shares of our Class A Common Stock from purchasers of the notes in privately negotiated transactions. Such transactions were authorized separately from, and not considered a part of, the publicly announced Common Stock Repurchase Program discussed above. The repurchase amount is allocated between “Additional paid-in capital” and “Retained earnings” in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5"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utilize equity-based awards as a long-term incentive to attract and retain qualified employees, consultants and directors and motivate them to achieve long-term goals, thereby promoting the long-term financial interests of the Company and enhancing long-term stockholder return.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2022 LTI Plan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2022, we adopted the 2022 Long-Term Incentive Plan (the “2022 LTI Plan”), which gives us the ability to grant equity-based incentive compensation awards, in the form of restricted stock or restricted stock units, to our employees, members of the Board of Directors and consultants, independent contractors or advisors who are determined to have a direct and significant effect on the Company’s performance. The total number of shares of Class A Common Stock that may be issued pursuant to awards under the 2022 LTI Plan (“Authorized Shares”) is such number that is from time to time approved by the holder of the Company’s Class B Voting Common Stock (the “Voting Stockholder”). At the time the 2022 LTI Plan was adopted, 400,000 shares of our Class A Common Stock were added as Authorized Shares. That number was increased to 1,900,000 in October 2022, to 3,300,000 in November 2023 and to 4,150,000 in October 2024. At any time, the number of shares that are available for issuance under future awards (“Available Shares”) is equal to the number of Authorized Shares reduced by the number of shares previously issued and the number of shares that may be issued under outstanding awards. The number of Available Shares is increased for shares covered by awards that are forfeited, cancelled or otherwise terminated without the issuance of shares or shares that are withheld at the request of a participant to satisfy such participant’s tax withholding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2022 LTI Plan is administered by the People and Compensation Committee of the Board of Directors (the “Committee”). The Committee generally determines and recommends the type, recipient, amount and terms for all awards issued under the 2022 LTI Plan, but each award issuance requires the approval of the full Board of Directors.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Restricted stock awards are generally subject to continued service over a specified period (typically one-to-three years) and expensed straight-line over the service period. Restricted stock units are generally subject to the achievement of performance goals in addition to continued service, and they are expensed, on a tranche-by-tranche basis, ratably over the service period beginning with the start of the measurement of performance.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2010 LTI Plan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2022 LTI Plan replaced the 2010 Long-Term Incentive Plan (the “2010 LTI Plan”) for all long-term incentive awards issued from and after January 1, 2022. The 2010 LTI Plan remains effective, but only with respect to LTI awards issued and outstanding as of December 31, 2021, and any authorized but unissued shares remaining in the 2010 LTI Plan are available only to satisfy such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2010 LTI Plan, we granted awards of restricted stock or restricted stock units to employees and non-employee directors. Awards granted to employees were typically subject to performance and service conditions. Awards granted to non-employee directors were time-based awards subject only to service conditions. Awards were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Board of Director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Immediately after our 2024 Annual Meeting of Stockholders in March 2024, we granted each of the five non-employee directors a restricted stock award of 15,037 shares (75,185 shares in total). Those shares are scheduled to vest on the day immediately preceding the 2025 Annual Meeting of Stockholders (but in no event later than March 31, 2025), subject only to service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2023, we granted each of the five non-employee directors a restricted stock award of 18,038 shares (90,190 shares in total). Those shares vested on the day immediately preceding the 2024 Annual Meeting of Stockholders in March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2022, we granted each of the five non-employee directors a restricted stock award of 26,490 shares (132,450 shares in total). Those shares vested on the day immediately preceding the 2023 Annual Meeting of Stockholders in March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February 2021, we granted each of the four non-employee directors serving at that time a restricted stock award of 31,936 shares (127,744 shares in total). Those shares vested on the day immediately preceding our 2022 Annual Meeting of Stockholders in March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6"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76" w:before="0" w:after="180"/>
        <w:jc w:val="left"/>
        <w:rPr>
          <w:rFonts w:ascii="Arial Narrow;sans-serif" w:hAnsi="Arial Narrow;sans-serif"/>
          <w:b w:val="false"/>
          <w:i/>
          <w:color w:val="000000"/>
          <w:sz w:val="20"/>
        </w:rPr>
      </w:pPr>
      <w:r>
        <w:rPr>
          <w:rFonts w:ascii="Arial Narrow;sans-serif" w:hAnsi="Arial Narrow;sans-serif"/>
          <w:b w:val="false"/>
          <w:i/>
          <w:color w:val="000000"/>
          <w:sz w:val="20"/>
        </w:rPr>
        <w:t>Employee Awards</w:t>
      </w:r>
    </w:p>
    <w:p>
      <w:pPr>
        <w:pStyle w:val="TextBody"/>
        <w:bidi w:val="0"/>
        <w:spacing w:lineRule="auto" w:line="276" w:before="0" w:after="0"/>
        <w:jc w:val="left"/>
        <w:rPr/>
      </w:pPr>
      <w:r>
        <w:rPr>
          <w:rFonts w:ascii="Arial Narrow;sans-serif" w:hAnsi="Arial Narrow;sans-serif"/>
          <w:b w:val="false"/>
          <w:i/>
          <w:color w:val="000000"/>
          <w:sz w:val="20"/>
        </w:rPr>
        <w:t xml:space="preserve">FY24 Awards </w:t>
      </w:r>
      <w:r>
        <w:rPr>
          <w:color w:val="000000"/>
        </w:rPr>
        <w:t xml:space="preserve">— </w:t>
      </w:r>
      <w:r>
        <w:rPr>
          <w:rFonts w:ascii="Arial Narrow;sans-serif" w:hAnsi="Arial Narrow;sans-serif"/>
          <w:b w:val="false"/>
          <w:color w:val="000000"/>
          <w:sz w:val="20"/>
        </w:rPr>
        <w:t>In November 2023, we granted restricted stock unit awards of a total of 995,759 shares to our executive officers and other key employees. These awards were issued as part of our annual LTI program for fiscal 2024. The awards have a three-year performance period consisting of fiscal 2024, fiscal 2025 and fiscal 2026. For each award, 60% of the total number of shares was allocated equally among the three fiscal years in the performance period (20% each), with each tranche having separate performance conditions. In addition, 20% of the total number of shares was allocated to a three-year cumulative performance condition applicable to the entire three-year performance period, and 20% was subject only to continued service. The number of shares available to vest from each performance-based tranche can range from 0 to 150% and is dependent on the achievement of the performance conditions for that tranche. All of the performance-based shares that become available to vest based on the achievement of the performance conditions, along with the time-based tranche, will vest on September 30, 2026, so long as the participant continues active employment with the Company through that date. Performance targets for the fiscal 2024 tranche and the three-year cumulative tranche were determined and communicated at the time of grant. Grant dates for the fiscal 2025 and fiscal 2026 tranches will be determined when the applicable performance targets are established for those tranches. As of September 30, 2024, we considered the performance targets for the fiscal 2024 tranche to be probable of achievement at the 133% level and the cumulative performance target for the three-year cumulative tranche to be probable of achievement at the 100% level. During fiscal 2024, we granted restricted stock unit awards of an additional 17,524 shares to key employees in connection with promotions or new hires. These additional awards carry the same terms as those granted in November 2023.</w:t>
      </w:r>
    </w:p>
    <w:p>
      <w:pPr>
        <w:pStyle w:val="TextBody"/>
        <w:bidi w:val="0"/>
        <w:spacing w:before="0" w:after="0"/>
        <w:jc w:val="left"/>
        <w:rPr/>
      </w:pPr>
      <w:r>
        <w:rPr/>
      </w:r>
    </w:p>
    <w:p>
      <w:pPr>
        <w:pStyle w:val="TextBody"/>
        <w:bidi w:val="0"/>
        <w:spacing w:lineRule="auto" w:line="276" w:before="0" w:after="0"/>
        <w:jc w:val="left"/>
        <w:rPr/>
      </w:pPr>
      <w:r>
        <w:rPr>
          <w:rFonts w:ascii="Arial Narrow;sans-serif" w:hAnsi="Arial Narrow;sans-serif"/>
          <w:b w:val="false"/>
          <w:i/>
          <w:color w:val="000000"/>
          <w:sz w:val="20"/>
        </w:rPr>
        <w:t xml:space="preserve">FY23 Awards </w:t>
      </w:r>
      <w:r>
        <w:rPr>
          <w:color w:val="000000"/>
        </w:rPr>
        <w:t xml:space="preserve">— </w:t>
      </w:r>
      <w:r>
        <w:rPr>
          <w:rFonts w:ascii="Arial Narrow;sans-serif" w:hAnsi="Arial Narrow;sans-serif"/>
          <w:b w:val="false"/>
          <w:color w:val="000000"/>
          <w:sz w:val="20"/>
        </w:rPr>
        <w:t>In October 2022, we granted restricted stock unit awards of a total of 912,524 shares to our executive officers and other key employees. These awards were issued as part of our annual LTI program for fiscal 2023. The awards have a three-year performance period consisting of fiscal 2023, fiscal 2024 and fiscal 2025. For each award, 60% of the total number of shares was allocated equally among the three fiscal years in the performance period (20% each), with each tranche having separate performance conditions. In addition, 20% of the total number of shares was allocated to a three-year cumulative performance condition applicable to the entire three-year performance period, and 20% was subject only to continued service. The number of shares available to vest from each performance-based tranche can range from 0 to 150% and is dependent on the achievement of the performance conditions for that tranche. All of the performance-based shares that become available to vest based on the achievement of the performance conditions, along with the time-based tranche, will vest on September 30, 2025, so long as the participant continues active employment with the Company through that date. Performance targets for the fiscal 2023 tranche and the three-year cumulative tranche were determined and communicated at the time of grant. Grant dates for the fiscal 2024 and fiscal 2025 tranches correspond to the establishment and communication of the applicable performance targets for those tranches. As of September 30, 2023, we considered the performance targets for the fiscal 2023 tranche to be probable of achievement at the 147% level, and as of September 30, 2024, we considered the performance targets for the fiscal 2024 tranche to be probable of achievement at the 133% level, and the cumulative performance target for the three-year cumulative tranche to be probable of achievement at the 150% level. During fiscal 2023, we granted restricted stock unit awards of an additional 8,036 shares to key employees in connection with promotions or new hires. These additional awards carry the same terms as those granted in October 2022.</w:t>
      </w:r>
    </w:p>
    <w:p>
      <w:pPr>
        <w:pStyle w:val="TextBody"/>
        <w:bidi w:val="0"/>
        <w:spacing w:lineRule="auto" w:line="288" w:before="180" w:after="283"/>
        <w:jc w:val="left"/>
        <w:rPr/>
      </w:pPr>
      <w:r>
        <w:rPr>
          <w:rFonts w:ascii="Arial Narrow;sans-serif" w:hAnsi="Arial Narrow;sans-serif"/>
          <w:b w:val="false"/>
          <w:i/>
          <w:color w:val="000000"/>
          <w:sz w:val="20"/>
        </w:rPr>
        <w:t>FY22 Awards</w:t>
      </w:r>
      <w:r>
        <w:rPr>
          <w:color w:val="000000"/>
        </w:rPr>
        <w:t xml:space="preserve"> — </w:t>
      </w:r>
      <w:r>
        <w:rPr>
          <w:rFonts w:ascii="Arial Narrow;sans-serif" w:hAnsi="Arial Narrow;sans-serif"/>
          <w:b w:val="false"/>
          <w:color w:val="000000"/>
          <w:sz w:val="20"/>
        </w:rPr>
        <w:t>In October and November 2021, we granted restricted stock unit awards of a total of 981,327 shares to our executive officers and other key employees. These awards were issued as part of our annual LTI program for fiscal 2022. The awards have a three-year performance period consisting of fiscal 2022, fiscal 2023 and fiscal 2024.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become available to vest based on the achievement of the performance conditions will vest on September 30, 2024, so long as the participant continues active employment with the Company through that date. Performance targets for the fiscal 2022 tranche were determined and communicated at the time of grant. Grant dates for the other two tranches correspond to the establishment and communication of the applicable performance targets for these tranches. As of September 30, 2022, we considered the performance targets for the fiscal 2022 tranche to be probable of achievement at the 150% level, as of September 30, 2023, we considered the performance targets for the fiscal 2023 tranche to be probable of achievement at the 147% level, and as of September 30, 2024, we considered the performance targets for the fiscal 2024 tranche to be probable of achievement at the 133% level. During fiscal 2022, we granted restricted stock unit awards of an additional 161,265 shares to executive officers and other key employees in connection with promotions or new hires. These additional awards carry the same terms as those granted in October and November 2021.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October 2021, we granted a restricted stock award of 29,722 shares to an executive officer as a special performance and retention award. This awards vested ratably over three years (fiscal 2022, fiscal 2023 and fiscal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7"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left"/>
        <w:rPr/>
      </w:pPr>
      <w:r>
        <w:rPr>
          <w:rFonts w:ascii="Arial Narrow;sans-serif" w:hAnsi="Arial Narrow;sans-serif"/>
          <w:b w:val="false"/>
          <w:i/>
          <w:color w:val="000000"/>
          <w:sz w:val="20"/>
        </w:rPr>
        <w:t>FY21 Awards</w:t>
      </w:r>
      <w:r>
        <w:rPr>
          <w:color w:val="000000"/>
        </w:rPr>
        <w:t xml:space="preserve"> — </w:t>
      </w:r>
      <w:r>
        <w:rPr>
          <w:rFonts w:ascii="Arial Narrow;sans-serif" w:hAnsi="Arial Narrow;sans-serif"/>
          <w:b w:val="false"/>
          <w:color w:val="000000"/>
          <w:sz w:val="20"/>
        </w:rPr>
        <w:t xml:space="preserve">In February 2021, we granted restricted stock units of a total of 1,177,214 shares to our executive officers and other key employees. The awards have a three-year performance period consisting of fiscal 2021, fiscal 2022 and fiscal 2023. For each award, the total number of shares was allocated equally among the three fiscal years in the performance period, with each tranche having separate performance conditions. The number of shares available to vest from each tranche can range from 0 to 150% and is dependent on the achievement of the performance condition for that tranche. All of the shares that became available to vest based on the achievement of the performance conditions vested on September 30, 2023, for participants whose active employment with the Company continued through that date. Performance targets for the fiscal 2021 tranche were determined and communicated in February 2021, and performance targets for the fiscal 2022 tranche were determined and communicated in October 2021, and performance targets for the fiscal 2023 tranche were determined and communicated in October 2022. As of September 30, 2021, we considered the performance targets for the fiscal 2021 tranche to be probable of achievement at the 150% level, as of September 30, 2022, we considered the performance targets for the fiscal 2022 tranche to be probable of achievement at the 150% level, and as of September 30, 2023, we considered the performance targets for the fiscal 2023 tranche to be probable of achievement at the 135% level. During fiscal 2021, we granted restricted stock unit awards of an additional 4,722 shares of restricted stock to employees in connection with promotions or new hires. These additional awards carry the same terms as those granted in February 2021. All of these awards vested in November 2023, after the Committee determined that the performance conditions had been met.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FY20 Awards — In January 2020, the Committee approved restricted stock unit awards for executive officers and key employees, but did not finalize the performance targets at that time. In January 2021, the Committee approved the applicable performance targets and we granted restricted stock unit awards of a total of 550,224 shares of restricted stock to employees. We consider the awards to have a three-year performance period consisting of fiscal 2020, fiscal 2021 and fiscal 2022, with a service condition applicable to fiscal 2020 and then separate performance conditions applicable to fiscal 2021 and 2022. For each award, the total number of shares was allocated equally among fiscal 2021 and fiscal 2022, with each tranche having separate performance conditions. The number of shares available to vest from each tranche was dependent on the achievement of the performance condition for that tranche and could range from 0 to 100%. All of the shares that became available to vest based on the achievement of the performance conditions vested on September 30, 2022, for participants whose active employment with the Company continued through that date. Performance targets for the fiscal 2021 tranche were communicated in January 2021, and performance targets for the fiscal 2022 tranche were determined and communicated in October 2021. As of September 30, 2021, we considered the performance targets for the fiscal 2021 tranche to be probable of achievement at the 100% level, and as of September 30, 2022, we considered the performance targets for the fiscal 2022 tranche to be probable of achievement at the 100% level. All of these awards vested in November 2022, after the Committee determined that the performance conditions had been met.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the unamortized fair value of share awards to be amortized over their remaining vesting periods was approximately $11.6 million. The weighted-average period over which these costs will be amortized is approximately two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amounts related to our stock compensation arrangements:</w:t>
      </w:r>
    </w:p>
    <w:tbl>
      <w:tblPr>
        <w:tblW w:w="6341" w:type="dxa"/>
        <w:jc w:val="left"/>
        <w:tblInd w:w="0" w:type="dxa"/>
        <w:tblLayout w:type="fixed"/>
        <w:tblCellMar>
          <w:top w:w="28" w:type="dxa"/>
          <w:left w:w="28" w:type="dxa"/>
          <w:bottom w:w="28" w:type="dxa"/>
          <w:right w:w="28" w:type="dxa"/>
        </w:tblCellMar>
      </w:tblPr>
      <w:tblGrid>
        <w:gridCol w:w="1161"/>
        <w:gridCol w:w="1022"/>
        <w:gridCol w:w="1026"/>
        <w:gridCol w:w="181"/>
        <w:gridCol w:w="571"/>
        <w:gridCol w:w="109"/>
        <w:gridCol w:w="109"/>
        <w:gridCol w:w="109"/>
        <w:gridCol w:w="109"/>
        <w:gridCol w:w="181"/>
        <w:gridCol w:w="496"/>
        <w:gridCol w:w="109"/>
        <w:gridCol w:w="109"/>
        <w:gridCol w:w="109"/>
        <w:gridCol w:w="109"/>
        <w:gridCol w:w="181"/>
        <w:gridCol w:w="49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 costs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Income tax benefit on 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4782" w:type="dxa"/>
        <w:jc w:val="left"/>
        <w:tblInd w:w="0" w:type="dxa"/>
        <w:tblLayout w:type="fixed"/>
        <w:tblCellMar>
          <w:top w:w="28" w:type="dxa"/>
          <w:left w:w="28" w:type="dxa"/>
          <w:bottom w:w="28" w:type="dxa"/>
          <w:right w:w="28" w:type="dxa"/>
        </w:tblCellMar>
      </w:tblPr>
      <w:tblGrid>
        <w:gridCol w:w="929"/>
        <w:gridCol w:w="816"/>
        <w:gridCol w:w="819"/>
        <w:gridCol w:w="405"/>
        <w:gridCol w:w="405"/>
        <w:gridCol w:w="196"/>
        <w:gridCol w:w="109"/>
        <w:gridCol w:w="109"/>
        <w:gridCol w:w="109"/>
        <w:gridCol w:w="211"/>
        <w:gridCol w:w="493"/>
        <w:gridCol w:w="181"/>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w:t>
              <w:br/>
              <w:t>Average</w:t>
              <w:br/>
              <w:t>Grant Date</w:t>
              <w:br/>
              <w:t>Fair Value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September 30, 2023</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2,555,899 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Granted</w:t>
            </w:r>
            <w:r>
              <w:rPr>
                <w:color w:val="000000"/>
              </w:rPr>
              <w:t xml:space="preserve"> </w:t>
            </w:r>
            <w:r>
              <w:rPr>
                <w:rFonts w:ascii="Arial Narrow;sans-serif" w:hAnsi="Arial Narrow;sans-serif"/>
                <w:b w:val="false"/>
                <w:color w:val="000000"/>
                <w:sz w:val="12"/>
              </w:rPr>
              <w:t>(a)</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Released </w:t>
            </w:r>
            <w:r>
              <w:rPr>
                <w:rFonts w:ascii="Arial Narrow;sans-serif" w:hAnsi="Arial Narrow;sans-serif"/>
                <w:b w:val="false"/>
                <w:color w:val="000000"/>
                <w:sz w:val="12"/>
              </w:rPr>
              <w:t>(b)</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(1,235,235)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Cancelled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as of September 30, 2024</w:t>
            </w:r>
          </w:p>
        </w:tc>
        <w:tc>
          <w:tcPr>
            <w:tcW w:w="81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2,699,914 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 Includes performance adjustment of 353,993 shares awarded above their target grants resulting from the achievement of performance targets established at the grant date.</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380,931 shares were withheld to satisfy related income tax withholding.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the fair value of shares granted:</w:t>
      </w:r>
    </w:p>
    <w:tbl>
      <w:tblPr>
        <w:tblW w:w="6672" w:type="dxa"/>
        <w:jc w:val="left"/>
        <w:tblInd w:w="0" w:type="dxa"/>
        <w:tblLayout w:type="fixed"/>
        <w:tblCellMar>
          <w:top w:w="28" w:type="dxa"/>
          <w:left w:w="28" w:type="dxa"/>
          <w:bottom w:w="28" w:type="dxa"/>
          <w:right w:w="28" w:type="dxa"/>
        </w:tblCellMar>
      </w:tblPr>
      <w:tblGrid>
        <w:gridCol w:w="1389"/>
        <w:gridCol w:w="1220"/>
        <w:gridCol w:w="1231"/>
        <w:gridCol w:w="181"/>
        <w:gridCol w:w="421"/>
        <w:gridCol w:w="109"/>
        <w:gridCol w:w="109"/>
        <w:gridCol w:w="109"/>
        <w:gridCol w:w="109"/>
        <w:gridCol w:w="181"/>
        <w:gridCol w:w="421"/>
        <w:gridCol w:w="109"/>
        <w:gridCol w:w="109"/>
        <w:gridCol w:w="109"/>
        <w:gridCol w:w="109"/>
        <w:gridCol w:w="181"/>
        <w:gridCol w:w="42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 except per share amounts)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Weighted average grant date fair value per share granted </w:t>
            </w:r>
            <w:r>
              <w:rPr>
                <w:rFonts w:ascii="Arial Narrow;sans-serif" w:hAnsi="Arial Narrow;sans-serif"/>
                <w:b w:val="false"/>
                <w:color w:val="000000"/>
                <w:sz w:val="12"/>
              </w:rPr>
              <w:t>(a)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market value of shares released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Arial Narrow;sans-serif" w:hAnsi="Arial Narrow;sans-serif"/>
          <w:b w:val="false"/>
          <w:color w:val="252525"/>
          <w:sz w:val="16"/>
        </w:rPr>
        <w:t xml:space="preserve">(a) </w:t>
      </w:r>
      <w:r>
        <w:rPr>
          <w:rFonts w:ascii="Arial Narrow;sans-serif" w:hAnsi="Arial Narrow;sans-serif"/>
          <w:b w:val="false"/>
          <w:color w:val="000000"/>
          <w:sz w:val="16"/>
        </w:rPr>
        <w:t>Awards with performance and time-based vesting provisions are generally valued based upon the underlying share price as of the issuance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8"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Other</w:t>
      </w:r>
    </w:p>
    <w:p>
      <w:pPr>
        <w:pStyle w:val="TextBody"/>
        <w:bidi w:val="0"/>
        <w:spacing w:lineRule="auto" w:line="288" w:before="180" w:after="283"/>
        <w:jc w:val="left"/>
        <w:rPr/>
      </w:pPr>
      <w:r>
        <w:rPr>
          <w:rFonts w:ascii="Arial Narrow;sans-serif" w:hAnsi="Arial Narrow;sans-serif"/>
          <w:b w:val="false"/>
          <w:color w:val="000000"/>
          <w:sz w:val="20"/>
        </w:rPr>
        <w:t>We have not declared or paid any dividends and currently do not anticipate paying any dividends in the immediate future. As described in Note 7: Debt, payment of a dividend requires an adjustment to the conversion rate of our Convertible Notes</w:t>
      </w:r>
      <w:r>
        <w:rPr>
          <w:rFonts w:ascii="Arial Narrow;sans-serif" w:hAnsi="Arial Narrow;sans-serif"/>
          <w:b w:val="false"/>
          <w:color w:val="252525"/>
          <w:sz w:val="20"/>
        </w:rPr>
        <w:t xml:space="preserve">. </w:t>
      </w:r>
      <w:r>
        <w:rPr>
          <w:rFonts w:ascii="Arial Narrow;sans-serif" w:hAnsi="Arial Narrow;sans-serif"/>
          <w:b w:val="false"/>
          <w:color w:val="000000"/>
          <w:sz w:val="20"/>
        </w:rPr>
        <w:t>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components of our income before income taxes, including inter-segment amounts:</w:t>
      </w:r>
    </w:p>
    <w:tbl>
      <w:tblPr>
        <w:tblW w:w="4361" w:type="dxa"/>
        <w:jc w:val="left"/>
        <w:tblInd w:w="0" w:type="dxa"/>
        <w:tblLayout w:type="fixed"/>
        <w:tblCellMar>
          <w:top w:w="28" w:type="dxa"/>
          <w:left w:w="28" w:type="dxa"/>
          <w:bottom w:w="28" w:type="dxa"/>
          <w:right w:w="28" w:type="dxa"/>
        </w:tblCellMar>
      </w:tblPr>
      <w:tblGrid>
        <w:gridCol w:w="363"/>
        <w:gridCol w:w="320"/>
        <w:gridCol w:w="321"/>
        <w:gridCol w:w="181"/>
        <w:gridCol w:w="646"/>
        <w:gridCol w:w="109"/>
        <w:gridCol w:w="109"/>
        <w:gridCol w:w="109"/>
        <w:gridCol w:w="109"/>
        <w:gridCol w:w="181"/>
        <w:gridCol w:w="571"/>
        <w:gridCol w:w="109"/>
        <w:gridCol w:w="109"/>
        <w:gridCol w:w="109"/>
        <w:gridCol w:w="109"/>
        <w:gridCol w:w="181"/>
        <w:gridCol w:w="571"/>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Domestic*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the majority of our corporate administrative costs. See Note 12: Segment Information for information pertaining to segment contribution.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significant components of the income tax provision:</w:t>
      </w:r>
    </w:p>
    <w:tbl>
      <w:tblPr>
        <w:tblW w:w="5081" w:type="dxa"/>
        <w:jc w:val="left"/>
        <w:tblInd w:w="0" w:type="dxa"/>
        <w:tblLayout w:type="fixed"/>
        <w:tblCellMar>
          <w:top w:w="28" w:type="dxa"/>
          <w:left w:w="28" w:type="dxa"/>
          <w:bottom w:w="28" w:type="dxa"/>
          <w:right w:w="28" w:type="dxa"/>
        </w:tblCellMar>
      </w:tblPr>
      <w:tblGrid>
        <w:gridCol w:w="651"/>
        <w:gridCol w:w="573"/>
        <w:gridCol w:w="575"/>
        <w:gridCol w:w="181"/>
        <w:gridCol w:w="571"/>
        <w:gridCol w:w="109"/>
        <w:gridCol w:w="109"/>
        <w:gridCol w:w="109"/>
        <w:gridCol w:w="109"/>
        <w:gridCol w:w="181"/>
        <w:gridCol w:w="571"/>
        <w:gridCol w:w="109"/>
        <w:gridCol w:w="109"/>
        <w:gridCol w:w="109"/>
        <w:gridCol w:w="109"/>
        <w:gridCol w:w="181"/>
        <w:gridCol w:w="57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12,608 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4,945 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Total income tax expense</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color w:val="000000"/>
        </w:rPr>
      </w:pPr>
      <w:r>
        <w:rPr>
          <w:color w:val="000000"/>
        </w:rPr>
        <w:t>    </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reconciliation of income taxes calculated at the statutory rate and the provision for income taxes:</w:t>
      </w:r>
    </w:p>
    <w:tbl>
      <w:tblPr>
        <w:tblW w:w="7382" w:type="dxa"/>
        <w:jc w:val="left"/>
        <w:tblInd w:w="0" w:type="dxa"/>
        <w:tblLayout w:type="fixed"/>
        <w:tblCellMar>
          <w:top w:w="28" w:type="dxa"/>
          <w:left w:w="28" w:type="dxa"/>
          <w:bottom w:w="28" w:type="dxa"/>
          <w:right w:w="28" w:type="dxa"/>
        </w:tblCellMar>
      </w:tblPr>
      <w:tblGrid>
        <w:gridCol w:w="1339"/>
        <w:gridCol w:w="1181"/>
        <w:gridCol w:w="1184"/>
        <w:gridCol w:w="181"/>
        <w:gridCol w:w="571"/>
        <w:gridCol w:w="241"/>
        <w:gridCol w:w="109"/>
        <w:gridCol w:w="109"/>
        <w:gridCol w:w="109"/>
        <w:gridCol w:w="181"/>
        <w:gridCol w:w="571"/>
        <w:gridCol w:w="241"/>
        <w:gridCol w:w="109"/>
        <w:gridCol w:w="109"/>
        <w:gridCol w:w="109"/>
        <w:gridCol w:w="181"/>
        <w:gridCol w:w="571"/>
        <w:gridCol w:w="286"/>
      </w:tblGrid>
      <w:tr>
        <w:trPr/>
        <w:tc>
          <w:tcPr>
            <w:tcW w:w="133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 (benefit) at the federal statutory rate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taxes, net of federal benefit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 inflation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rate differential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valuation allowance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Uncertain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withholding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true-up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received deduction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loss on debt restructuring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GAAP/statutory book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income tax expense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17,553 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Effective tax rate</w:t>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9"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shows significant components of our deferred tax assets and liabilities:</w:t>
      </w:r>
    </w:p>
    <w:tbl>
      <w:tblPr>
        <w:tblW w:w="5484" w:type="dxa"/>
        <w:jc w:val="left"/>
        <w:tblInd w:w="0" w:type="dxa"/>
        <w:tblLayout w:type="fixed"/>
        <w:tblCellMar>
          <w:top w:w="28" w:type="dxa"/>
          <w:left w:w="28" w:type="dxa"/>
          <w:bottom w:w="28" w:type="dxa"/>
          <w:right w:w="28" w:type="dxa"/>
        </w:tblCellMar>
      </w:tblPr>
      <w:tblGrid>
        <w:gridCol w:w="1226"/>
        <w:gridCol w:w="1079"/>
        <w:gridCol w:w="1085"/>
        <w:gridCol w:w="181"/>
        <w:gridCol w:w="571"/>
        <w:gridCol w:w="109"/>
        <w:gridCol w:w="109"/>
        <w:gridCol w:w="109"/>
        <w:gridCol w:w="109"/>
        <w:gridCol w:w="181"/>
        <w:gridCol w:w="57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Cash Converters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over book inventory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tax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foreign net operating loss carryforwards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Book over tax 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before valuation allowance</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128,521 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Valuation allowance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net</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106,551 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111,636 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over book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liabilities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86,369 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deferred tax asset</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23,282 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25,267 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we had state net operating loss carryforwards of approximately $5.2 million, which begin to expire in 2025 if not utilized. We also had foreign net operating loss carryforwards of $47.1 million, which will begin to expire in 2030 if not utilized. Additionally, we have a $1.7 million foreign tax credit that will expire between 2025 to 2026 if not utilized.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 and liabilities are recorded for the estimated tax impact of temporary differences between the tax basis and book basis of assets and liabilities. The Company has elected to account for the tax on GILTI as a period cost and therefore has not recorded deferred taxes related to GILTI on its foreign subsidiaries. As of September 30, 2024, tax in amount of $0.7 million has been accrued for estimated tax on GILTI that will be due. A valuation allowance is established against a deferred tax asset when it is more likely than not that the deferred tax asset will not be realized. Our valuation allowance has been established to offset certain state and foreign net operating loss carryforwards and foreign tax credit carryforwards that are not more likely than not to be utilized prior to expiration. The valuation allowance decreased by $1.2 million in fiscal 2024, primarily due to the release of valuation allowance associated with net operating losses no longer available for use. We believe our results from future operations will generate sufficient taxable income in the appropriate jurisdictions such that it is more likely than not that the remaining deferred tax assets will be realized.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taxes are not provided for undistributed earnings of foreign subsidiaries of approximately $98.2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$5.0 million as of September 30, 2024. We provided deferred income taxes on all undistributed earnings from Cash Converters. After extensive search for multi-store acquisitions in Guatemala, in the fourth quarter of fiscal 2024, we altered our Guatemala growth strategy to a focus on organic growth of existing stores, denovos and potentially small acquisitions. As a result, we provided for applicable foreign withholding taxes on $20 million of undistributed foreign earnings and recorded a liability of $1.0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roll-forward of unrecognized tax benefits:</w:t>
      </w:r>
    </w:p>
    <w:tbl>
      <w:tblPr>
        <w:tblW w:w="8036" w:type="dxa"/>
        <w:jc w:val="left"/>
        <w:tblInd w:w="0" w:type="dxa"/>
        <w:tblLayout w:type="fixed"/>
        <w:tblCellMar>
          <w:top w:w="28" w:type="dxa"/>
          <w:left w:w="28" w:type="dxa"/>
          <w:bottom w:w="28" w:type="dxa"/>
          <w:right w:w="28" w:type="dxa"/>
        </w:tblCellMar>
      </w:tblPr>
      <w:tblGrid>
        <w:gridCol w:w="1800"/>
        <w:gridCol w:w="1586"/>
        <w:gridCol w:w="1593"/>
        <w:gridCol w:w="181"/>
        <w:gridCol w:w="496"/>
        <w:gridCol w:w="109"/>
        <w:gridCol w:w="109"/>
        <w:gridCol w:w="109"/>
        <w:gridCol w:w="109"/>
        <w:gridCol w:w="181"/>
        <w:gridCol w:w="496"/>
        <w:gridCol w:w="109"/>
        <w:gridCol w:w="109"/>
        <w:gridCol w:w="109"/>
        <w:gridCol w:w="109"/>
        <w:gridCol w:w="181"/>
        <w:gridCol w:w="496"/>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Beginning balance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for tax positions taken during a prior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for tax positions taken during a prior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for tax positions as a result of the lapse of the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Ending balance</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2,801 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3,568 </w:t>
            </w:r>
          </w:p>
        </w:tc>
        <w:tc>
          <w:tcPr>
            <w:tcW w:w="15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the above unrecognized tax benefits, if recognized, would impact our effective tax rate for the respective period of each ending balance. The statute of limitations will expire within the next twelve months with respect to approximately $0.7 million of foreign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0"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recognize accrued interest and penalties related to unrecognized tax benefits in income tax expense. During 2024, we recognized income tax expense of $0.5 million offset by the reversal of previously accrued interest and penalties of $0.4 million due to the lapse of the statute of limitations on the associated tax position and income tax expense of $0.2 million during 2023 and an income tax benefit of $0.8 million during 2022, related to interest and penalties. The total amount of accrued interest and penalties was $0.8 million, $0.7 million and $1.0 million in 2024, 2023 and 2022,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subject to U.S., Mexico, Canada, Guatemala, Honduras, El Salvador, Peru, United Kingdom, and the Netherlands income taxes as well as income taxes levied by various state and local jurisdictions. With few exceptions, we are no longer subject to examinations by tax authorities for years before the tax year ended September 30, 2018. We believe that adequate provisions have been made for any adjustments that may result from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10: LEASES</w:t>
      </w:r>
      <w:r>
        <w:rPr>
          <w:color w:val="000000"/>
        </w:rPr>
        <w:t xml:space="preserve"> </w:t>
      </w:r>
    </w:p>
    <w:p>
      <w:pPr>
        <w:pStyle w:val="TextBody"/>
        <w:bidi w:val="0"/>
        <w:spacing w:lineRule="auto" w:line="276"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table below presents balances of our lease assets and liabilities and their balance sheet locations for both operating and financing leases:</w:t>
      </w:r>
    </w:p>
    <w:tbl>
      <w:tblPr>
        <w:tblW w:w="9716" w:type="dxa"/>
        <w:jc w:val="left"/>
        <w:tblInd w:w="0" w:type="dxa"/>
        <w:tblLayout w:type="fixed"/>
        <w:tblCellMar>
          <w:top w:w="28" w:type="dxa"/>
          <w:left w:w="28" w:type="dxa"/>
          <w:bottom w:w="28" w:type="dxa"/>
          <w:right w:w="28" w:type="dxa"/>
        </w:tblCellMar>
      </w:tblPr>
      <w:tblGrid>
        <w:gridCol w:w="841"/>
        <w:gridCol w:w="741"/>
        <w:gridCol w:w="743"/>
        <w:gridCol w:w="1378"/>
        <w:gridCol w:w="1378"/>
        <w:gridCol w:w="1384"/>
        <w:gridCol w:w="278"/>
        <w:gridCol w:w="994"/>
        <w:gridCol w:w="167"/>
        <w:gridCol w:w="109"/>
        <w:gridCol w:w="109"/>
        <w:gridCol w:w="109"/>
        <w:gridCol w:w="274"/>
        <w:gridCol w:w="978"/>
        <w:gridCol w:w="233"/>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2023</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228,161 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236,566 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 xml:space="preserve">Lease liabilities: </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59,568 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57,712 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4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181,726 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194,902 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4140"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241,294 </w:t>
            </w:r>
          </w:p>
        </w:tc>
        <w:tc>
          <w:tcPr>
            <w:tcW w:w="167"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252,614 </w:t>
            </w:r>
          </w:p>
        </w:tc>
        <w:tc>
          <w:tcPr>
            <w:tcW w:w="23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table below provides major components of our lease costs:</w:t>
      </w:r>
    </w:p>
    <w:tbl>
      <w:tblPr>
        <w:tblW w:w="6020" w:type="dxa"/>
        <w:jc w:val="left"/>
        <w:tblInd w:w="0" w:type="dxa"/>
        <w:tblLayout w:type="fixed"/>
        <w:tblCellMar>
          <w:top w:w="28" w:type="dxa"/>
          <w:left w:w="28" w:type="dxa"/>
          <w:bottom w:w="28" w:type="dxa"/>
          <w:right w:w="28" w:type="dxa"/>
        </w:tblCellMar>
      </w:tblPr>
      <w:tblGrid>
        <w:gridCol w:w="911"/>
        <w:gridCol w:w="804"/>
        <w:gridCol w:w="805"/>
        <w:gridCol w:w="181"/>
        <w:gridCol w:w="571"/>
        <w:gridCol w:w="109"/>
        <w:gridCol w:w="109"/>
        <w:gridCol w:w="109"/>
        <w:gridCol w:w="109"/>
        <w:gridCol w:w="181"/>
        <w:gridCol w:w="571"/>
        <w:gridCol w:w="109"/>
        <w:gridCol w:w="109"/>
        <w:gridCol w:w="109"/>
        <w:gridCol w:w="109"/>
        <w:gridCol w:w="181"/>
        <w:gridCol w:w="571"/>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90,401 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82,643 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90,873 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82,647 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 Narrow;sans-serif" w:hAnsi="Arial Narrow;sans-serif"/>
          <w:b w:val="false"/>
          <w:color w:val="000000"/>
          <w:sz w:val="18"/>
        </w:rPr>
      </w:pPr>
      <w:r>
        <w:rPr>
          <w:rFonts w:ascii="Arial Narrow;sans-serif" w:hAnsi="Arial Narrow;sans-serif"/>
          <w:b w:val="false"/>
          <w:color w:val="000000"/>
          <w:sz w:val="18"/>
        </w:rPr>
        <w:t>* Includes a reduction for sublease rental income of $3.1 million, $3.7 million and $3.6 million for fiscal years ending September 2024,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1"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pPr>
      <w:r>
        <w:rPr>
          <w:rFonts w:ascii="Arial Narrow;sans-serif" w:hAnsi="Arial Narrow;sans-serif"/>
          <w:b w:val="false"/>
          <w:color w:val="000000"/>
          <w:sz w:val="20"/>
        </w:rPr>
        <w:t xml:space="preserve">Lease expense is recognized on a straight-line basis over the lease term with variable lease expense recognized in the period in which the costs are incurred. The components of lease expense are included in “Store expenses” and “General and administrative” expense, based on the underlying lease use. Cash paid for operating leases was $79.7 million, $76.7 million and $72.3 million for the fiscal years ended September 30, 2024, 2023 and 2022, respectively. Cash paid for principal and interest on finance leases was $0.5 million and $0.2 million respectively, for the fiscal year ended September 30, 2024, and $0.3 million and $0.1 million, respectively, for the fiscal year ended September 30, 2023. There was no cash paid for finance leases for the fiscal year ended September 30, </w:t>
      </w:r>
      <w:r>
        <w:rPr>
          <w:rFonts w:ascii="Arial Narrow;sans-serif" w:hAnsi="Arial Narrow;sans-serif"/>
          <w:b w:val="false"/>
          <w:color w:val="000000"/>
          <w:sz w:val="18"/>
        </w:rPr>
        <w:t>2022</w:t>
      </w:r>
      <w:r>
        <w:rPr>
          <w:rFonts w:ascii="Arial Narrow;sans-serif" w:hAnsi="Arial Narrow;sans-serif"/>
          <w:b w:val="false"/>
          <w:color w:val="000000"/>
          <w:sz w:val="2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term and discount rates for leases are as follows:</w:t>
      </w:r>
    </w:p>
    <w:tbl>
      <w:tblPr>
        <w:tblW w:w="5727" w:type="dxa"/>
        <w:jc w:val="left"/>
        <w:tblInd w:w="0" w:type="dxa"/>
        <w:tblLayout w:type="fixed"/>
        <w:tblCellMar>
          <w:top w:w="28" w:type="dxa"/>
          <w:left w:w="28" w:type="dxa"/>
          <w:bottom w:w="28" w:type="dxa"/>
          <w:right w:w="28" w:type="dxa"/>
        </w:tblCellMar>
      </w:tblPr>
      <w:tblGrid>
        <w:gridCol w:w="1129"/>
        <w:gridCol w:w="994"/>
        <w:gridCol w:w="996"/>
        <w:gridCol w:w="247"/>
        <w:gridCol w:w="249"/>
        <w:gridCol w:w="456"/>
        <w:gridCol w:w="206"/>
        <w:gridCol w:w="206"/>
        <w:gridCol w:w="206"/>
        <w:gridCol w:w="247"/>
        <w:gridCol w:w="249"/>
        <w:gridCol w:w="542"/>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9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maturities of lease liabilities under ASC 842 by fiscal year were as follows (in thousands):</w:t>
      </w:r>
    </w:p>
    <w:tbl>
      <w:tblPr>
        <w:tblW w:w="5770" w:type="dxa"/>
        <w:jc w:val="left"/>
        <w:tblInd w:w="0" w:type="dxa"/>
        <w:tblLayout w:type="fixed"/>
        <w:tblCellMar>
          <w:top w:w="28" w:type="dxa"/>
          <w:left w:w="28" w:type="dxa"/>
          <w:bottom w:w="28" w:type="dxa"/>
          <w:right w:w="28" w:type="dxa"/>
        </w:tblCellMar>
      </w:tblPr>
      <w:tblGrid>
        <w:gridCol w:w="1007"/>
        <w:gridCol w:w="888"/>
        <w:gridCol w:w="894"/>
        <w:gridCol w:w="252"/>
        <w:gridCol w:w="901"/>
        <w:gridCol w:w="152"/>
        <w:gridCol w:w="109"/>
        <w:gridCol w:w="109"/>
        <w:gridCol w:w="109"/>
        <w:gridCol w:w="293"/>
        <w:gridCol w:w="804"/>
        <w:gridCol w:w="252"/>
      </w:tblGrid>
      <w:tr>
        <w:trPr/>
        <w:tc>
          <w:tcPr>
            <w:tcW w:w="10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2025</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75,923 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716 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291,424 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239,614 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1,680 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 term net lease liabilities</w:t>
            </w:r>
          </w:p>
        </w:tc>
        <w:tc>
          <w:tcPr>
            <w:tcW w:w="2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1,110 </w:t>
            </w:r>
          </w:p>
        </w:tc>
        <w:tc>
          <w:tcPr>
            <w:tcW w:w="25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 from $2.5 million at lease inception to $3.9 million in the terminal year of the lease.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lease includes two five-year extension options at the end of the initial lease term. The estimated minimum future rental payments under the lease are approximately $15.4 million as of September 30, 2024. As of September 30, 2024, we have subleases in place for a portion of our corporate operating office lease for estimated minimum future sublease payments of approximately $5.1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fiscal 2023, we assessed the recoverability of the right-of-use asset for our corporate office, primarily due to the termination of a significant sublease. We determined the undiscounted cash flows of the relative corporate lease and sublease did not exceed the net book value of the right-of-use asset. We then determined the fair value of the corporate lease and sublease did not exceed the book value of the right-of-use asset, and an impairment charge of $4.3 million was recorded in fiscal 2023 to “Impairment of other assets” in the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our corporate office lease measured at fair value as a result of the aforementioned impairment charges aggregated by the level in the fair value hierarchy within which measurements fall on a non-recurring basis at September 30, 2023, and the related impairment charge recorded (in thousands):</w:t>
      </w:r>
    </w:p>
    <w:tbl>
      <w:tblPr>
        <w:tblW w:w="7151" w:type="dxa"/>
        <w:jc w:val="left"/>
        <w:tblInd w:w="0" w:type="dxa"/>
        <w:tblLayout w:type="fixed"/>
        <w:tblCellMar>
          <w:top w:w="28" w:type="dxa"/>
          <w:left w:w="28" w:type="dxa"/>
          <w:bottom w:w="28" w:type="dxa"/>
          <w:right w:w="28" w:type="dxa"/>
        </w:tblCellMar>
      </w:tblPr>
      <w:tblGrid>
        <w:gridCol w:w="406"/>
        <w:gridCol w:w="357"/>
        <w:gridCol w:w="361"/>
        <w:gridCol w:w="181"/>
        <w:gridCol w:w="406"/>
        <w:gridCol w:w="109"/>
        <w:gridCol w:w="109"/>
        <w:gridCol w:w="109"/>
        <w:gridCol w:w="109"/>
        <w:gridCol w:w="181"/>
        <w:gridCol w:w="406"/>
        <w:gridCol w:w="109"/>
        <w:gridCol w:w="109"/>
        <w:gridCol w:w="109"/>
        <w:gridCol w:w="109"/>
        <w:gridCol w:w="181"/>
        <w:gridCol w:w="496"/>
        <w:gridCol w:w="109"/>
        <w:gridCol w:w="109"/>
        <w:gridCol w:w="109"/>
        <w:gridCol w:w="109"/>
        <w:gridCol w:w="181"/>
        <w:gridCol w:w="496"/>
        <w:gridCol w:w="109"/>
        <w:gridCol w:w="109"/>
        <w:gridCol w:w="109"/>
        <w:gridCol w:w="109"/>
        <w:gridCol w:w="382"/>
        <w:gridCol w:w="1048"/>
        <w:gridCol w:w="325"/>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Fair Value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Year Ended 2023</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Impairment Charges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3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recorded $55.3 million, $66.5 million and 69.4 million in non-cash additions to our operating right-of-use assets and lease liabilities for the fiscal year ended September 30, 2024, 2023 and 2022, respectively. We recorded $0.2 million and $2.5 million in non-cash additions to our finance right-of-use assets and lease liabilities for the year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2"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CONTINGENCIES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12: SEGMENT INFORMATION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operations are primarily managed on a geographical basis and consist of three reportable segments. The factors for determining our reportable segments include the manner in which our chief operating decision maker (“CODM”) evaluates performance for purposes of allocating resources and assessing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U.S. Pawn — All pawn activities in the United States.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Latin America Pawn — All pawn activities in Mexico and other parts of Latin America.</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Other Investments — Primarily our equity interest in Cash Converters and our investment in and notes receivable from Founders.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are no inter-segment revenues presented below, and the amounts below were determined in accordance with the same accounting principles used in our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income (loss) before income taxes tables present revenue for each reportable segment, disaggregated revenue within our reportable segments and Corporate, segment profits and segment contribution.</w:t>
      </w:r>
    </w:p>
    <w:tbl>
      <w:tblPr>
        <w:tblW w:w="10205" w:type="dxa"/>
        <w:jc w:val="left"/>
        <w:tblInd w:w="0" w:type="dxa"/>
        <w:tblLayout w:type="fixed"/>
        <w:tblCellMar>
          <w:top w:w="28" w:type="dxa"/>
          <w:left w:w="28" w:type="dxa"/>
          <w:bottom w:w="28" w:type="dxa"/>
          <w:right w:w="28" w:type="dxa"/>
        </w:tblCellMar>
      </w:tblPr>
      <w:tblGrid>
        <w:gridCol w:w="893"/>
        <w:gridCol w:w="721"/>
        <w:gridCol w:w="693"/>
        <w:gridCol w:w="181"/>
        <w:gridCol w:w="646"/>
        <w:gridCol w:w="109"/>
        <w:gridCol w:w="109"/>
        <w:gridCol w:w="109"/>
        <w:gridCol w:w="109"/>
        <w:gridCol w:w="236"/>
        <w:gridCol w:w="844"/>
        <w:gridCol w:w="142"/>
        <w:gridCol w:w="109"/>
        <w:gridCol w:w="109"/>
        <w:gridCol w:w="109"/>
        <w:gridCol w:w="214"/>
        <w:gridCol w:w="587"/>
        <w:gridCol w:w="130"/>
        <w:gridCol w:w="109"/>
        <w:gridCol w:w="109"/>
        <w:gridCol w:w="109"/>
        <w:gridCol w:w="205"/>
        <w:gridCol w:w="733"/>
        <w:gridCol w:w="123"/>
        <w:gridCol w:w="109"/>
        <w:gridCol w:w="109"/>
        <w:gridCol w:w="109"/>
        <w:gridCol w:w="212"/>
        <w:gridCol w:w="701"/>
        <w:gridCol w:w="127"/>
        <w:gridCol w:w="109"/>
        <w:gridCol w:w="109"/>
        <w:gridCol w:w="109"/>
        <w:gridCol w:w="196"/>
        <w:gridCol w:w="701"/>
        <w:gridCol w:w="176"/>
      </w:tblGrid>
      <w:tr>
        <w:trPr/>
        <w:tc>
          <w:tcPr>
            <w:tcW w:w="89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2024</w:t>
            </w:r>
          </w:p>
        </w:tc>
      </w:tr>
      <w:tr>
        <w:trPr/>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836,083 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325,484 </w:t>
            </w:r>
          </w:p>
        </w:tc>
        <w:tc>
          <w:tcPr>
            <w:tcW w:w="1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138,509 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501,263 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180,975 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38,841 </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(95,973)</w:t>
            </w:r>
          </w:p>
        </w:tc>
        <w:tc>
          <w:tcPr>
            <w:tcW w:w="12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7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3"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4"/>
        <w:gridCol w:w="709"/>
        <w:gridCol w:w="683"/>
        <w:gridCol w:w="181"/>
        <w:gridCol w:w="646"/>
        <w:gridCol w:w="109"/>
        <w:gridCol w:w="109"/>
        <w:gridCol w:w="109"/>
        <w:gridCol w:w="109"/>
        <w:gridCol w:w="240"/>
        <w:gridCol w:w="858"/>
        <w:gridCol w:w="144"/>
        <w:gridCol w:w="109"/>
        <w:gridCol w:w="109"/>
        <w:gridCol w:w="109"/>
        <w:gridCol w:w="195"/>
        <w:gridCol w:w="617"/>
        <w:gridCol w:w="119"/>
        <w:gridCol w:w="109"/>
        <w:gridCol w:w="109"/>
        <w:gridCol w:w="109"/>
        <w:gridCol w:w="207"/>
        <w:gridCol w:w="739"/>
        <w:gridCol w:w="124"/>
        <w:gridCol w:w="109"/>
        <w:gridCol w:w="109"/>
        <w:gridCol w:w="109"/>
        <w:gridCol w:w="214"/>
        <w:gridCol w:w="710"/>
        <w:gridCol w:w="129"/>
        <w:gridCol w:w="109"/>
        <w:gridCol w:w="109"/>
        <w:gridCol w:w="109"/>
        <w:gridCol w:w="196"/>
        <w:gridCol w:w="701"/>
        <w:gridCol w:w="175"/>
      </w:tblGrid>
      <w:tr>
        <w:trPr/>
        <w:tc>
          <w:tcPr>
            <w:tcW w:w="87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2023</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287,065 </w:t>
            </w:r>
          </w:p>
        </w:tc>
        <w:tc>
          <w:tcPr>
            <w:tcW w:w="14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126,905 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456,338 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153,445 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31,658 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(26,935)</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(99,614)</w:t>
            </w:r>
          </w:p>
        </w:tc>
        <w:tc>
          <w:tcPr>
            <w:tcW w:w="12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7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860"/>
        <w:gridCol w:w="699"/>
        <w:gridCol w:w="676"/>
        <w:gridCol w:w="181"/>
        <w:gridCol w:w="646"/>
        <w:gridCol w:w="109"/>
        <w:gridCol w:w="109"/>
        <w:gridCol w:w="109"/>
        <w:gridCol w:w="109"/>
        <w:gridCol w:w="243"/>
        <w:gridCol w:w="868"/>
        <w:gridCol w:w="146"/>
        <w:gridCol w:w="109"/>
        <w:gridCol w:w="109"/>
        <w:gridCol w:w="109"/>
        <w:gridCol w:w="214"/>
        <w:gridCol w:w="587"/>
        <w:gridCol w:w="130"/>
        <w:gridCol w:w="109"/>
        <w:gridCol w:w="109"/>
        <w:gridCol w:w="109"/>
        <w:gridCol w:w="208"/>
        <w:gridCol w:w="744"/>
        <w:gridCol w:w="125"/>
        <w:gridCol w:w="109"/>
        <w:gridCol w:w="109"/>
        <w:gridCol w:w="109"/>
        <w:gridCol w:w="215"/>
        <w:gridCol w:w="717"/>
        <w:gridCol w:w="130"/>
        <w:gridCol w:w="109"/>
        <w:gridCol w:w="109"/>
        <w:gridCol w:w="109"/>
        <w:gridCol w:w="196"/>
        <w:gridCol w:w="701"/>
        <w:gridCol w:w="175"/>
      </w:tblGrid>
      <w:tr>
        <w:trPr/>
        <w:tc>
          <w:tcPr>
            <w:tcW w:w="8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 2022</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w:t>
              <w:br/>
              <w:t>Investments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320,865 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658,762 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227,352 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99,141 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329,382 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405,766 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122,270 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528,147 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357,417 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129,051 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24,054 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154,943 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154,943 </w:t>
            </w:r>
          </w:p>
        </w:tc>
        <w:tc>
          <w:tcPr>
            <w:tcW w:w="12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(87,230)</w:t>
            </w:r>
          </w:p>
        </w:tc>
        <w:tc>
          <w:tcPr>
            <w:tcW w:w="13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67,713 </w:t>
            </w:r>
          </w:p>
        </w:tc>
        <w:tc>
          <w:tcPr>
            <w:tcW w:w="17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4"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9279" w:type="dxa"/>
        <w:jc w:val="left"/>
        <w:tblInd w:w="0" w:type="dxa"/>
        <w:tblLayout w:type="fixed"/>
        <w:tblCellMar>
          <w:top w:w="28" w:type="dxa"/>
          <w:left w:w="28" w:type="dxa"/>
          <w:bottom w:w="28" w:type="dxa"/>
          <w:right w:w="28" w:type="dxa"/>
        </w:tblCellMar>
      </w:tblPr>
      <w:tblGrid>
        <w:gridCol w:w="895"/>
        <w:gridCol w:w="789"/>
        <w:gridCol w:w="791"/>
        <w:gridCol w:w="181"/>
        <w:gridCol w:w="646"/>
        <w:gridCol w:w="109"/>
        <w:gridCol w:w="109"/>
        <w:gridCol w:w="109"/>
        <w:gridCol w:w="109"/>
        <w:gridCol w:w="315"/>
        <w:gridCol w:w="995"/>
        <w:gridCol w:w="190"/>
        <w:gridCol w:w="109"/>
        <w:gridCol w:w="109"/>
        <w:gridCol w:w="109"/>
        <w:gridCol w:w="109"/>
        <w:gridCol w:w="109"/>
        <w:gridCol w:w="276"/>
        <w:gridCol w:w="621"/>
        <w:gridCol w:w="168"/>
        <w:gridCol w:w="109"/>
        <w:gridCol w:w="109"/>
        <w:gridCol w:w="109"/>
        <w:gridCol w:w="207"/>
        <w:gridCol w:w="464"/>
        <w:gridCol w:w="125"/>
        <w:gridCol w:w="109"/>
        <w:gridCol w:w="109"/>
        <w:gridCol w:w="109"/>
        <w:gridCol w:w="181"/>
        <w:gridCol w:w="64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Other</w:t>
            </w:r>
          </w:p>
          <w:p>
            <w:pPr>
              <w:pStyle w:val="TableContents"/>
              <w:bidi w:val="0"/>
              <w:spacing w:lineRule="auto" w:line="240" w:before="0" w:after="0"/>
              <w:jc w:val="center"/>
              <w:rPr/>
            </w:pPr>
            <w:r>
              <w:rPr>
                <w:rFonts w:ascii="Arial Narrow;sans-serif" w:hAnsi="Arial Narrow;sans-serif"/>
                <w:b/>
                <w:color w:val="000000"/>
                <w:sz w:val="18"/>
              </w:rPr>
              <w:t>Investments</w:t>
            </w:r>
            <w:r>
              <w:rPr>
                <w:rFonts w:ascii="Arial Narrow;sans-serif" w:hAnsi="Arial Narrow;sans-serif"/>
                <w:b/>
                <w:color w:val="000000"/>
                <w:sz w:val="12"/>
              </w:rPr>
              <w:t>(a</w:t>
            </w:r>
            <w:r>
              <w:rPr>
                <w:rFonts w:ascii="Arial Narrow;sans-serif" w:hAnsi="Arial Narrow;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311,824 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2023</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37,576 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313,164 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106,301 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 Narrow;sans-serif" w:hAnsi="Arial Narrow;sans-serif"/>
          <w:b w:val="false"/>
          <w:color w:val="000000"/>
          <w:sz w:val="10"/>
        </w:rPr>
        <w:t>(a)</w:t>
      </w:r>
      <w:r>
        <w:rPr>
          <w:color w:val="000000"/>
        </w:rPr>
        <w:t xml:space="preserve"> </w:t>
      </w:r>
      <w:r>
        <w:rPr>
          <w:rFonts w:ascii="Arial Narrow;sans-serif" w:hAnsi="Arial Narrow;sans-serif"/>
          <w:b w:val="false"/>
          <w:color w:val="000000"/>
          <w:sz w:val="16"/>
        </w:rPr>
        <w:t>Segment assets as of September 30, 2023 have been recast to conform to current year presentation as CCV no longer meets the 10 percent threshold to be considered its own segment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provide geographic information:</w:t>
      </w:r>
    </w:p>
    <w:tbl>
      <w:tblPr>
        <w:tblW w:w="5141" w:type="dxa"/>
        <w:jc w:val="left"/>
        <w:tblInd w:w="0" w:type="dxa"/>
        <w:tblLayout w:type="fixed"/>
        <w:tblCellMar>
          <w:top w:w="28" w:type="dxa"/>
          <w:left w:w="28" w:type="dxa"/>
          <w:bottom w:w="28" w:type="dxa"/>
          <w:right w:w="28" w:type="dxa"/>
        </w:tblCellMar>
      </w:tblPr>
      <w:tblGrid>
        <w:gridCol w:w="504"/>
        <w:gridCol w:w="444"/>
        <w:gridCol w:w="446"/>
        <w:gridCol w:w="181"/>
        <w:gridCol w:w="766"/>
        <w:gridCol w:w="109"/>
        <w:gridCol w:w="109"/>
        <w:gridCol w:w="109"/>
        <w:gridCol w:w="109"/>
        <w:gridCol w:w="181"/>
        <w:gridCol w:w="766"/>
        <w:gridCol w:w="109"/>
        <w:gridCol w:w="109"/>
        <w:gridCol w:w="109"/>
        <w:gridCol w:w="109"/>
        <w:gridCol w:w="181"/>
        <w:gridCol w:w="64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658,762 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Latin America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886,225 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261" w:type="dxa"/>
        <w:jc w:val="left"/>
        <w:tblInd w:w="0" w:type="dxa"/>
        <w:tblLayout w:type="fixed"/>
        <w:tblCellMar>
          <w:top w:w="28" w:type="dxa"/>
          <w:left w:w="28" w:type="dxa"/>
          <w:bottom w:w="28" w:type="dxa"/>
          <w:right w:w="28" w:type="dxa"/>
        </w:tblCellMar>
      </w:tblPr>
      <w:tblGrid>
        <w:gridCol w:w="705"/>
        <w:gridCol w:w="621"/>
        <w:gridCol w:w="623"/>
        <w:gridCol w:w="181"/>
        <w:gridCol w:w="571"/>
        <w:gridCol w:w="109"/>
        <w:gridCol w:w="109"/>
        <w:gridCol w:w="109"/>
        <w:gridCol w:w="109"/>
        <w:gridCol w:w="181"/>
        <w:gridCol w:w="571"/>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United States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Latin America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5"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13: SUPPLEMENTAL CONSOLIDATED FINANCIAL INFORMATION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on net amounts included in our Consolidated Balance Sheets:</w:t>
      </w:r>
    </w:p>
    <w:tbl>
      <w:tblPr>
        <w:tblW w:w="6324" w:type="dxa"/>
        <w:jc w:val="left"/>
        <w:tblInd w:w="0" w:type="dxa"/>
        <w:tblLayout w:type="fixed"/>
        <w:tblCellMar>
          <w:top w:w="28" w:type="dxa"/>
          <w:left w:w="28" w:type="dxa"/>
          <w:bottom w:w="28" w:type="dxa"/>
          <w:right w:w="28" w:type="dxa"/>
        </w:tblCellMar>
      </w:tblPr>
      <w:tblGrid>
        <w:gridCol w:w="1475"/>
        <w:gridCol w:w="1301"/>
        <w:gridCol w:w="1304"/>
        <w:gridCol w:w="181"/>
        <w:gridCol w:w="646"/>
        <w:gridCol w:w="109"/>
        <w:gridCol w:w="109"/>
        <w:gridCol w:w="109"/>
        <w:gridCol w:w="109"/>
        <w:gridCol w:w="181"/>
        <w:gridCol w:w="64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Accounts receivable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 payable, accrued expenses and other current liabilities</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81,605 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Unrecognized tax benefits,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10,502 </w:t>
            </w:r>
          </w:p>
        </w:tc>
        <w:tc>
          <w:tcPr>
            <w:tcW w:w="15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Valuation and Qualifying Accounts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on our valuation and qualifying accounts not disclosed elsewhere:</w:t>
      </w:r>
    </w:p>
    <w:tbl>
      <w:tblPr>
        <w:tblW w:w="10205" w:type="dxa"/>
        <w:jc w:val="left"/>
        <w:tblInd w:w="0" w:type="dxa"/>
        <w:tblLayout w:type="fixed"/>
        <w:tblCellMar>
          <w:top w:w="28" w:type="dxa"/>
          <w:left w:w="28" w:type="dxa"/>
          <w:bottom w:w="28" w:type="dxa"/>
          <w:right w:w="28" w:type="dxa"/>
        </w:tblCellMar>
      </w:tblPr>
      <w:tblGrid>
        <w:gridCol w:w="1177"/>
        <w:gridCol w:w="1012"/>
        <w:gridCol w:w="1015"/>
        <w:gridCol w:w="406"/>
        <w:gridCol w:w="1283"/>
        <w:gridCol w:w="244"/>
        <w:gridCol w:w="109"/>
        <w:gridCol w:w="109"/>
        <w:gridCol w:w="109"/>
        <w:gridCol w:w="306"/>
        <w:gridCol w:w="841"/>
        <w:gridCol w:w="184"/>
        <w:gridCol w:w="109"/>
        <w:gridCol w:w="109"/>
        <w:gridCol w:w="109"/>
        <w:gridCol w:w="109"/>
        <w:gridCol w:w="109"/>
        <w:gridCol w:w="204"/>
        <w:gridCol w:w="559"/>
        <w:gridCol w:w="123"/>
        <w:gridCol w:w="109"/>
        <w:gridCol w:w="109"/>
        <w:gridCol w:w="109"/>
        <w:gridCol w:w="328"/>
        <w:gridCol w:w="1038"/>
        <w:gridCol w:w="286"/>
      </w:tblGrid>
      <w:tr>
        <w:trPr/>
        <w:tc>
          <w:tcPr>
            <w:tcW w:w="117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979" w:type="dxa"/>
            <w:gridSpan w:val="6"/>
            <w:tcBorders/>
          </w:tcPr>
          <w:p>
            <w:pPr>
              <w:pStyle w:val="TableContents"/>
              <w:bidi w:val="0"/>
              <w:spacing w:before="0" w:after="283"/>
              <w:jc w:val="left"/>
              <w:rPr>
                <w:sz w:val="4"/>
                <w:szCs w:val="4"/>
              </w:rPr>
            </w:pPr>
            <w:r>
              <w:rPr>
                <w:sz w:val="4"/>
                <w:szCs w:val="4"/>
              </w:rPr>
            </w:r>
          </w:p>
        </w:tc>
      </w:tr>
      <w:tr>
        <w:trPr/>
        <w:tc>
          <w:tcPr>
            <w:tcW w:w="3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Charged 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Balance at End of Period</w:t>
            </w:r>
          </w:p>
        </w:tc>
      </w:tr>
      <w:tr>
        <w:trPr/>
        <w:tc>
          <w:tcPr>
            <w:tcW w:w="3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valuation of inventory:</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2024</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2022</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2024</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2022</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valuation of deferred tax assets:</w:t>
            </w:r>
          </w:p>
        </w:tc>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2024</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2023</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Year Ended September 30, 2022</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6"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Consolidated Statements of Cash Flows information:</w:t>
      </w:r>
    </w:p>
    <w:tbl>
      <w:tblPr>
        <w:tblW w:w="6896" w:type="dxa"/>
        <w:jc w:val="left"/>
        <w:tblInd w:w="0" w:type="dxa"/>
        <w:tblLayout w:type="fixed"/>
        <w:tblCellMar>
          <w:top w:w="28" w:type="dxa"/>
          <w:left w:w="28" w:type="dxa"/>
          <w:bottom w:w="28" w:type="dxa"/>
          <w:right w:w="28" w:type="dxa"/>
        </w:tblCellMar>
      </w:tblPr>
      <w:tblGrid>
        <w:gridCol w:w="1226"/>
        <w:gridCol w:w="1080"/>
        <w:gridCol w:w="1083"/>
        <w:gridCol w:w="181"/>
        <w:gridCol w:w="646"/>
        <w:gridCol w:w="109"/>
        <w:gridCol w:w="109"/>
        <w:gridCol w:w="109"/>
        <w:gridCol w:w="109"/>
        <w:gridCol w:w="181"/>
        <w:gridCol w:w="646"/>
        <w:gridCol w:w="109"/>
        <w:gridCol w:w="109"/>
        <w:gridCol w:w="109"/>
        <w:gridCol w:w="109"/>
        <w:gridCol w:w="18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 Ended September 30,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period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during the period for income taxes, net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consideration for other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Transfer of equity consideration for acquisition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earn-out contingency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Convertible notes share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7"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 CHANGES IN AND DISAGREEMENTS WITH ACCOUNTANTS ON ACCOUNTING AND FINANCIAL DISCLOSURE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9A. CONTROLS AND PROCEDURES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2024. Based on that evaluation, our Chief Executive Officer and Chief Financial Officer concluded that our disclosure controls and procedures were effective as of September 30, 2024. We believe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Management’s Report on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2024 based on the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(COSO). Based on that assessment, our Chief Executive Officer and Chief Financial Officer concluded that our internal control over financial reporting was effective as of September 30,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internal control over financial reporting as of September 30, 2024 has been audited by our independent registered public accounting firm, as stated in their report appearing below.</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fiscal 2024, there were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8"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Inherent Limitations on Internal Controls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Judgments in decision-making can be faulty, and control and process breakdowns can occur because of simple errors or mistakes.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Controls can be circumvented by individuals, acting alone or in collusion with others, or by management override.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design of any system of controls is based in part on certain assumptions about the likelihood of future events, and there can be no assurance that any design will succeed in achieving its stated goals under all potential future conditions.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Over time, controls may become inadequate because of changes in conditions or deterioration in the degree of compliance with associated policies or procedures.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design of a control system must reflect the fact that resources are constrained, and the benefits of controls must be considered relative to their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9"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68" w:before="0" w:after="0"/>
        <w:jc w:val="left"/>
        <w:rPr>
          <w:rFonts w:ascii="Arial Narrow;sans-serif" w:hAnsi="Arial Narrow;sans-serif"/>
          <w:b/>
          <w:color w:val="000000"/>
          <w:sz w:val="20"/>
        </w:rPr>
      </w:pPr>
      <w:r>
        <w:rPr>
          <w:rFonts w:ascii="Arial Narrow;sans-serif" w:hAnsi="Arial Narrow;sans-serif"/>
          <w:b/>
          <w:color w:val="000000"/>
          <w:sz w:val="20"/>
        </w:rPr>
        <w:t xml:space="preserve">Report of Independent Registered Public Accounting Firm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Shareholders and Board of Directors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68" w:before="0" w:after="0"/>
        <w:jc w:val="left"/>
        <w:rPr/>
      </w:pPr>
      <w:r>
        <w:rPr>
          <w:rFonts w:ascii="Arial Narrow;sans-serif" w:hAnsi="Arial Narrow;sans-serif"/>
          <w:b w:val="false"/>
          <w:color w:val="000000"/>
          <w:sz w:val="20"/>
        </w:rPr>
        <w:t xml:space="preserve">We have audited EZCORP, Inc.’s (the “Company’s”) internal control over financial reporting as of September 30, 2024,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(the “COSO criteria”). In our opinion, the Company maintained, in all material respects, effective internal control over financial reporting as of September 30, 2024, based on the COSO criteria</w:t>
      </w:r>
      <w:r>
        <w:rPr>
          <w:rFonts w:ascii="Arial Narrow;sans-serif" w:hAnsi="Arial Narrow;sans-serif"/>
          <w:b w:val="false"/>
          <w:i/>
          <w:color w:val="000000"/>
          <w:sz w:val="20"/>
        </w:rPr>
        <w:t xml:space="preserve">. </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also have audited, in accordance with the standards of the Public Company Accounting Oversight Board (United States) (“PCAOB”), the consolidated balance sheets of the Company as of September 30, 2024 and 2023, the related consolidated statements of operations, comprehensive income, stockholders’ equity, and cash flows for each of the three years in the period ended September 30, 2024, and the related notes and our report dated November 13, 2024 expressed an unqualified opinion thereon.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Definition and Limitations of Internal Control over Financial Reporting</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80" w:after="283"/>
        <w:jc w:val="both"/>
        <w:rPr/>
      </w:pPr>
      <w:r>
        <w:rPr/>
      </w:r>
    </w:p>
    <w:p>
      <w:pPr>
        <w:pStyle w:val="TextBody"/>
        <w:bidi w:val="0"/>
        <w:spacing w:lineRule="auto" w:line="288" w:before="180" w:after="283"/>
        <w:jc w:val="both"/>
        <w:rPr>
          <w:rFonts w:ascii="Arial Narrow;sans-serif" w:hAnsi="Arial Narrow;sans-serif"/>
          <w:b w:val="false"/>
          <w:i/>
          <w:color w:val="000000"/>
          <w:sz w:val="20"/>
        </w:rPr>
      </w:pPr>
      <w:r>
        <w:rPr>
          <w:rFonts w:ascii="Arial Narrow;sans-serif" w:hAnsi="Arial Narrow;sans-serif"/>
          <w:b w:val="false"/>
          <w:i/>
          <w:color w:val="000000"/>
          <w:sz w:val="20"/>
        </w:rPr>
        <w:t>/s/ BDO USA, P.C.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Dallas, Texas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0"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9B. OTHER INFORMATION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director or executive officer adopted, modified or terminated any contract, instruction, written plan or other trading arrangement relating to the purchase or sale of Company securities during the fourth quarter of fiscal 2024.</w:t>
      </w: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9C. DISCLOSURE REGARDING FOREIGN JURISDICTIONS THAT PREVENT INSPECTIONS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1"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10. DIRECTORS, EXECUTIVE OFFICERS AND CORPORATE GOVERNANCE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Board of Directors</w:t>
      </w:r>
    </w:p>
    <w:p>
      <w:pPr>
        <w:pStyle w:val="TextBody"/>
        <w:bidi w:val="0"/>
        <w:spacing w:lineRule="auto" w:line="288" w:before="18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Set forth below are the names of the persons who, as of November 1, 2024, constituted our Board of Directors and their ages and committee assignments as of that date:</w:t>
      </w:r>
    </w:p>
    <w:tbl>
      <w:tblPr>
        <w:tblW w:w="9684" w:type="dxa"/>
        <w:jc w:val="left"/>
        <w:tblInd w:w="0" w:type="dxa"/>
        <w:tblLayout w:type="fixed"/>
        <w:tblCellMar>
          <w:top w:w="28" w:type="dxa"/>
          <w:left w:w="28" w:type="dxa"/>
          <w:bottom w:w="28" w:type="dxa"/>
          <w:right w:w="28" w:type="dxa"/>
        </w:tblCellMar>
      </w:tblPr>
      <w:tblGrid>
        <w:gridCol w:w="1024"/>
        <w:gridCol w:w="898"/>
        <w:gridCol w:w="913"/>
        <w:gridCol w:w="109"/>
        <w:gridCol w:w="109"/>
        <w:gridCol w:w="109"/>
        <w:gridCol w:w="125"/>
        <w:gridCol w:w="125"/>
        <w:gridCol w:w="126"/>
        <w:gridCol w:w="109"/>
        <w:gridCol w:w="109"/>
        <w:gridCol w:w="109"/>
        <w:gridCol w:w="1699"/>
        <w:gridCol w:w="1699"/>
        <w:gridCol w:w="2421"/>
      </w:tblGrid>
      <w:tr>
        <w:trPr/>
        <w:tc>
          <w:tcPr>
            <w:tcW w:w="10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Committees</w:t>
            </w:r>
          </w:p>
        </w:tc>
      </w:tr>
      <w:tr>
        <w:trPr/>
        <w:tc>
          <w:tcPr>
            <w:tcW w:w="2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Nominating (Chair), Lead Independent Director</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Nominating</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Phillip E. Cohen (Executive Chairman)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Audit and Risk, People and Compensation (Chair), Nominating</w:t>
            </w:r>
          </w:p>
        </w:tc>
      </w:tr>
      <w:tr>
        <w:trPr/>
        <w:tc>
          <w:tcPr>
            <w:tcW w:w="283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Audit and Risk (Chair), People and Compensation, Nominating</w:t>
            </w:r>
          </w:p>
        </w:tc>
      </w:tr>
    </w:tbl>
    <w:p>
      <w:pPr>
        <w:pStyle w:val="TextBody"/>
        <w:bidi w:val="0"/>
        <w:spacing w:lineRule="auto" w:line="288" w:before="180" w:after="283"/>
        <w:jc w:val="left"/>
        <w:rPr/>
      </w:pPr>
      <w:r>
        <w:rPr>
          <w:rFonts w:ascii="Arial Narrow;sans-serif" w:hAnsi="Arial Narrow;sans-serif"/>
          <w:b w:val="false"/>
          <w:i/>
          <w:color w:val="000000"/>
          <w:sz w:val="20"/>
        </w:rPr>
        <w:t>Director Qualifications</w:t>
      </w:r>
      <w:r>
        <w:rPr>
          <w:color w:val="000000"/>
        </w:rPr>
        <w:t xml:space="preserve"> — </w:t>
      </w:r>
      <w:r>
        <w:rPr>
          <w:rFonts w:ascii="Arial Narrow;sans-serif" w:hAnsi="Arial Narrow;sans-serif"/>
          <w:b w:val="false"/>
          <w:color w:val="000000"/>
          <w:sz w:val="20"/>
        </w:rPr>
        <w:t>The Board believes that individuals who serve on the Board of Directors should have demonstrated notable or significant achievements in 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Leadership Experience</w:t>
      </w:r>
      <w:r>
        <w:rPr>
          <w:color w:val="000000"/>
        </w:rPr>
        <w:t xml:space="preserve"> — </w:t>
      </w:r>
      <w:r>
        <w:rPr>
          <w:rFonts w:ascii="Arial Narrow;sans-serif" w:hAnsi="Arial Narrow;sans-serif"/>
          <w:b w:val="false"/>
          <w:color w:val="000000"/>
          <w:sz w:val="20"/>
        </w:rPr>
        <w:t>Our directors should demonstrate extraordinary leadership qualities. Strong leaders bring vision, strategic agility, 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Finance Experience</w:t>
      </w:r>
      <w:r>
        <w:rPr>
          <w:color w:val="000000"/>
        </w:rPr>
        <w:t xml:space="preserve"> — </w:t>
      </w:r>
      <w:r>
        <w:rPr>
          <w:rFonts w:ascii="Arial Narrow;sans-serif" w:hAnsi="Arial Narrow;sans-serif"/>
          <w:b w:val="false"/>
          <w:color w:val="000000"/>
          <w:sz w:val="20"/>
        </w:rPr>
        <w:t>We believe that all directors should possess an understanding of finance and related reporting processes.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Strategically Relevant Experience</w:t>
      </w:r>
      <w:r>
        <w:rPr>
          <w:color w:val="000000"/>
        </w:rPr>
        <w:t xml:space="preserve"> — </w:t>
      </w:r>
      <w:r>
        <w:rPr>
          <w:rFonts w:ascii="Arial Narrow;sans-serif" w:hAnsi="Arial Narrow;sans-serif"/>
          <w:b w:val="false"/>
          <w:color w:val="000000"/>
          <w:sz w:val="20"/>
        </w:rPr>
        <w:t>Our directors should have business experience that is relevant to our strategic goals and objectives, including 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Government Experience</w:t>
      </w:r>
      <w:r>
        <w:rPr>
          <w:color w:val="000000"/>
        </w:rPr>
        <w:t xml:space="preserve"> — </w:t>
      </w:r>
      <w:r>
        <w:rPr>
          <w:rFonts w:ascii="Arial Narrow;sans-serif" w:hAnsi="Arial Narrow;sans-serif"/>
          <w:b w:val="false"/>
          <w:color w:val="000000"/>
          <w:sz w:val="20"/>
        </w:rPr>
        <w:t>Our business is subject to a variety of legislative and regulatory risks. Accordingly, we value experience in the legislative, judicial or regulatory branches of government or government relations.</w:t>
      </w:r>
    </w:p>
    <w:p>
      <w:pPr>
        <w:pStyle w:val="TextBody"/>
        <w:bidi w:val="0"/>
        <w:spacing w:lineRule="auto" w:line="288" w:before="180" w:after="283"/>
        <w:jc w:val="left"/>
        <w:rPr/>
      </w:pPr>
      <w:r>
        <w:rPr>
          <w:rFonts w:ascii="Arial Narrow;sans-serif" w:hAnsi="Arial Narrow;sans-serif"/>
          <w:b w:val="false"/>
          <w:i/>
          <w:color w:val="000000"/>
          <w:sz w:val="20"/>
        </w:rPr>
        <w:t>Board Diversity</w:t>
      </w:r>
      <w:r>
        <w:rPr>
          <w:color w:val="000000"/>
        </w:rPr>
        <w:t xml:space="preserve"> — </w:t>
      </w:r>
      <w:r>
        <w:rPr>
          <w:rFonts w:ascii="Arial Narrow;sans-serif" w:hAnsi="Arial Narrow;sans-serif"/>
          <w:b w:val="false"/>
          <w:color w:val="000000"/>
          <w:sz w:val="20"/>
        </w:rPr>
        <w:t>The following table summarizes the gender and demographic diversity of our Board of Directors:</w:t>
      </w:r>
    </w:p>
    <w:tbl>
      <w:tblPr>
        <w:tblW w:w="5246" w:type="dxa"/>
        <w:jc w:val="center"/>
        <w:tblInd w:w="0" w:type="dxa"/>
        <w:tblLayout w:type="fixed"/>
        <w:tblCellMar>
          <w:top w:w="28" w:type="dxa"/>
          <w:left w:w="28" w:type="dxa"/>
          <w:bottom w:w="28" w:type="dxa"/>
          <w:right w:w="28" w:type="dxa"/>
        </w:tblCellMar>
      </w:tblPr>
      <w:tblGrid>
        <w:gridCol w:w="732"/>
        <w:gridCol w:w="645"/>
        <w:gridCol w:w="648"/>
        <w:gridCol w:w="209"/>
        <w:gridCol w:w="209"/>
        <w:gridCol w:w="209"/>
        <w:gridCol w:w="209"/>
        <w:gridCol w:w="209"/>
        <w:gridCol w:w="209"/>
        <w:gridCol w:w="209"/>
        <w:gridCol w:w="209"/>
        <w:gridCol w:w="209"/>
        <w:gridCol w:w="209"/>
        <w:gridCol w:w="209"/>
        <w:gridCol w:w="209"/>
        <w:gridCol w:w="209"/>
        <w:gridCol w:w="209"/>
        <w:gridCol w:w="295"/>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524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Board Diversity Matrix (as of November 1, 2024)</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number of Directors</w:t>
            </w:r>
          </w:p>
        </w:tc>
        <w:tc>
          <w:tcPr>
            <w:tcW w:w="322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Female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Male</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Gender Identity</w:t>
            </w:r>
          </w:p>
        </w:tc>
        <w:tc>
          <w:tcPr>
            <w:tcW w:w="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86%</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Demographic Background:</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Asian</w:t>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Hispanic or Latinx</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White</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w:t>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2"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Biographical Information</w:t>
      </w:r>
      <w:r>
        <w:rPr>
          <w:color w:val="000000"/>
        </w:rPr>
        <w:t xml:space="preserve"> — </w:t>
      </w:r>
      <w:r>
        <w:rPr>
          <w:rFonts w:ascii="Arial Narrow;sans-serif" w:hAnsi="Arial Narrow;sans-serif"/>
          <w:b w:val="false"/>
          <w:color w:val="000000"/>
          <w:sz w:val="20"/>
        </w:rPr>
        <w:t>Set forth below is current biographical information about our directors, including the qualifications, experience and skills that make them suitable for service as a director.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Matthew W. Appel</w:t>
      </w:r>
      <w:r>
        <w:rPr>
          <w:color w:val="000000"/>
        </w:rPr>
        <w:t xml:space="preserve"> — </w:t>
      </w:r>
      <w:r>
        <w:rPr>
          <w:rFonts w:ascii="Arial Narrow;sans-serif" w:hAnsi="Arial Narrow;sans-serif"/>
          <w:b w:val="false"/>
          <w:color w:val="000000"/>
          <w:sz w:val="20"/>
        </w:rPr>
        <w:t>Mr. Appel joined EZCORP as a director in January 2015. He is the Lead Independent Director (and, as such, serves as Chair of the Nominating Committee) and is a member of the Audit and Risk Committee and the People and Compensation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He received an MBA in Accounting from the Rutgers University Graduate School of Business in 1977 and a Business Administration degree from Rutgers College in 1976. Mr. Appel is a Certified Public Accountant and a Certified Management Accountant.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Zena Srivatsa Arnold</w:t>
      </w:r>
      <w:r>
        <w:rPr>
          <w:color w:val="000000"/>
        </w:rPr>
        <w:t xml:space="preserve"> — </w:t>
      </w:r>
      <w:r>
        <w:rPr>
          <w:rFonts w:ascii="Arial Narrow;sans-serif" w:hAnsi="Arial Narrow;sans-serif"/>
          <w:b w:val="false"/>
          <w:color w:val="000000"/>
          <w:sz w:val="20"/>
        </w:rPr>
        <w:t>Ms. Arnold has been a director since May 2019. She is a member of the Audit and Risk Committee, the People and Compensation Committee and the Nominating Committee. Ms. Arnold has over 20 years of experience in marketing, brand management, strategy development and business operations. She serves as Chief Marketing Officer at Sephora, one of the world’s largest luxury cosmetic brands that is part of the Moet Hennessy Louis Vuitton conglomerate. Prior to joining Sephora in May 2023, she was Senior Vice President, Carbonated Soft Drinks, at PepsiCo., Inc., where she oversaw the brand and business for the Carbonated Soft Drink portfolio in North America, including some of the company’s largest brands such as Pepsi and Mountain Dew. Prior to joining PepsiCo in March 2022, she was the Chief Digital and Marketing Officer of Kimberly-Clark Corporation, a global personal care and consumer products company (April 2020 to March 2022), and spent six years with Google, serving as Global Head of Growth for Chromebook (May 2019 to March 2020);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Ms. Arnold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 Ms. Arnold also serves on the board of directors of Lancaster Colony Corporation (NASDAQ: LANC).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executive management experience; broad business and strategically relevant experience; experience in developing growth strategies.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Phillip E. Cohen</w:t>
      </w:r>
      <w:r>
        <w:rPr>
          <w:color w:val="000000"/>
        </w:rPr>
        <w:t xml:space="preserve"> — </w:t>
      </w:r>
      <w:r>
        <w:rPr>
          <w:rFonts w:ascii="Arial Narrow;sans-serif" w:hAnsi="Arial Narrow;sans-serif"/>
          <w:b w:val="false"/>
          <w:color w:val="000000"/>
          <w:sz w:val="20"/>
        </w:rPr>
        <w:t>Mr. Cohen has been a member of the Board of Directors and the Executive Chairman since September 2019. He has been an owner of, and advisor to, the Company for over 30 years. He acquired the Company in 1989 and took it public in 1991 with an initial public offering of Class A Non-Voting Common Stock. Mr. Cohen has 50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broad business and strategically relevant experience; retail management experience; financial experience; international experience and global perspective; industry knowledge; experience in developing growth strategies. Further, Mr. Cohen has deep knowledge of the Company and its opportunities and challenges spanning multiple economic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3"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Lachlan P. Given</w:t>
      </w:r>
      <w:r>
        <w:rPr>
          <w:color w:val="000000"/>
        </w:rPr>
        <w:t xml:space="preserve"> — </w:t>
      </w:r>
      <w:r>
        <w:rPr>
          <w:rFonts w:ascii="Arial Narrow;sans-serif" w:hAnsi="Arial Narrow;sans-serif"/>
          <w:b w:val="false"/>
          <w:color w:val="000000"/>
          <w:sz w:val="20"/>
        </w:rPr>
        <w:t xml:space="preserve">Mr. Given is our Chief Executive Officer and a director, having been appointed to that role, and elected to the </w:t>
        <w:br/>
        <w:t>Board of Directors, in March 2022, after serving as Co-Interim Chief Executive Officer since January 2022. From September 2020 to January 2022, he was Chief Strategy, M&amp;A and Funding Officer, with responsibility for overseeing the Company’s strategic planning; mergers, acquisitions and strategic investments; and capital market and institutional funding activities. From September 2019 to September 2020, he was the Chief M&amp;A and Strategic Funding Officer. He previously served on the Board of Directors from July 2014 to September 2019, holding the position of Non-Executive Chairman (July 2014 to August 2014), Executive Vice Chairman (August 2014 to February 2015) and Executive Chairman (February 2015 to September 2019). Before joining the Company as an executive, Mr. Given provided financial and advisory services to the Company through his own business and financial advisory firm and as a consultant to Madison Park LLC, which is wholly owned by Phillip E. Cohen, who is the beneficial owner of all of our Class B Voting Common Stock. Mr. Given is also a director of The Farm Journal Corporation, a 135+ year old pre-eminent U.S. agricultural media company; Senetas Corporation Limited (ASX: SEN), a developer and manufacturer of certified, defense-grade encryption solutions; CANSTAR Pty Ltd, an Australian financial services ratings and research firm; and Cash Converters International Limited (ASX: CCV). Mr. Given began his career working in the investment banking and equity capital markets divisions of Merrill Lynch in Hong Kong and Sydney, Australia, where he specialized in the origination and execution of a variety of M&amp;A, equity, equity-linked and fixed income transactions.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Jason A. Kulas</w:t>
      </w:r>
      <w:r>
        <w:rPr>
          <w:color w:val="000000"/>
        </w:rPr>
        <w:t xml:space="preserve"> — </w:t>
      </w:r>
      <w:r>
        <w:rPr>
          <w:rFonts w:ascii="Arial Narrow;sans-serif" w:hAnsi="Arial Narrow;sans-serif"/>
          <w:b w:val="false"/>
          <w:color w:val="000000"/>
          <w:sz w:val="20"/>
        </w:rPr>
        <w:t>Mr. Kulas is a member of the Board of Directors and holds the position of Vice Chairman and Chief Financial Officer of Exeter Finance LLC, a leading indirect auto finance company. He is a former EZCORP executive, having served as Chief Executive Officer from July 2020 to January 2022 when he left to join Exeter Finance, and President and Chief Financial Officer from February 2020 to July 2020. He first became associated with EZCORP in April 2019 when he was appointed as an independent member of the Board of Directors. While an independent director, he served on the Audit and Risk Committee and the Nominating Committee. Mr. Kulas resigned from the Board of Directors when he joined the Company as an executive in February 2020, and was reappointed to the Board in connection with his appointment as Chief Executive Officer. Prior to joining the Company as an executive, Mr. Kulas spent over 25 years in financial analysis, investment banking and executive-level finance and operations roles with a variety of companies, most recently Santander Consumer USA Inc., a NYSE-listed auto finance company, where he served as Chief Executive Officer and a director from 2015 to 2017, President from 2013 to 2015, Chief Financial Officer from 2007 to 2015 and a director from 2007 to 2012. Prior to joining Santander Consumer USA, Mr. Kulas was a Managing Director in Investment Banking with J.P. Morgan Chase &amp; Co. (1995 to 2007), where he managed JPMorgan’s South Region investment banking office. He has also served as an Adjunct Professor of Marketing at Texas Christian University (1997 to 1999); Securities Analyst at William C. Connor Foundation – TCU Educational Investment Fund (1994 to 1995); and an intern and Financial Analyst at Dun &amp; Bradstreet (1993 to 1995). Mr. Kulas received an MBA with a concentration in Finance and Marketing from Texas Christian University in 1995 and a Bachelor of Arts degree from Southern Methodist University in 1993. He formerly served as an advisor to Warburg Pincus International LLC. He has been involved in a variety of civic and philanthropic activities, including the Salesmanship Club of Dallas, Momentous Institute, Exchange Club of East Dallas, Dallas Citizens Council, Baylor Scott &amp; White Dallas Foundation and Art House Dallas.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Pablo Lagos Espinosa</w:t>
      </w:r>
      <w:r>
        <w:rPr>
          <w:color w:val="000000"/>
        </w:rPr>
        <w:t xml:space="preserve"> — </w:t>
      </w:r>
      <w:r>
        <w:rPr>
          <w:rFonts w:ascii="Arial Narrow;sans-serif" w:hAnsi="Arial Narrow;sans-serif"/>
          <w:b w:val="false"/>
          <w:color w:val="000000"/>
          <w:sz w:val="20"/>
        </w:rPr>
        <w:t>Mr. Lagos joined EZCORP as a director in October 2010. He is Chair of the People and Compensation Committee and a member of the Audit and Risk Committee and Nominating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of Casa del Parque, a privately held enterprise focused on developing senior living residences in Mexico. He is also a member of the Mexican Advisory Board for Niagara Waters, a leading manufacturer of bottled water in the U.S. and Mexico. He received a Bachelor of Science degree in Industrial &amp; Systems Engineering from Instituto Technológico de Monterrey, Master of Science degrees in Industrial Engineering and Operations Research and an MBA from Stanford University.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4"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Gary L. Tillett</w:t>
      </w:r>
      <w:r>
        <w:rPr>
          <w:color w:val="000000"/>
        </w:rPr>
        <w:t xml:space="preserve"> — </w:t>
      </w:r>
      <w:r>
        <w:rPr>
          <w:rFonts w:ascii="Arial Narrow;sans-serif" w:hAnsi="Arial Narrow;sans-serif"/>
          <w:b w:val="false"/>
          <w:color w:val="000000"/>
          <w:sz w:val="20"/>
        </w:rPr>
        <w:t>Mr. Tillett has been a director since April 2019 and serves as Chair of the Audit and Risk Committee and a member of the People and Compensation Committee and the Nominating Committee. He has more than 40 years of experience in public accounting and business 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then a publicly traded independent originator and servicer of residential mortgage loans. Walter Investment Management Corp. initiated Chapter 11 bankruptcy proceedings in November 2017 and successfully completed a financial restructuring plan in February 2018 and changed its name to Ditech Holding Corp. Mr. Tillett retired from his position in February 2018 after assisting with the development and execution of the financial restructuring plan. From January 2020 through June 2022, Mr. Tillett assisted a private mortgage servicing company in a financial consulting role. Mr. Tillett received an MBA from the Manchester Business School at the University of Manchester and a Bachelor of Science degree with an emphasis in Accounting from the University of Texas at Dallas. He is a Certified Public Accountant.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leadership, chief financial officer and executive management experience; broad business and strategically relevant experience; financial experience, including accounting, tax and financial reporting; personnel development.</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Executive Officers</w:t>
      </w:r>
    </w:p>
    <w:p>
      <w:pPr>
        <w:pStyle w:val="TextBody"/>
        <w:bidi w:val="0"/>
        <w:spacing w:lineRule="auto" w:line="288" w:before="180" w:after="283"/>
        <w:jc w:val="left"/>
        <w:rPr/>
      </w:pPr>
      <w:r>
        <w:rPr>
          <w:rFonts w:ascii="Arial Narrow;sans-serif" w:hAnsi="Arial Narrow;sans-serif"/>
          <w:b w:val="false"/>
          <w:color w:val="000000"/>
          <w:sz w:val="20"/>
        </w:rPr>
        <w:t xml:space="preserve">Set forth below are the name, age and position of each of the persons serving as our executive officers as </w:t>
      </w:r>
      <w:r>
        <w:rPr>
          <w:rFonts w:ascii="Arial Narrow;sans-serif" w:hAnsi="Arial Narrow;sans-serif"/>
          <w:b w:val="false"/>
          <w:color w:val="000000"/>
          <w:sz w:val="20"/>
          <w:shd w:fill="FFFFFF" w:val="clear"/>
        </w:rPr>
        <w:t>of November 1, 2024:</w:t>
      </w:r>
    </w:p>
    <w:tbl>
      <w:tblPr>
        <w:tblW w:w="5785" w:type="dxa"/>
        <w:jc w:val="left"/>
        <w:tblInd w:w="0" w:type="dxa"/>
        <w:tblLayout w:type="fixed"/>
        <w:tblCellMar>
          <w:top w:w="28" w:type="dxa"/>
          <w:left w:w="28" w:type="dxa"/>
          <w:bottom w:w="28" w:type="dxa"/>
          <w:right w:w="28" w:type="dxa"/>
        </w:tblCellMar>
      </w:tblPr>
      <w:tblGrid>
        <w:gridCol w:w="579"/>
        <w:gridCol w:w="507"/>
        <w:gridCol w:w="519"/>
        <w:gridCol w:w="109"/>
        <w:gridCol w:w="109"/>
        <w:gridCol w:w="109"/>
        <w:gridCol w:w="125"/>
        <w:gridCol w:w="125"/>
        <w:gridCol w:w="126"/>
        <w:gridCol w:w="109"/>
        <w:gridCol w:w="109"/>
        <w:gridCol w:w="109"/>
        <w:gridCol w:w="919"/>
        <w:gridCol w:w="919"/>
        <w:gridCol w:w="1312"/>
      </w:tblGrid>
      <w:tr>
        <w:trPr/>
        <w:tc>
          <w:tcPr>
            <w:tcW w:w="57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Title</w:t>
            </w:r>
          </w:p>
        </w:tc>
      </w:tr>
      <w:tr>
        <w:trPr/>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Ellen Bryant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Legal Officer and Secretary</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Keith Robertson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Information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Sunil Sajnani</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Audit and Loss Prevention Executive</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Nicole Swies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Revenue Officer</w:t>
            </w:r>
          </w:p>
        </w:tc>
      </w:tr>
      <w:tr>
        <w:trPr/>
        <w:tc>
          <w:tcPr>
            <w:tcW w:w="160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Human Resources Officer</w:t>
            </w:r>
          </w:p>
        </w:tc>
      </w:tr>
    </w:tbl>
    <w:p>
      <w:pPr>
        <w:pStyle w:val="TextBody"/>
        <w:bidi w:val="0"/>
        <w:spacing w:lineRule="auto" w:line="276" w:before="120" w:after="283"/>
        <w:jc w:val="left"/>
        <w:rPr>
          <w:rFonts w:ascii="Arial Narrow;sans-serif" w:hAnsi="Arial Narrow;sans-serif"/>
          <w:b w:val="false"/>
          <w:color w:val="000000"/>
          <w:sz w:val="20"/>
        </w:rPr>
      </w:pPr>
      <w:r>
        <w:rPr>
          <w:rFonts w:ascii="Arial Narrow;sans-serif" w:hAnsi="Arial Narrow;sans-serif"/>
          <w:b w:val="false"/>
          <w:color w:val="000000"/>
          <w:sz w:val="20"/>
        </w:rPr>
        <w:t>Set forth below is current biographical information about our executive officers, except for Mr. Cohen and Mr. Given, whose biographical information is included under “Board of Directors” above.</w:t>
      </w:r>
    </w:p>
    <w:p>
      <w:pPr>
        <w:pStyle w:val="TextBody"/>
        <w:bidi w:val="0"/>
        <w:spacing w:lineRule="auto" w:line="288" w:before="180" w:after="283"/>
        <w:jc w:val="left"/>
        <w:rPr/>
      </w:pPr>
      <w:r>
        <w:rPr>
          <w:rFonts w:ascii="Arial Narrow;sans-serif" w:hAnsi="Arial Narrow;sans-serif"/>
          <w:b w:val="false"/>
          <w:i/>
          <w:color w:val="000000"/>
          <w:sz w:val="20"/>
        </w:rPr>
        <w:t>Ellen Bryant</w:t>
      </w:r>
      <w:r>
        <w:rPr>
          <w:color w:val="000000"/>
        </w:rPr>
        <w:t xml:space="preserve"> — </w:t>
      </w:r>
      <w:r>
        <w:rPr>
          <w:rFonts w:ascii="Arial Narrow;sans-serif" w:hAnsi="Arial Narrow;sans-serif"/>
          <w:b w:val="false"/>
          <w:color w:val="000000"/>
          <w:sz w:val="20"/>
        </w:rPr>
        <w:t>Ms. Bryant serves as Chief Legal Officer and Secretary, having been promoted to that position in January 2023 after having served as Vice President and Deputy General Counsel. Ms. Bryant joined the Company in January 2004 as Associate General Counsel and has held legal roles of increasing responsibility through August 2015, when she was promoted to Deputy General Counsel. During her tenure with the Company, Ms. Bryant has been primarily responsible for legal support of the Company’s pawn segments, with experience in the U.S. and Mexico, mergers and acquisitions, financial services, compliance and general corporate matters. Prior to joining the Company, Ms. Bryant was a Staff Attorney with the Texas Automobile Dealers Association. She received a Bachelor of Arts degree from the University of Texas at Austin and a J.D. degree from the University of Houston Law Center and has been a member of the Texas State Bar since November 1998.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5"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 xml:space="preserve">Timothy K. Jugmans </w:t>
      </w:r>
      <w:r>
        <w:rPr>
          <w:color w:val="000000"/>
        </w:rPr>
        <w:t xml:space="preserve">— </w:t>
      </w:r>
      <w:r>
        <w:rPr>
          <w:rFonts w:ascii="Arial Narrow;sans-serif" w:hAnsi="Arial Narrow;sans-serif"/>
          <w:b w:val="false"/>
          <w:color w:val="000000"/>
          <w:sz w:val="20"/>
        </w:rPr>
        <w:t xml:space="preserve">Mr. Jugmans serves as Chief Financial Officer, having been appointed to that role in </w:t>
      </w:r>
      <w:r>
        <w:rPr>
          <w:rFonts w:ascii="Arial Narrow;sans-serif" w:hAnsi="Arial Narrow;sans-serif"/>
          <w:b w:val="false"/>
          <w:color w:val="000000"/>
          <w:sz w:val="20"/>
          <w:shd w:fill="FFFFFF" w:val="clear"/>
        </w:rPr>
        <w:t xml:space="preserve">May 2021. He </w:t>
      </w:r>
      <w:r>
        <w:rPr>
          <w:rFonts w:ascii="Arial Narrow;sans-serif" w:hAnsi="Arial Narrow;sans-serif"/>
          <w:b w:val="false"/>
          <w:color w:val="000000"/>
          <w:sz w:val="20"/>
        </w:rPr>
        <w:t>served as Interim Chief Financial Officer from September 2020 to May 2021. Prior to that, he served as Vice President, Treasury and M&amp;A since December 2016 and as a consultant to EZCORP performing similar duties since March 2015. From January 2015 to December 2016, Mr. Jugmans was a principal of Selene Partners Inc., a financial consulting firm providing strategic advice and other business services to a variety of clients, including the Company and Morgan Schiff &amp; Co., Inc. He served as the Chief Financial Officer of Morgan Schiff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received a Bachelor of Business degree with a major in Finance and a minor in Mathematics from the University of Technology in Sydney. He serves as non-executive Chairman of the Board of Cash Converters International Limited (ASX:CCV), having been appointed to that position in April 2022. From April 2015 to April 2021, he served as a non-executive board member and Chairman of Ratecity Pty Ltd., which operates one of Australia’s leading financial comparison sites.</w:t>
      </w:r>
    </w:p>
    <w:p>
      <w:pPr>
        <w:pStyle w:val="TextBody"/>
        <w:bidi w:val="0"/>
        <w:spacing w:lineRule="auto" w:line="288" w:before="180" w:after="283"/>
        <w:jc w:val="left"/>
        <w:rPr/>
      </w:pPr>
      <w:r>
        <w:rPr>
          <w:rFonts w:ascii="Arial Narrow;sans-serif" w:hAnsi="Arial Narrow;sans-serif"/>
          <w:b w:val="false"/>
          <w:i/>
          <w:color w:val="000000"/>
          <w:sz w:val="20"/>
        </w:rPr>
        <w:t>John Blair Powell, Jr.</w:t>
      </w:r>
      <w:r>
        <w:rPr>
          <w:color w:val="000000"/>
        </w:rPr>
        <w:t xml:space="preserve"> — </w:t>
      </w:r>
      <w:r>
        <w:rPr>
          <w:rFonts w:ascii="Arial Narrow;sans-serif" w:hAnsi="Arial Narrow;sans-serif"/>
          <w:b w:val="false"/>
          <w:color w:val="000000"/>
          <w:sz w:val="20"/>
        </w:rPr>
        <w:t xml:space="preserve">Mr. Powell serves as Chief Operating Officer and has responsibility for store-level operations for all of the Company’s locations worldwide. He joined EZCORP in 1989 as a pawnbroker in Houston, Texas, and during his 30+-year tenure at EZCORP, has held all field level positions, from store level to multi-unit management positions, including Regional Director of Operations. He moved into Operations at the Corporate Support Center in 2000 and was our top Operations Administration executive for the 13 years, most recently serving as Chief Customer Service Officer for Global Pawn. Mr. Powell was named President, US Pawn in September 2020 and was promoted to President, Global Pawn in October 2021. He served as Co-Interim Chief Executive Officer from January 2022 to March 2022, when he was appointed Chief Operating Officer. </w:t>
      </w:r>
    </w:p>
    <w:p>
      <w:pPr>
        <w:pStyle w:val="TextBody"/>
        <w:bidi w:val="0"/>
        <w:spacing w:lineRule="auto" w:line="288" w:before="180" w:after="283"/>
        <w:jc w:val="left"/>
        <w:rPr/>
      </w:pPr>
      <w:r>
        <w:rPr>
          <w:rFonts w:ascii="Arial Narrow;sans-serif" w:hAnsi="Arial Narrow;sans-serif"/>
          <w:b w:val="false"/>
          <w:i/>
          <w:color w:val="000000"/>
          <w:sz w:val="20"/>
        </w:rPr>
        <w:t xml:space="preserve">Keith Robertson </w:t>
      </w:r>
      <w:r>
        <w:rPr>
          <w:color w:val="000000"/>
        </w:rPr>
        <w:t xml:space="preserve">— </w:t>
      </w:r>
      <w:r>
        <w:rPr>
          <w:rFonts w:ascii="Arial Narrow;sans-serif" w:hAnsi="Arial Narrow;sans-serif"/>
          <w:b w:val="false"/>
          <w:color w:val="000000"/>
          <w:sz w:val="20"/>
        </w:rPr>
        <w:t xml:space="preserve">Mr. Robertson is our Chief Information Officer. He joined the Company in October 2018 as Senior Vice President, Global IT and New Ventures, and was promoted to his current position in November 2019. Prior to joining the Company, he spent seven years at AIG, working on a global transformation of the IT systems, facilities and workforce. From 1989 until 2011, Mr. Robertson worked at EDS/HP, last serving as the Chief Operating Officer for the Financial Services division, where he led IT programs supporting Bank of America, American Express, State Farm and others. Mr. Robertson grew up in Scotland and attended Heriot-Watt University in Edinburgh, where he graduated with an Honors degree in Electrical and Electronic Engineering. </w:t>
      </w:r>
    </w:p>
    <w:p>
      <w:pPr>
        <w:pStyle w:val="TextBody"/>
        <w:bidi w:val="0"/>
        <w:spacing w:lineRule="auto" w:line="288" w:before="180" w:after="283"/>
        <w:jc w:val="left"/>
        <w:rPr/>
      </w:pPr>
      <w:r>
        <w:rPr>
          <w:rFonts w:ascii="Arial Narrow;sans-serif" w:hAnsi="Arial Narrow;sans-serif"/>
          <w:b w:val="false"/>
          <w:i/>
          <w:color w:val="000000"/>
          <w:sz w:val="20"/>
        </w:rPr>
        <w:t xml:space="preserve">Sunil Sajnani </w:t>
      </w:r>
      <w:r>
        <w:rPr>
          <w:color w:val="000000"/>
        </w:rPr>
        <w:t xml:space="preserve">— </w:t>
      </w:r>
      <w:r>
        <w:rPr>
          <w:rFonts w:ascii="Arial Narrow;sans-serif" w:hAnsi="Arial Narrow;sans-serif"/>
          <w:b w:val="false"/>
          <w:color w:val="000000"/>
          <w:sz w:val="20"/>
        </w:rPr>
        <w:t>Mr. Sajnani joined the Company in April 2020 and serves as Chief Audit and Loss Prevention Executive. Prior to joining the Company, he spent six years at Santander Consumer USA in multiple leadership roles, initially as Chief Audit Executive and most recently as Executive Vice President, Head of Digital, Direct to Consumer and Service for Others. Prior to Santander Consumer, Mr. Sajnani held a variety of management positions at Conn’s, Inc., most recently serving as the Head of Internal Audit, Enterprise Risk Management and Regulatory Compliance. He began his career with PricewaterhouseCoopers in Transaction Advisory Services, mainly serving large banks and specialty finance institutions. Mr. Sajnani received a bachelor’s degree in Financial Economics from the University of Michigan at Ann Arbor and a master’s degree in accounting from Eastern Michigan University. He is a Certified Public Accountant and a Certified Regulatory Compliance Manager.</w:t>
      </w:r>
    </w:p>
    <w:p>
      <w:pPr>
        <w:pStyle w:val="TextBody"/>
        <w:bidi w:val="0"/>
        <w:spacing w:lineRule="auto" w:line="288" w:before="180" w:after="283"/>
        <w:jc w:val="left"/>
        <w:rPr/>
      </w:pPr>
      <w:r>
        <w:rPr>
          <w:rFonts w:ascii="Arial Narrow;sans-serif" w:hAnsi="Arial Narrow;sans-serif"/>
          <w:b w:val="false"/>
          <w:i/>
          <w:color w:val="000000"/>
          <w:sz w:val="20"/>
        </w:rPr>
        <w:t xml:space="preserve">Nicole Swies — </w:t>
      </w:r>
      <w:r>
        <w:rPr>
          <w:rFonts w:ascii="Arial Narrow;sans-serif" w:hAnsi="Arial Narrow;sans-serif"/>
          <w:b w:val="false"/>
          <w:color w:val="000000"/>
          <w:sz w:val="20"/>
        </w:rPr>
        <w:t xml:space="preserve">Ms. Swies is our Chief Revenue Officer, responsible for global operations administration and earning assets. Ms. Swies joined EZCORP in November 2002 as a Financial Analyst and has worked in various finance and analytics positions primarily supporting operations in the U.S. and Latin America pawn segments and the legacy Financial Services businesses. She served as Chief Revenue and Operations Officer, with additional responsibility for digital initiatives and marketing, from September 2020 to March 2022, when her title was changed to Chief Revenue Officer. Ms. Swies is a member of the Community Advisory Council for the Ronald McDonald House Charities of Central Texas and serves on the finance committee of ConnectHer, a global non-profit organization dedicated to improving the lives of women and girls through projects, stories and film. She earned her Bachelor of Business Administration in finance from the University of Texas at Austin. </w:t>
      </w:r>
    </w:p>
    <w:p>
      <w:pPr>
        <w:pStyle w:val="TextBody"/>
        <w:bidi w:val="0"/>
        <w:spacing w:lineRule="auto" w:line="288" w:before="180" w:after="283"/>
        <w:jc w:val="left"/>
        <w:rPr/>
      </w:pPr>
      <w:r>
        <w:rPr>
          <w:rFonts w:ascii="Arial Narrow;sans-serif" w:hAnsi="Arial Narrow;sans-serif"/>
          <w:b w:val="false"/>
          <w:i/>
          <w:color w:val="000000"/>
          <w:sz w:val="20"/>
        </w:rPr>
        <w:t xml:space="preserve">Lisa VanRoekel </w:t>
      </w:r>
      <w:r>
        <w:rPr>
          <w:color w:val="000000"/>
        </w:rPr>
        <w:t xml:space="preserve">— </w:t>
      </w:r>
      <w:r>
        <w:rPr>
          <w:rFonts w:ascii="Arial Narrow;sans-serif" w:hAnsi="Arial Narrow;sans-serif"/>
          <w:b w:val="false"/>
          <w:color w:val="000000"/>
          <w:sz w:val="20"/>
        </w:rPr>
        <w:t>Ms. VanRoekel is the Chief Human Resources Officer, having joined the Company in January 2021. In March 2022, she was assigned the additional responsibility of overseeing the Company’s Real Estate and Facilities team. Prior to joining the Company, Ms. VanRoekel spent 19 years in expanding roles with Grupo Santander, one of the world’s largest international banks serving over 100 million customers with 187,000 employees. As an expert leading cultural change and innovative large-scale organizational transformation, Ms. VanRoekel led the Human Resources functions at Santander Digital (USA, Spain and UK), Santander Consumer USA and Santander Bank, N.A. Her most recent role with Grupo Santander was Group Vice President: Human Resources at Santander Digital, where she was responsible for successfully building digital and innovation talent across the U.S., Europe and Latin America. Prior to joining Grupo Santander, she was Director of Human Resources at Allied Riser Communications. Ms. VanRoekel holds B.S. and M.S. degrees in Journalism from Texas A &amp; M Commerce (formerly East Texas State University).</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Section 16(a) Beneficial Ownership Reporting Compliance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Based on written representations and a review of the relevant Forms 3, 4 and 5, during fiscal 2024 all persons subject to Section 16 of the Securities Exchange Act of 1934 with respect to EZCORP timely filed all reports required by Section 16(a) of the Securities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6"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Code of Conduct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will post any waivers of the Code of Conduct, or amendments thereto, that are applicable to our Chief Executive Officer, Chief Financial Officer or Chief Accounting Officer in the Investor Relations section of our website at www.ezcorp.com. To date, there have been no such waivers.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Insider Trading Policy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an insider trading policy addressing the purchase, sale and other disposition of the Company’s securities by its officers, directors and employees that is reasonably designed to promote compliance with U.S. federal insider trading laws, rules and regulations and the Nasdaq Listing Rules. That policy is filed as an exhibit to this report.</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Governance</w:t>
      </w:r>
    </w:p>
    <w:p>
      <w:pPr>
        <w:pStyle w:val="TextBody"/>
        <w:bidi w:val="0"/>
        <w:spacing w:lineRule="auto" w:line="288" w:before="180" w:after="283"/>
        <w:jc w:val="left"/>
        <w:rPr/>
      </w:pPr>
      <w:r>
        <w:rPr>
          <w:rFonts w:ascii="Arial Narrow;sans-serif" w:hAnsi="Arial Narrow;sans-serif"/>
          <w:b w:val="false"/>
          <w:i/>
          <w:color w:val="000000"/>
          <w:sz w:val="20"/>
        </w:rPr>
        <w:t xml:space="preserve">Controlled Company Exemptions </w:t>
      </w:r>
      <w:r>
        <w:rPr>
          <w:color w:val="000000"/>
        </w:rPr>
        <w:t xml:space="preserve">— </w:t>
      </w:r>
      <w:r>
        <w:rPr>
          <w:rFonts w:ascii="Arial Narrow;sans-serif" w:hAnsi="Arial Narrow;sans-serif"/>
          <w:b w:val="false"/>
          <w:color w:val="000000"/>
          <w:sz w:val="20"/>
        </w:rPr>
        <w:t>The Nasdaq Listing Rules contain several corporate governance requirements for Nasdaq-listed companies. These requirements generally relate to the composition of the board and its committees. For example, the rules require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 majority of the directors must be independent (Rule 5605(b)(1));</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audit committee must have at least three members, each of whom must be independent (Rule 5605(c)(2));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Executive officer compensation must be determined, or recommended to the board of directors for determination, by either (1) a majority of the independent directors or (2) a compensation committee comprised solely of independent directors (Rule 5605(d));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Director nominations must be selected, or recommended for the board’s selection, by either (1) a majority of the independent directors or (2) a nominations committee comprised solely of independent directors (Rule 5605(e)).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relied on the Controlled Company exemptions in the past, but is not currently relying on such exemptions. The controlling shareholder or the Board may implement changes in the future that would again require the Company to rely on the Controlled Company exemptions under the Nasdaq Listing Rules.</w:t>
      </w:r>
    </w:p>
    <w:p>
      <w:pPr>
        <w:pStyle w:val="TextBody"/>
        <w:bidi w:val="0"/>
        <w:spacing w:lineRule="auto" w:line="288" w:before="180" w:after="283"/>
        <w:jc w:val="left"/>
        <w:rPr/>
      </w:pPr>
      <w:r>
        <w:rPr>
          <w:rFonts w:ascii="Arial Narrow;sans-serif" w:hAnsi="Arial Narrow;sans-serif"/>
          <w:b w:val="false"/>
          <w:i/>
          <w:color w:val="000000"/>
          <w:sz w:val="20"/>
        </w:rPr>
        <w:t xml:space="preserve">Committees of the Board of Directors — </w:t>
      </w:r>
      <w:r>
        <w:rPr>
          <w:rFonts w:ascii="Arial Narrow;sans-serif" w:hAnsi="Arial Narrow;sans-serif"/>
          <w:b w:val="false"/>
          <w:color w:val="000000"/>
          <w:sz w:val="20"/>
        </w:rPr>
        <w:t>The Board of Directors maintains the following committees to assist it in its oversight responsibilities. The current membership of each committee is indicated in the list of directors set forth under “Board of Directors” above.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Audit and Risk Committee</w:t>
      </w:r>
      <w:r>
        <w:rPr>
          <w:color w:val="000000"/>
        </w:rPr>
        <w:t xml:space="preserve"> — </w:t>
      </w:r>
      <w:r>
        <w:rPr>
          <w:rFonts w:ascii="Arial Narrow;sans-serif" w:hAnsi="Arial Narrow;sans-serif"/>
          <w:b w:val="false"/>
          <w:color w:val="000000"/>
          <w:sz w:val="20"/>
        </w:rPr>
        <w:t>The Audit and Risk Committee assists the Board in fulfilling its responsibility to provide oversight with respect to our financial statements and reports and other disclosures provided to stockholders, the system of internal controls, the audit process and legal and ethical compliance. Its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and appraising our financial reporting activities and the accounting standards and principles followed. The Audit and Risk Committee also selects, engages, compensates and oversees our independent auditor and pre-approves all services to be performed by the independent auditing firm.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7"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Audit and Risk Committee has further responsibility for overseeing our risk management and compliance processes. In carrying out that responsibility, the Audit and Risk Committee ensures that adequate policies and procedures have been designed and implemented to (a) manage and monitor significant risks the Company faces, including financial, operational, security, IT and cybersecurity, legal, compliance and regulatory risks; and (b) assure compliance with all applicable laws and regulations, including data privacy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Audit and Risk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and Risk Committee member meets the Nasdaq “financial literacy” requirement and that Mr. Tillett, Chair of the committee, and Mr. Appel are “financial experts” within the meaning of the current rules of the SEC.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People and Compensation Committee — </w:t>
      </w:r>
      <w:r>
        <w:rPr>
          <w:rFonts w:ascii="Arial Narrow;sans-serif" w:hAnsi="Arial Narrow;sans-serif"/>
          <w:b w:val="false"/>
          <w:color w:val="000000"/>
          <w:sz w:val="20"/>
        </w:rPr>
        <w:t>The People and Compensation Committee has the primary responsibility of reviewing, analyzing and (as appropriate) approving, on behalf of the Board, executive compensation and organizational development matters and otherwise assisting the Board in its overall responsibility to enable the Company to attract, retain, develop and motivate qualified executives and employees who will contribute to our long-term success. Specific responsibilities and duties include assisting management and the Board in identifying, developing and evaluating potential candidates for senior executive positions; overseeing the development of succession plans for senior executive positions; reviewing and approving (or recommending, as appropriate) amounts and types of compensation to be paid to our executive officers; reviewing and recommending to the full Board the amount and type of compensation to be paid to our non-employee directors; reviewing and recommending to the full Board all equity compensation to be paid to our Team Members (including the executive officers); and advising management with respect to the quality of the workforce to carry out our strategic goals. The People and Compensation Committee is comprised entirely of directors who satisfy the standards of independence described under “Part III, Item 13 — Certain Relationships and Related Transactions, and Director Independence — Director Independence.”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Nominating Committee — </w:t>
      </w:r>
      <w:r>
        <w:rPr>
          <w:rFonts w:ascii="Arial Narrow;sans-serif" w:hAnsi="Arial Narrow;sans-serif"/>
          <w:b w:val="false"/>
          <w:color w:val="000000"/>
          <w:sz w:val="20"/>
        </w:rPr>
        <w:t>The Nominating Committee assists the Board with respect to the selection and nomination of candidates for election or 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 — Director Independence.”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Each of the three standing committees is governed by a written charter, a copy of which can be found in the Investor Relations section of our website at www.ezcorp.com.</w:t>
      </w:r>
    </w:p>
    <w:p>
      <w:pPr>
        <w:pStyle w:val="TextBody"/>
        <w:bidi w:val="0"/>
        <w:spacing w:lineRule="auto" w:line="288" w:before="180" w:after="283"/>
        <w:jc w:val="left"/>
        <w:rPr/>
      </w:pPr>
      <w:r>
        <w:rPr>
          <w:rFonts w:ascii="Arial Narrow;sans-serif" w:hAnsi="Arial Narrow;sans-serif"/>
          <w:b w:val="false"/>
          <w:i/>
          <w:color w:val="000000"/>
          <w:sz w:val="20"/>
        </w:rPr>
        <w:t>Meetings and Attendance</w:t>
      </w:r>
      <w:r>
        <w:rPr>
          <w:color w:val="000000"/>
        </w:rPr>
        <w:t xml:space="preserve"> — </w:t>
      </w:r>
      <w:r>
        <w:rPr>
          <w:rFonts w:ascii="Arial Narrow;sans-serif" w:hAnsi="Arial Narrow;sans-serif"/>
          <w:b w:val="false"/>
          <w:color w:val="000000"/>
          <w:sz w:val="20"/>
        </w:rPr>
        <w:t>The following table sets forth the number of meetings held during fiscal 2024 by the Board of Directors and each committee thereof, as well as the number of times during the year that action was taken by unanimous written consent. Our bylaws currently require the unanimous attendance of all directors in order for a quorum to be present at a meeting of the Board of Directors. In addition to the number of official Board meetings noted below, the Board of Directors also held five other meetings that were not considered official meetings of the Board due to the absence of a quorum.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directors attended at least 75% of the meetings of the Board and of the committees on which they served.</w:t>
      </w:r>
    </w:p>
    <w:tbl>
      <w:tblPr>
        <w:tblW w:w="7030" w:type="dxa"/>
        <w:jc w:val="left"/>
        <w:tblInd w:w="0" w:type="dxa"/>
        <w:tblLayout w:type="fixed"/>
        <w:tblCellMar>
          <w:top w:w="28" w:type="dxa"/>
          <w:left w:w="28" w:type="dxa"/>
          <w:bottom w:w="28" w:type="dxa"/>
          <w:right w:w="28" w:type="dxa"/>
        </w:tblCellMar>
      </w:tblPr>
      <w:tblGrid>
        <w:gridCol w:w="1024"/>
        <w:gridCol w:w="903"/>
        <w:gridCol w:w="907"/>
        <w:gridCol w:w="359"/>
        <w:gridCol w:w="359"/>
        <w:gridCol w:w="361"/>
        <w:gridCol w:w="109"/>
        <w:gridCol w:w="109"/>
        <w:gridCol w:w="109"/>
        <w:gridCol w:w="815"/>
        <w:gridCol w:w="815"/>
        <w:gridCol w:w="1160"/>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Fiscal 2024</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Meetings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Action by Unanimous Written Consent</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Board of Directors</w:t>
            </w:r>
          </w:p>
        </w:tc>
        <w:tc>
          <w:tcPr>
            <w:tcW w:w="10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Audit and Risk Committee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People and Compensation Committee</w:t>
            </w:r>
          </w:p>
        </w:tc>
        <w:tc>
          <w:tcPr>
            <w:tcW w:w="10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Nominating Committee</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during fiscal 2022, the Board of Directors formed and commissioned a “Share Buyback Committee,” consisting of Mr. Appel, Mr. Given, Mr. Kulas and Mr. Tillett, for the purpose of reviewing and approving the Company’s share repurchase plans. That committee met a total of four times during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8"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Compensation Discussion and Analysis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Compensation Discussion and Analysis describes our compensation practices and the executive compensation policies, decisions and actions of the People and Compensation Committee of our Board of Directors (the “Committee”). It focuses specifically on compensation earned during fiscal 2024 by the following individuals, referred to as our Named Executive Officers.</w:t>
      </w:r>
    </w:p>
    <w:tbl>
      <w:tblPr>
        <w:tblW w:w="4346" w:type="dxa"/>
        <w:jc w:val="left"/>
        <w:tblInd w:w="0" w:type="dxa"/>
        <w:tblLayout w:type="fixed"/>
        <w:tblCellMar>
          <w:top w:w="28" w:type="dxa"/>
          <w:left w:w="28" w:type="dxa"/>
          <w:bottom w:w="28" w:type="dxa"/>
          <w:right w:w="28" w:type="dxa"/>
        </w:tblCellMar>
      </w:tblPr>
      <w:tblGrid>
        <w:gridCol w:w="579"/>
        <w:gridCol w:w="508"/>
        <w:gridCol w:w="517"/>
        <w:gridCol w:w="109"/>
        <w:gridCol w:w="109"/>
        <w:gridCol w:w="109"/>
        <w:gridCol w:w="705"/>
        <w:gridCol w:w="705"/>
        <w:gridCol w:w="1005"/>
      </w:tblGrid>
      <w:tr>
        <w:trPr/>
        <w:tc>
          <w:tcPr>
            <w:tcW w:w="57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Position</w:t>
            </w:r>
          </w:p>
        </w:tc>
      </w:tr>
      <w:tr>
        <w:trPr/>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r>
      <w:tr>
        <w:trPr/>
        <w:tc>
          <w:tcPr>
            <w:tcW w:w="160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Human Resources Officer</w:t>
            </w:r>
          </w:p>
        </w:tc>
      </w:tr>
    </w:tbl>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Executive Compensation Philosophy and Program Design</w:t>
      </w:r>
    </w:p>
    <w:p>
      <w:pPr>
        <w:pStyle w:val="TextBody"/>
        <w:bidi w:val="0"/>
        <w:spacing w:lineRule="auto" w:line="288" w:before="180" w:after="283"/>
        <w:jc w:val="left"/>
        <w:rPr/>
      </w:pPr>
      <w:r>
        <w:rPr>
          <w:rFonts w:ascii="Arial Narrow;sans-serif" w:hAnsi="Arial Narrow;sans-serif"/>
          <w:b w:val="false"/>
          <w:i/>
          <w:color w:val="000000"/>
          <w:sz w:val="20"/>
        </w:rPr>
        <w:t xml:space="preserve">Philosophy and Goals </w:t>
      </w:r>
      <w:r>
        <w:rPr>
          <w:color w:val="000000"/>
        </w:rPr>
        <w:t xml:space="preserve">— </w:t>
      </w:r>
      <w:r>
        <w:rPr>
          <w:rFonts w:ascii="Arial Narrow;sans-serif" w:hAnsi="Arial Narrow;sans-serif"/>
          <w:b w:val="false"/>
          <w:color w:val="000000"/>
          <w:sz w:val="20"/>
        </w:rPr>
        <w:t>We have designed our executive compensation program to accomplish the following primary goals: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6"/>
        <w:gridCol w:w="707"/>
        <w:gridCol w:w="709"/>
        <w:gridCol w:w="1307"/>
        <w:gridCol w:w="1171"/>
        <w:gridCol w:w="1171"/>
        <w:gridCol w:w="1171"/>
        <w:gridCol w:w="1171"/>
        <w:gridCol w:w="17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20"/>
              </w:rPr>
            </w:pPr>
            <w:r>
              <w:rPr>
                <w:rFonts w:ascii="Arial Narrow;sans-serif" w:hAnsi="Arial Narrow;sans-serif"/>
                <w:b/>
                <w:color w:val="000000"/>
                <w:sz w:val="20"/>
              </w:rPr>
              <w:t>Attract and retain high performers</w:t>
            </w:r>
          </w:p>
        </w:tc>
        <w:tc>
          <w:tcPr>
            <w:tcW w:w="7691" w:type="dxa"/>
            <w:gridSpan w:val="6"/>
            <w:tcBorders>
              <w:top w:val="single" w:sz="8"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Compensation is competitive to attract and retain high performers</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When performance objectives are achieved, resulting pay is competitive with market</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When performance is outstanding and exceeds performance objectives, resulting pay is positioned above, and potentially near the top of, the market</w:t>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Pay for performance</w:t>
            </w:r>
          </w:p>
        </w:tc>
        <w:tc>
          <w:tcPr>
            <w:tcW w:w="769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The majority of compensation is performance-based (short-and long-term)</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These performance-based incentives are tied to the achievement of financial and strategic objectives, recognizing company-wide and individual performance</w:t>
            </w:r>
          </w:p>
        </w:tc>
      </w:tr>
      <w:tr>
        <w:trPr/>
        <w:tc>
          <w:tcPr>
            <w:tcW w:w="342"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Shareholder alignment</w:t>
            </w:r>
          </w:p>
        </w:tc>
        <w:tc>
          <w:tcPr>
            <w:tcW w:w="7691" w:type="dxa"/>
            <w:gridSpan w:val="6"/>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The value of equity awards is dependent on our stock performance and the achievement of objective financial goals</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Equity incentives will have the greatest weight in the mix of variable compensation for executives</w:t>
            </w:r>
          </w:p>
        </w:tc>
      </w:tr>
      <w:tr>
        <w:trPr/>
        <w:tc>
          <w:tcPr>
            <w:tcW w:w="342"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Long-term commitment</w:t>
            </w:r>
          </w:p>
        </w:tc>
        <w:tc>
          <w:tcPr>
            <w:tcW w:w="7691" w:type="dxa"/>
            <w:gridSpan w:val="6"/>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40" w:before="180" w:after="283"/>
              <w:ind w:left="0" w:right="0" w:hanging="180"/>
              <w:jc w:val="left"/>
              <w:rPr/>
            </w:pPr>
            <w:r>
              <w:rPr>
                <w:color w:val="000000"/>
              </w:rPr>
              <w:t>•</w:t>
            </w:r>
            <w:r>
              <w:rPr>
                <w:rFonts w:ascii="Arial Narrow;sans-serif" w:hAnsi="Arial Narrow;sans-serif"/>
                <w:b w:val="false"/>
                <w:color w:val="000000"/>
                <w:sz w:val="20"/>
              </w:rPr>
              <w:t>Equity incentive awards vest over multiple years to align executives with the investment horizon of long-term shareholders</w:t>
            </w:r>
          </w:p>
          <w:p>
            <w:pPr>
              <w:pStyle w:val="TableContents"/>
              <w:bidi w:val="0"/>
              <w:spacing w:lineRule="auto" w:line="240" w:before="120" w:after="283"/>
              <w:ind w:left="0" w:right="0" w:hanging="180"/>
              <w:jc w:val="left"/>
              <w:rPr/>
            </w:pPr>
            <w:r>
              <w:rPr>
                <w:color w:val="000000"/>
              </w:rPr>
              <w:t>•</w:t>
            </w:r>
            <w:r>
              <w:rPr>
                <w:rFonts w:ascii="Arial Narrow;sans-serif" w:hAnsi="Arial Narrow;sans-serif"/>
                <w:b w:val="false"/>
                <w:color w:val="000000"/>
                <w:sz w:val="20"/>
              </w:rPr>
              <w:t>After vesting, executives are subject to stock ownership requirements</w:t>
            </w:r>
          </w:p>
        </w:tc>
      </w:tr>
    </w:tbl>
    <w:p>
      <w:pPr>
        <w:pStyle w:val="TextBody"/>
        <w:bidi w:val="0"/>
        <w:spacing w:lineRule="auto" w:line="288" w:before="240" w:after="180"/>
        <w:jc w:val="left"/>
        <w:rPr>
          <w:rFonts w:ascii="Arial Narrow;sans-serif" w:hAnsi="Arial Narrow;sans-serif"/>
          <w:b w:val="false"/>
          <w:color w:val="000000"/>
          <w:sz w:val="20"/>
        </w:rPr>
      </w:pPr>
      <w:r>
        <w:rPr>
          <w:rFonts w:ascii="Arial Narrow;sans-serif" w:hAnsi="Arial Narrow;sans-serif"/>
          <w:b w:val="false"/>
          <w:color w:val="000000"/>
          <w:sz w:val="20"/>
        </w:rPr>
        <w:t>These principles are reflected in the following best-practice features of our executive compensation program:</w:t>
      </w:r>
    </w:p>
    <w:tbl>
      <w:tblPr>
        <w:tblW w:w="10205" w:type="dxa"/>
        <w:jc w:val="left"/>
        <w:tblInd w:w="0" w:type="dxa"/>
        <w:tblLayout w:type="fixed"/>
        <w:tblCellMar>
          <w:top w:w="28" w:type="dxa"/>
          <w:left w:w="28" w:type="dxa"/>
          <w:bottom w:w="28" w:type="dxa"/>
          <w:right w:w="28" w:type="dxa"/>
        </w:tblCellMar>
      </w:tblPr>
      <w:tblGrid>
        <w:gridCol w:w="174"/>
        <w:gridCol w:w="153"/>
        <w:gridCol w:w="153"/>
        <w:gridCol w:w="1608"/>
        <w:gridCol w:w="1608"/>
        <w:gridCol w:w="1611"/>
        <w:gridCol w:w="109"/>
        <w:gridCol w:w="109"/>
        <w:gridCol w:w="109"/>
        <w:gridCol w:w="213"/>
        <w:gridCol w:w="213"/>
        <w:gridCol w:w="213"/>
        <w:gridCol w:w="1150"/>
        <w:gridCol w:w="1150"/>
        <w:gridCol w:w="163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5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What We Don’t Do</w:t>
            </w:r>
          </w:p>
        </w:tc>
      </w:tr>
      <w:tr>
        <w:trPr/>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Emphasize performance-based variable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Generally, no single trigger change-in-control payments</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Link significant portion of equity incentive grants to performance goals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significant perquisites</w:t>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Require stock retention by executives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 hedging or pledging of Company stock</w:t>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Perform annual risk assessments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 an independent compensation consultant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Maintain an incentive clawback policy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89"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rPr>
        <w:t>Compensation Components</w:t>
      </w:r>
      <w:r>
        <w:rPr>
          <w:color w:val="000000"/>
        </w:rPr>
        <w:t xml:space="preserve"> — “</w:t>
      </w:r>
      <w:r>
        <w:rPr>
          <w:rFonts w:ascii="Arial Narrow;sans-serif" w:hAnsi="Arial Narrow;sans-serif"/>
          <w:b w:val="false"/>
          <w:color w:val="000000"/>
          <w:sz w:val="20"/>
        </w:rPr>
        <w:t>Total direct” compensation is composed of four principal components, each one contributing to the accomplishment of our compensation program goals:</w:t>
      </w:r>
    </w:p>
    <w:tbl>
      <w:tblPr>
        <w:tblW w:w="10205" w:type="dxa"/>
        <w:jc w:val="left"/>
        <w:tblInd w:w="0" w:type="dxa"/>
        <w:tblLayout w:type="fixed"/>
        <w:tblCellMar>
          <w:top w:w="28" w:type="dxa"/>
          <w:left w:w="28" w:type="dxa"/>
          <w:bottom w:w="28" w:type="dxa"/>
          <w:right w:w="28" w:type="dxa"/>
        </w:tblCellMar>
      </w:tblPr>
      <w:tblGrid>
        <w:gridCol w:w="511"/>
        <w:gridCol w:w="450"/>
        <w:gridCol w:w="452"/>
        <w:gridCol w:w="1431"/>
        <w:gridCol w:w="1431"/>
        <w:gridCol w:w="1445"/>
        <w:gridCol w:w="278"/>
        <w:gridCol w:w="278"/>
        <w:gridCol w:w="280"/>
        <w:gridCol w:w="382"/>
        <w:gridCol w:w="382"/>
        <w:gridCol w:w="384"/>
        <w:gridCol w:w="405"/>
        <w:gridCol w:w="405"/>
        <w:gridCol w:w="406"/>
        <w:gridCol w:w="373"/>
        <w:gridCol w:w="373"/>
        <w:gridCol w:w="539"/>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Compensation Component</w:t>
            </w:r>
          </w:p>
        </w:tc>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Description</w:t>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Attract and Retain</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Pay for Performance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Shareholder Alignment</w:t>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Long-term Commitment</w:t>
            </w:r>
          </w:p>
        </w:tc>
      </w:tr>
      <w:tr>
        <w:trPr/>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Base salary</w:t>
            </w:r>
          </w:p>
        </w:tc>
        <w:tc>
          <w:tcPr>
            <w:tcW w:w="4307"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A market-competitive salary to provide a fixed annual cash income</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Short-term incentives</w:t>
            </w:r>
          </w:p>
        </w:tc>
        <w:tc>
          <w:tcPr>
            <w:tcW w:w="4307"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Annual cash incentive opportunity tied to an assessment of annual corporate and business unit financial performance, as well as individual contributions</w:t>
            </w:r>
          </w:p>
        </w:tc>
        <w:tc>
          <w:tcPr>
            <w:tcW w:w="836"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color w:val="000000"/>
                <w:sz w:val="18"/>
              </w:rPr>
            </w:pPr>
            <w:r>
              <w:rPr>
                <w:rFonts w:ascii="Arial Narrow;sans-serif" w:hAnsi="Arial Narrow;sans-serif"/>
                <w:b/>
                <w:color w:val="000000"/>
                <w:sz w:val="18"/>
              </w:rPr>
              <w:t>Long-term incentives</w:t>
            </w:r>
          </w:p>
        </w:tc>
        <w:tc>
          <w:tcPr>
            <w:tcW w:w="4307"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Equity incentive grants with vesting tied to achievement of earnings-based goals and continued employment</w:t>
            </w:r>
          </w:p>
        </w:tc>
        <w:tc>
          <w:tcPr>
            <w:tcW w:w="83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r>
      <w:tr>
        <w:trPr/>
        <w:tc>
          <w:tcPr>
            <w:tcW w:w="1413"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0" w:after="0"/>
              <w:jc w:val="left"/>
              <w:rPr>
                <w:rFonts w:ascii="Arial Narrow;sans-serif" w:hAnsi="Arial Narrow;sans-serif"/>
                <w:b/>
                <w:color w:val="000000"/>
                <w:sz w:val="18"/>
              </w:rPr>
            </w:pPr>
            <w:r>
              <w:rPr>
                <w:rFonts w:ascii="Arial Narrow;sans-serif" w:hAnsi="Arial Narrow;sans-serif"/>
                <w:b/>
                <w:color w:val="000000"/>
                <w:sz w:val="18"/>
              </w:rPr>
              <w:t>Executive retirement</w:t>
            </w:r>
          </w:p>
          <w:p>
            <w:pPr>
              <w:pStyle w:val="TableContents"/>
              <w:bidi w:val="0"/>
              <w:spacing w:lineRule="auto" w:line="264" w:before="0" w:after="120"/>
              <w:jc w:val="left"/>
              <w:rPr>
                <w:rFonts w:ascii="Arial Narrow;sans-serif" w:hAnsi="Arial Narrow;sans-serif"/>
                <w:b/>
                <w:color w:val="000000"/>
                <w:sz w:val="18"/>
              </w:rPr>
            </w:pPr>
            <w:r>
              <w:rPr>
                <w:rFonts w:ascii="Arial Narrow;sans-serif" w:hAnsi="Arial Narrow;sans-serif"/>
                <w:b/>
                <w:color w:val="000000"/>
                <w:sz w:val="18"/>
              </w:rPr>
              <w:t>(US only)</w:t>
            </w:r>
          </w:p>
        </w:tc>
        <w:tc>
          <w:tcPr>
            <w:tcW w:w="43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left"/>
              <w:rPr>
                <w:rFonts w:ascii="Arial Narrow;sans-serif" w:hAnsi="Arial Narrow;sans-serif"/>
                <w:b w:val="false"/>
                <w:color w:val="000000"/>
                <w:sz w:val="18"/>
              </w:rPr>
            </w:pPr>
            <w:r>
              <w:rPr>
                <w:rFonts w:ascii="Arial Narrow;sans-serif" w:hAnsi="Arial Narrow;sans-serif"/>
                <w:b w:val="false"/>
                <w:color w:val="000000"/>
                <w:sz w:val="18"/>
              </w:rPr>
              <w:t xml:space="preserve">Annual retirement plan contributions that vest over three years </w:t>
            </w:r>
          </w:p>
        </w:tc>
        <w:tc>
          <w:tcPr>
            <w:tcW w:w="836"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c>
          <w:tcPr>
            <w:tcW w:w="1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64" w:before="120" w:after="120"/>
              <w:jc w:val="center"/>
              <w:rPr>
                <w:rFonts w:ascii="Wingdings;sans-serif" w:hAnsi="Wingdings;sans-serif"/>
                <w:b w:val="false"/>
                <w:color w:val="000000"/>
                <w:sz w:val="18"/>
              </w:rPr>
            </w:pPr>
            <w:r>
              <w:rPr>
                <w:rFonts w:ascii="Wingdings;sans-serif" w:hAnsi="Wingdings;sans-serif"/>
                <w:b w:val="false"/>
                <w:color w:val="000000"/>
                <w:sz w:val="18"/>
              </w:rPr>
              <w:t>ü</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reviews the executive pay mix on an annual basis. The Committee does not target a fixed percentage allocation among the compensation components, but rather aims to provide the majority of executive officer compensation opportunities in the form of at-risk incentive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Benchmarking and Peer Group Data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attract and retain the best executives for key management positions, we provide compensation opportunities that are competitive based on peer group and survey data. We do not target any specific pay percentile for our executive officers. It is important to note, however, that the majority of pay opportunities for our top executives are incentive-based and that actual realizable compensation is heavily dependent upon actual business results. See “Executive Compensation Philosophy and Program Design” above. Failure to achieve targeted results could result in realized compensation being below the competitive benchmarks. Conversely, our incentive compensation programs provide opportunities for compensation to exceed the competitive benchmarks if specified objectives are achieved at targeted levels or higher. The Committee believes that actual realizable compensation for our top executives is well aligned with our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Committee asks its independent compensation consultant to conduct an annual competitive compensation review to benchmark compensation for executive officers. Mercer (US) Inc. (“Mercer”), the Committee’s independent compensation consultant, delivered its Fiscal 2024 Executive Compensation Competitive Market Assessment (the “FY24 Mercer Executive Compensation Report”) to the Committee in August 2023 in connection with the Committee’s review and evaluation of the executive compensation program and pay levels for fiscal 2024. For that report, Mercer collected competitive pay data for a peer group of 14 publicly traded companies that were reviewed and approved by the Committee in May 2023.</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There is only one publicly traded company in the marketplace with which we directly compete, FirstCash Holdings, Inc. As a result, the Committee uses a set of similarly-sized companies from relevant industries that serve similar customer bases, </w:t>
      </w:r>
      <w:r>
        <w:rPr>
          <w:rFonts w:ascii="Arial Narrow;sans-serif" w:hAnsi="Arial Narrow;sans-serif"/>
          <w:b w:val="false"/>
          <w:color w:val="000000"/>
          <w:sz w:val="20"/>
        </w:rPr>
        <w:t>operate in the retail or consumer finance industries and typically have similar operating dynamics as the Company. The Committee believes this approach appropriately reflects the diverse labor market for executive talent in which we compete and presents a reasonable reference for evaluating the competitiveness of our executive compensation levels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0"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fiscal 2024 peer group consisted of the following companies:</w:t>
      </w:r>
    </w:p>
    <w:tbl>
      <w:tblPr>
        <w:tblW w:w="7282" w:type="dxa"/>
        <w:jc w:val="left"/>
        <w:tblInd w:w="0" w:type="dxa"/>
        <w:tblLayout w:type="fixed"/>
        <w:tblCellMar>
          <w:top w:w="28" w:type="dxa"/>
          <w:left w:w="28" w:type="dxa"/>
          <w:bottom w:w="28" w:type="dxa"/>
          <w:right w:w="28" w:type="dxa"/>
        </w:tblCellMar>
      </w:tblPr>
      <w:tblGrid>
        <w:gridCol w:w="738"/>
        <w:gridCol w:w="649"/>
        <w:gridCol w:w="653"/>
        <w:gridCol w:w="109"/>
        <w:gridCol w:w="109"/>
        <w:gridCol w:w="109"/>
        <w:gridCol w:w="344"/>
        <w:gridCol w:w="344"/>
        <w:gridCol w:w="346"/>
        <w:gridCol w:w="109"/>
        <w:gridCol w:w="109"/>
        <w:gridCol w:w="109"/>
        <w:gridCol w:w="1036"/>
        <w:gridCol w:w="1036"/>
        <w:gridCol w:w="1482"/>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Peer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Stock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Primary Business</w:t>
            </w:r>
          </w:p>
        </w:tc>
      </w:tr>
      <w:tr>
        <w:trPr/>
        <w:tc>
          <w:tcPr>
            <w:tcW w:w="2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The Aaron's Company, Inc.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AAN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Homefurnishing Retail </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Cato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Apparel Retail </w:t>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Conn's, Inc.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Computer and Electronics Retail</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CURO Group Holdings Corp.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Enova International, Inc.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ENVA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FirstCash Holdings,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FCFS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Consumer Finance — Pawn Operator</w:t>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Green Dot Corporation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GDOT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Finance</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LendingClub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LendingTree, Inc.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TREE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MoneyGram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MGI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Data Processing and Outsourced Services — Fintech</w:t>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Oportun Financial Corporation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OPRT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PRA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Regional Management Corp.</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RM</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r>
        <w:trPr/>
        <w:tc>
          <w:tcPr>
            <w:tcW w:w="204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World Acceptance Corporation</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WRLD</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Consumer Finance </w:t>
            </w:r>
          </w:p>
        </w:tc>
      </w:tr>
    </w:tbl>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In comparison to the peer group used in fiscal 2023, in fiscal 2024, two companies were removed and three were added. Atlanticus Holdings Corporation was removed due to its revenue size being outside the range of reasonable comparability, and Elevate Credit, Inc. was removed due to it no longer being public. The three companies added (Green Dot Corporation, LendingTree, Inc. and PRA Group Inc.) maintain focus on the Consumer Finance industry. When the peer group was approved by the Committee, Mercer noted that the Company was at the 38th percentile of the peer group in terms of revenue size and at the 49th percentile in terms of market capitalization.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To benchmark our executive compensation, Mercer used peer group data from the most recently available proxy filings (CEO and CFO positions and other executive positions where available) and its own executive compensation survey data (for all executive officer positions). Additional data from other published surveys was used as secondary reference points.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FY24 Mercer Executive Compensation Report contained the following general observations, which the Committee took into consideration in evaluating and approving executive compensation for fiscal 2024:</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Total cash compensation (at target levels) for our executive officers as a group approximates the 59th percentile, with seven of eight executive officers approximating or exceeding the 50th percentile.</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 xml:space="preserve">Long-term incentive compensation (at target levels) is less competitive at below the 25th percentile, with six of eight executive officers below the 50th percentile. </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As a whole, total direct compensation (cash compensation plus long-term incentive) for our executive officers is at the 45th percentile, with half of our executive officers approximating or exceeding the 50th percentile.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Compensation and Fiscal 2024 Executive Compensation 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executive compensation program consists of four main elements: base salaries, short-term cash incentive opportunities, long-term incentive opportunities (generally paid in the form of equity awards) and other benefits, including healthcare and retirement. Each of these components is discussed in more detail below, along with the compensation actions that were taken during fiscal 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Base Salary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primary objective with respect to base salary levels is to provide sufficient fixed cash income to attract and retain experienced leaders in a competitive market. The base salaries of our executive officers are reviewed and adjusted (if appropriate) annually to reflect, among other things, individual performance, review of market data, experience in role, macro-economic conditions and internal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1"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shows, for each Named Executive Officer, the base salaries that were in effect for fiscal 2024 and 2023:</w:t>
      </w:r>
    </w:p>
    <w:tbl>
      <w:tblPr>
        <w:tblW w:w="6937"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285"/>
        <w:gridCol w:w="1267"/>
        <w:gridCol w:w="158"/>
        <w:gridCol w:w="109"/>
        <w:gridCol w:w="109"/>
        <w:gridCol w:w="109"/>
        <w:gridCol w:w="285"/>
        <w:gridCol w:w="1267"/>
        <w:gridCol w:w="158"/>
        <w:gridCol w:w="109"/>
        <w:gridCol w:w="109"/>
        <w:gridCol w:w="109"/>
        <w:gridCol w:w="211"/>
        <w:gridCol w:w="211"/>
        <w:gridCol w:w="299"/>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Increase</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5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w:t>
            </w:r>
          </w:p>
        </w:tc>
      </w:tr>
    </w:tbl>
    <w:p>
      <w:pPr>
        <w:pStyle w:val="TextBody"/>
        <w:bidi w:val="0"/>
        <w:spacing w:lineRule="auto" w:line="288" w:before="180" w:after="283"/>
        <w:jc w:val="left"/>
        <w:rPr/>
      </w:pPr>
      <w:r>
        <w:rPr>
          <w:rFonts w:ascii="Arial Narrow;sans-serif" w:hAnsi="Arial Narrow;sans-serif"/>
          <w:b w:val="false"/>
          <w:color w:val="000000"/>
          <w:sz w:val="20"/>
        </w:rPr>
        <w:t>In October 2024, the Committee determined that the fiscal 2025 base salaries for the Named Executive Officers would be as follows: Mr,. Given, $750,000 (no increase); Mr. Jugmans, $500,000 (5.3% increase); Mr. Coh</w:t>
      </w:r>
      <w:r>
        <w:rPr>
          <w:rFonts w:ascii="Arial Narrow;sans-serif" w:hAnsi="Arial Narrow;sans-serif"/>
          <w:b w:val="false"/>
          <w:color w:val="000000"/>
          <w:sz w:val="20"/>
          <w:shd w:fill="FFFFFF" w:val="clear"/>
        </w:rPr>
        <w:t xml:space="preserve">en, $1,500,000 (no increase); </w:t>
      </w:r>
      <w:r>
        <w:rPr>
          <w:rFonts w:ascii="Arial Narrow;sans-serif" w:hAnsi="Arial Narrow;sans-serif"/>
          <w:b w:val="false"/>
          <w:color w:val="000000"/>
          <w:sz w:val="20"/>
        </w:rPr>
        <w:t xml:space="preserve">Mr. Powell, $600,000 (no increase); </w:t>
      </w:r>
      <w:r>
        <w:rPr>
          <w:rFonts w:ascii="Arial Narrow;sans-serif" w:hAnsi="Arial Narrow;sans-serif"/>
          <w:b w:val="false"/>
          <w:color w:val="000000"/>
          <w:sz w:val="20"/>
          <w:shd w:fill="FFFFFF" w:val="clear"/>
        </w:rPr>
        <w:t>and Ms. VanRoekel, $410,000 (no increase).</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Annual Short-Term Incentive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Our executive officers, as well as other key Team Members, are eligible to participate in our annual short-term incentive (“STI”) plan. The plan is designed to provide financial reward contingent on achievement of annual corporate and business unit financial results, as well as personal objectives tied to our strategic goals.</w:t>
      </w:r>
    </w:p>
    <w:p>
      <w:pPr>
        <w:pStyle w:val="TextBody"/>
        <w:bidi w:val="0"/>
        <w:spacing w:lineRule="auto" w:line="288" w:before="180" w:after="283"/>
        <w:jc w:val="left"/>
        <w:rPr/>
      </w:pPr>
      <w:r>
        <w:rPr>
          <w:rFonts w:ascii="Arial Narrow;sans-serif" w:hAnsi="Arial Narrow;sans-serif"/>
          <w:b w:val="false"/>
          <w:color w:val="000000"/>
          <w:sz w:val="20"/>
        </w:rPr>
        <w:t>The following is a summary of the terms of t</w:t>
      </w:r>
      <w:r>
        <w:rPr>
          <w:rFonts w:ascii="Arial Narrow;sans-serif" w:hAnsi="Arial Narrow;sans-serif"/>
          <w:b w:val="false"/>
          <w:color w:val="000000"/>
          <w:sz w:val="20"/>
          <w:shd w:fill="FFFFFF" w:val="clear"/>
        </w:rPr>
        <w:t>he fiscal 2024 STI plan, which th</w:t>
      </w:r>
      <w:r>
        <w:rPr>
          <w:rFonts w:ascii="Arial Narrow;sans-serif" w:hAnsi="Arial Narrow;sans-serif"/>
          <w:b w:val="false"/>
          <w:color w:val="000000"/>
          <w:sz w:val="20"/>
        </w:rPr>
        <w:t>e Committee approved in May 2023:</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fiscal 2024 STI plan provides cash bonus opportunities based on achievement of specified performance goals. The bonus opportunity for each participant was determined based on a designated target amount, a business performance modifier based on the achievement of specified EBITDA-based performance goals for the Company as a whole (consolidated) and each business unit, and an assessment of individual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Participants were assigned to one of two “STI Incentive Pools” — Consolidated Executive Officer and Consolidated — and the total target amount for each pool equaled the aggregate designated target amount for the participants in that pool. The Consolidated Pool also includes three sub-pools based on individual business unit performance.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plan was subject to a “Company Performance Gate,” such that no pool would be funded if the Company did not achieve the minimum level of Adjusted EBITDA required for a corporate-level payout.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If the Company Performance Gate was achieved, then each pool was funded in a range from 0% to 150% of the total target amount assigned to that pool, based on the level of achievement of the applicable performance goal for that pool.</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performance goal for both the Consolidated Executive Officer pool and the Consolidated pool was based on the consolidated Adjusted EBITDA shown in the Board-approved budget for fiscal 2024 (excluding any impact of our investment in Cash Converters). The threshold level for each pool (i.e. the performance needed to achieve 50% funding) was set at 85% of the designated performance goal for that pool, and the maximum level (i.e. the performance needed to achieve 150% funding) was set at 115% of the designated performance goal. The Company Performance Gate was set at 85% of the consolidated performance goal.</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The Committee retained discretionary authority to make adjustments to the reported EBITDA as it, in its sole discretion, determined to be necessary, appropriate or desirable to take into consideration special events or other circumstances reasonably beyond management’s control (referred to as “Adjusted EBITDA”).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Each participant’s bonus amount was funded out of their assigned pool based on an evaluation of their individual performance against objectives specified at the beginning of the year. For all participants other than the executive officers, the final bonus amounts were determined by management. For the executive officers (other than the CEO), the final bonus amounts were recommended by the CEO and approved by the Committee. The final bonus amount for the CEO was determined by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2"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120"/>
        <w:jc w:val="left"/>
        <w:rPr/>
      </w:pPr>
      <w:r>
        <w:rPr>
          <w:rFonts w:ascii="Arial Narrow;sans-serif" w:hAnsi="Arial Narrow;sans-serif"/>
          <w:b w:val="false"/>
          <w:color w:val="000000"/>
          <w:sz w:val="20"/>
          <w:shd w:fill="FFFFFF" w:val="clear"/>
        </w:rPr>
        <w:t>The following table sets forth the fiscal 2024 STI</w:t>
      </w:r>
      <w:r>
        <w:rPr>
          <w:color w:val="000000"/>
        </w:rPr>
        <w:t xml:space="preserve"> </w:t>
      </w:r>
      <w:r>
        <w:rPr>
          <w:rFonts w:ascii="Arial Narrow;sans-serif" w:hAnsi="Arial Narrow;sans-serif"/>
          <w:b w:val="false"/>
          <w:color w:val="000000"/>
          <w:sz w:val="20"/>
        </w:rPr>
        <w:t>target amount for each of the Named Executive Officers:</w:t>
      </w:r>
    </w:p>
    <w:tbl>
      <w:tblPr>
        <w:tblW w:w="7493"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370"/>
        <w:gridCol w:w="1644"/>
        <w:gridCol w:w="205"/>
        <w:gridCol w:w="109"/>
        <w:gridCol w:w="109"/>
        <w:gridCol w:w="109"/>
        <w:gridCol w:w="757"/>
        <w:gridCol w:w="757"/>
        <w:gridCol w:w="1081"/>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2024 STI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 Amount as % of Base Salary</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1,125,000 </w:t>
            </w:r>
          </w:p>
        </w:tc>
        <w:tc>
          <w:tcPr>
            <w:tcW w:w="2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20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60%</w:t>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Mr. Cohen, in his role as Executive Chairman, is not a participant in the STI plan, but is subject to a separate incentive opportunity specified in the terms of his employment. Pursuant to those terms, he had the opportunity to earn an incentive award of up to $1,750,000. See “Executive Chairman Incentive Award”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amount of each Named Executive Officer’s STI bonus opportunity at the Threshold, Target and Maximum levels is set forth in the “Grants of Plan-Based Awards” table under “Incentive Plan Based Awards” below. </w:t>
      </w:r>
    </w:p>
    <w:p>
      <w:pPr>
        <w:pStyle w:val="TextBody"/>
        <w:bidi w:val="0"/>
        <w:spacing w:lineRule="auto" w:line="288" w:before="180" w:after="283"/>
        <w:jc w:val="left"/>
        <w:rPr/>
      </w:pPr>
      <w:r>
        <w:rPr>
          <w:rFonts w:ascii="Arial Narrow;sans-serif" w:hAnsi="Arial Narrow;sans-serif"/>
          <w:b w:val="false"/>
          <w:color w:val="000000"/>
          <w:sz w:val="20"/>
          <w:shd w:fill="FFFFFF" w:val="clear"/>
        </w:rPr>
        <w:t>All of the Named Executive Officers were assigned to the Consolidated Executive Officer pool. During fis</w:t>
      </w:r>
      <w:r>
        <w:rPr>
          <w:rFonts w:ascii="Arial Narrow;sans-serif" w:hAnsi="Arial Narrow;sans-serif"/>
          <w:b w:val="false"/>
          <w:color w:val="000000"/>
          <w:sz w:val="20"/>
        </w:rPr>
        <w:t>cal 2024, th</w:t>
      </w:r>
      <w:r>
        <w:rPr>
          <w:rFonts w:ascii="Arial Narrow;sans-serif" w:hAnsi="Arial Narrow;sans-serif"/>
          <w:b w:val="false"/>
          <w:color w:val="000000"/>
          <w:sz w:val="20"/>
          <w:shd w:fill="FFFFFF" w:val="clear"/>
        </w:rPr>
        <w:t xml:space="preserve">e Company achieved </w:t>
      </w:r>
      <w:r>
        <w:rPr>
          <w:rFonts w:ascii="Arial Narrow;sans-serif" w:hAnsi="Arial Narrow;sans-serif"/>
          <w:b w:val="false"/>
          <w:color w:val="000000"/>
          <w:sz w:val="20"/>
        </w:rPr>
        <w:t>109% of the specified consolidated performance goal.</w:t>
      </w:r>
    </w:p>
    <w:p>
      <w:pPr>
        <w:pStyle w:val="TextBody"/>
        <w:bidi w:val="0"/>
        <w:spacing w:lineRule="auto" w:line="288" w:before="180" w:after="283"/>
        <w:jc w:val="left"/>
        <w:rPr/>
      </w:pPr>
      <w:r>
        <w:rPr>
          <w:rFonts w:ascii="Arial Narrow;sans-serif" w:hAnsi="Arial Narrow;sans-serif"/>
          <w:b w:val="false"/>
          <w:color w:val="000000"/>
          <w:sz w:val="20"/>
          <w:shd w:fill="FFFFFF" w:val="clear"/>
        </w:rPr>
        <w:t>In addition to the noted financial performance, management was successful in completing specific initiatives that were designed to drive progress across the key strategic focus areas for fis</w:t>
      </w:r>
      <w:r>
        <w:rPr>
          <w:rFonts w:ascii="Arial Narrow;sans-serif" w:hAnsi="Arial Narrow;sans-serif"/>
          <w:b w:val="false"/>
          <w:color w:val="000000"/>
          <w:sz w:val="20"/>
        </w:rPr>
        <w:t>cal 2024, w</w:t>
      </w:r>
      <w:r>
        <w:rPr>
          <w:rFonts w:ascii="Arial Narrow;sans-serif" w:hAnsi="Arial Narrow;sans-serif"/>
          <w:b w:val="false"/>
          <w:color w:val="000000"/>
          <w:sz w:val="20"/>
          <w:shd w:fill="FFFFFF" w:val="clear"/>
        </w:rPr>
        <w:t>hich included:</w:t>
      </w:r>
    </w:p>
    <w:p>
      <w:pPr>
        <w:pStyle w:val="TextBody"/>
        <w:bidi w:val="0"/>
        <w:spacing w:lineRule="auto" w:line="288" w:before="120" w:after="283"/>
        <w:ind w:left="0" w:right="0" w:hanging="360"/>
        <w:jc w:val="left"/>
        <w:rPr/>
      </w:pPr>
      <w:r>
        <w:rPr>
          <w:color w:val="000000"/>
          <w:shd w:fill="FFFFFF" w:val="clear"/>
        </w:rPr>
        <w:t>•</w:t>
      </w:r>
      <w:r>
        <w:rPr>
          <w:rFonts w:ascii="Arial Narrow;sans-serif" w:hAnsi="Arial Narrow;sans-serif"/>
          <w:b w:val="false"/>
          <w:color w:val="000000"/>
          <w:sz w:val="20"/>
        </w:rPr>
        <w:t>Strengthening our core pawn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Driving cost efficiency;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Improving our Team Member experience;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Improving and expanding our customer engagement through innovation and growth;</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Modernizing our IT and data management systems;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Enhancing and maintaining our culture of risk management and compliance;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Developing the foundations of a comprehensive and integrated sustainability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strategic focus areas provided the foundation for delivering strong financial performance through increased earnings and efficient balance sheet management.</w:t>
      </w:r>
    </w:p>
    <w:p>
      <w:pPr>
        <w:pStyle w:val="TextBody"/>
        <w:bidi w:val="0"/>
        <w:spacing w:lineRule="auto" w:line="288" w:before="180" w:after="283"/>
        <w:jc w:val="left"/>
        <w:rPr/>
      </w:pPr>
      <w:r>
        <w:rPr>
          <w:rFonts w:ascii="Arial Narrow;sans-serif" w:hAnsi="Arial Narrow;sans-serif"/>
          <w:b w:val="false"/>
          <w:color w:val="000000"/>
          <w:sz w:val="20"/>
          <w:shd w:fill="FFFFFF" w:val="clear"/>
        </w:rPr>
        <w:t>Following a consideration of all of these factors, the Committee approved a funding level o</w:t>
      </w:r>
      <w:r>
        <w:rPr>
          <w:rFonts w:ascii="Arial Narrow;sans-serif" w:hAnsi="Arial Narrow;sans-serif"/>
          <w:b w:val="false"/>
          <w:color w:val="000000"/>
          <w:sz w:val="20"/>
        </w:rPr>
        <w:t>f 127% f</w:t>
      </w:r>
      <w:r>
        <w:rPr>
          <w:rFonts w:ascii="Arial Narrow;sans-serif" w:hAnsi="Arial Narrow;sans-serif"/>
          <w:b w:val="false"/>
          <w:color w:val="000000"/>
          <w:sz w:val="20"/>
          <w:shd w:fill="FFFFFF" w:val="clear"/>
        </w:rPr>
        <w:t>or the Consolidated Executive Officer pool, which included all of the Named Executive Officers. The specific bonus amount approved for each Named Executive Officer is indicated in the “Non-Equity Incentive Plan Compensation” column in the Summary Compensation Table below. Those amounts were calculated as follows:</w:t>
      </w:r>
    </w:p>
    <w:tbl>
      <w:tblPr>
        <w:tblW w:w="7470"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197"/>
        <w:gridCol w:w="878"/>
        <w:gridCol w:w="109"/>
        <w:gridCol w:w="109"/>
        <w:gridCol w:w="109"/>
        <w:gridCol w:w="109"/>
        <w:gridCol w:w="196"/>
        <w:gridCol w:w="871"/>
        <w:gridCol w:w="109"/>
        <w:gridCol w:w="109"/>
        <w:gridCol w:w="109"/>
        <w:gridCol w:w="109"/>
        <w:gridCol w:w="649"/>
        <w:gridCol w:w="649"/>
        <w:gridCol w:w="652"/>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Target Amount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STI Payout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 of Target Awarded</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8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95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1,428,750 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127%</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127%</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762,000 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127%</w:t>
            </w:r>
          </w:p>
        </w:tc>
        <w:tc>
          <w:tcPr>
            <w:tcW w:w="154" w:type="dxa"/>
            <w:tcBorders/>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127%</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Mr. Cohen’s bonus payout was calculated as described below under “Executive Chairman Incentive Award.”</w:t>
      </w:r>
    </w:p>
    <w:p>
      <w:pPr>
        <w:pStyle w:val="TextBody"/>
        <w:bidi w:val="0"/>
        <w:spacing w:before="120" w:after="283"/>
        <w:ind w:left="0" w:right="0" w:hanging="36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2024, the Committee approved the STI plan for fiscal 2025. The fiscal 2025 STI plan contains the same design elements as the fiscal 2024 plan; however the individual business unit sub-pools were removed from the Consolidated Pool. For fiscal 2025, the Target Amounts for each of the Named Executive Officers will be as follows: Mr. Given, $1,125,000; Mr. Jugmans, $500,000; Mr. Powell, $600,000; and Ms. VanRoekel, $246,000.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Long-Term Incentives</w:t>
      </w:r>
    </w:p>
    <w:p>
      <w:pPr>
        <w:pStyle w:val="TextBody"/>
        <w:bidi w:val="0"/>
        <w:spacing w:lineRule="auto" w:line="288" w:before="180" w:after="283"/>
        <w:jc w:val="left"/>
        <w:rPr/>
      </w:pPr>
      <w:r>
        <w:rPr>
          <w:rFonts w:ascii="Arial Narrow;sans-serif" w:hAnsi="Arial Narrow;sans-serif"/>
          <w:b w:val="false"/>
          <w:i/>
          <w:color w:val="000000"/>
          <w:sz w:val="20"/>
        </w:rPr>
        <w:t>General</w:t>
      </w:r>
      <w:r>
        <w:rPr>
          <w:color w:val="000000"/>
        </w:rPr>
        <w:t xml:space="preserve"> — </w:t>
      </w:r>
      <w:r>
        <w:rPr>
          <w:rFonts w:ascii="Arial Narrow;sans-serif" w:hAnsi="Arial Narrow;sans-serif"/>
          <w:b w:val="false"/>
          <w:color w:val="000000"/>
          <w:sz w:val="20"/>
        </w:rPr>
        <w:t>Long-term incentive (“LTI”) compensation, in the form of equity awards, is a key component in our executive compensation program, helping to encourage long-term commitment, shareholder alignment and long-term performance orientation. The value of equity awards over time bears a direct relationship to the price of our stock and the gain or loss experienced by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3"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our executive officers are eligible to receive LTI awards. We structure our LTI compensation program to place greater emphasis on long-term performance that enhances stockholder value. Many of our peers have a significant time-based vesting component to their long-term awards, while 80% of our LTI awards are subject to performance-based vesting. To further emphasize the long-term nature of these awards, 100% of the LTI awards vest at the end of a three-year performance period, rather than a prorated vesting each year during the performance period. The Committee believes this structure incentivizes and rewards longer-term vision and strategies and provides a balance to our short-term programs, which are focused on annual performance.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are currently issuing LTI awards under the 2022 Long-Term Incentive Plan (the “2022 LTI Plan”). Under the terms of the 2022 LTI Plan, all awards must be approved by the full Board of Directors, following recommendation by the Committee.</w:t>
      </w:r>
    </w:p>
    <w:p>
      <w:pPr>
        <w:pStyle w:val="TextBody"/>
        <w:bidi w:val="0"/>
        <w:spacing w:lineRule="auto" w:line="288" w:before="180" w:after="283"/>
        <w:jc w:val="left"/>
        <w:rPr/>
      </w:pPr>
      <w:r>
        <w:rPr>
          <w:rFonts w:ascii="Arial Narrow;sans-serif" w:hAnsi="Arial Narrow;sans-serif"/>
          <w:b w:val="false"/>
          <w:i/>
          <w:color w:val="000000"/>
          <w:sz w:val="20"/>
        </w:rPr>
        <w:t>Grant frequency</w:t>
      </w:r>
      <w:r>
        <w:rPr>
          <w:color w:val="000000"/>
        </w:rPr>
        <w:t xml:space="preserve"> — </w:t>
      </w:r>
      <w:r>
        <w:rPr>
          <w:rFonts w:ascii="Arial Narrow;sans-serif" w:hAnsi="Arial Narrow;sans-serif"/>
          <w:b w:val="false"/>
          <w:color w:val="000000"/>
          <w:sz w:val="20"/>
        </w:rPr>
        <w:t>Although LTI awards may be made at any time as determined by the Committee and approved by the Board, the Committee generally considers new LTI grants for executive officers and other key employees on an annual basis. Given that these annual LTI awards are intended to incentivize performance over the full designated performance period, the Committee considers it appropriate to use the stock price at the beginning of the performance period in determining the number of shares or units to be granted. In the Committee’s view, this methodology, consistently applied, neutralizes the stock price as a factor impacting the timing of awards.</w:t>
      </w:r>
    </w:p>
    <w:p>
      <w:pPr>
        <w:pStyle w:val="TextBody"/>
        <w:bidi w:val="0"/>
        <w:spacing w:lineRule="auto" w:line="288" w:before="180" w:after="283"/>
        <w:jc w:val="left"/>
        <w:rPr/>
      </w:pPr>
      <w:r>
        <w:rPr>
          <w:rFonts w:ascii="Arial Narrow;sans-serif" w:hAnsi="Arial Narrow;sans-serif"/>
          <w:b w:val="false"/>
          <w:i/>
          <w:color w:val="000000"/>
          <w:sz w:val="20"/>
        </w:rPr>
        <w:t>Fiscal 2024 Actions</w:t>
      </w:r>
      <w:r>
        <w:rPr>
          <w:color w:val="000000"/>
        </w:rPr>
        <w:t xml:space="preserve"> — </w:t>
      </w:r>
      <w:r>
        <w:rPr>
          <w:rFonts w:ascii="Arial Narrow;sans-serif" w:hAnsi="Arial Narrow;sans-serif"/>
          <w:b w:val="false"/>
          <w:color w:val="000000"/>
          <w:sz w:val="20"/>
        </w:rPr>
        <w:t>For fiscal 2024, the Committee took the following actions regarding LTI awards: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Grant of fiscal 2024 LTI awards</w:t>
      </w:r>
      <w:r>
        <w:rPr>
          <w:color w:val="000000"/>
          <w:shd w:fill="FFFFFF" w:val="clear"/>
        </w:rPr>
        <w:t xml:space="preserve"> — </w:t>
      </w:r>
      <w:r>
        <w:rPr>
          <w:rFonts w:ascii="Arial Narrow;sans-serif" w:hAnsi="Arial Narrow;sans-serif"/>
          <w:b w:val="false"/>
          <w:color w:val="000000"/>
          <w:sz w:val="20"/>
          <w:shd w:fill="FFFFFF" w:val="clear"/>
        </w:rPr>
        <w:t>In May 2023, the Committee approved the design and structure of the fiscal 2024 LTI awards. In October 2023, the Committee authorized the issuance of awards to the executive officers and other key employees, which awards were granted in October 2023 following approval by the Board. The number of units awarded to each participant was determined by dividing the participant’s designated LTI target amount by $8.25, the closing trading price of our Class A Non-Voting Common Stock on September 29, 2023. The following table shows the fiscal 2024 LTI awards for the Named Executive Officers (other than Mr. Cohen, who is subject to a separate incentive program and is not eligible for LTI awards):</w:t>
      </w:r>
    </w:p>
    <w:tbl>
      <w:tblPr>
        <w:tblW w:w="5962"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367"/>
        <w:gridCol w:w="1633"/>
        <w:gridCol w:w="204"/>
        <w:gridCol w:w="109"/>
        <w:gridCol w:w="109"/>
        <w:gridCol w:w="109"/>
        <w:gridCol w:w="376"/>
        <w:gridCol w:w="376"/>
        <w:gridCol w:w="537"/>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2024 LTI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Units</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315,151</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84,848</w:t>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145,454</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42,424</w:t>
            </w:r>
          </w:p>
        </w:tc>
      </w:tr>
    </w:tbl>
    <w:p>
      <w:pPr>
        <w:pStyle w:val="TextBody"/>
        <w:bidi w:val="0"/>
        <w:spacing w:lineRule="auto" w:line="256"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awards took the form of restricted stock units with the following terms: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Performance will be measured over a three-year performance period (fiscal 2024, fiscal 2025 and fiscal 2026).</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Vesting for 80% of the units awarded is subject to performance measured against specified net income targets — 20% of the units are allocated to each of the three years in the performance period (with each year measured separately based on an annual Adjusted Net Income performance goal), and 20% of the units are subject to a cumulative performance goal based on Adjusted Net Income growth over the three-year performance period.</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Committee continues to consider net income to be the long-term shareholder value metric against which management should be measured, as it reflects the scaling of profitability in a fiscally robust way. Net income takes into account the full bottom-line performance and growth of the Company, including a prudent capital structure; it is the metric that primarily drives our stock price, closely aligning management’s interests with those of our shareholders; it is one of the three primary financial goals in the Company’s “Strategic Goals and Measures” framework; and it is less susceptible to manipulation, as EPS often is with debt-financed share buybacks that potentially put financial position at risk.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remaining 20% of the units are subject to time-based vesting, contingent only on continuous active employment through the end of the performance period.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number of performance-based units (whether annual or cumulative) that will be available to vest at the end of the performance period will range from 50% (assuming minimum threshold performance is achieved) and 150%, depending on the level of performance target achievement. There is no “bonus” unit opportunity for the time-based units, and they will vest at 100% only if the continuous active employment condition is met; otherwise, they will be forfeited.</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believes this structure aligns with the Company’s business strategy by maintaining executive focus on each year’s results but also driving long-term, multi-year performance. Additionally, the Committee determined, with the advice of its independent consultant, that the inclusion of a relatively small time-based element aligns the Company’s equity awards with market comparables.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4"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Vesting of fiscal 2022 awards —</w:t>
      </w:r>
      <w:r>
        <w:rPr>
          <w:color w:val="000000"/>
        </w:rPr>
        <w:t xml:space="preserve"> </w:t>
      </w:r>
      <w:r>
        <w:rPr>
          <w:rFonts w:ascii="Arial Narrow;sans-serif" w:hAnsi="Arial Narrow;sans-serif"/>
          <w:b w:val="false"/>
          <w:color w:val="000000"/>
          <w:sz w:val="20"/>
        </w:rPr>
        <w:t xml:space="preserve">As described in our Annual Report on Form 10-K for the year ended September 30, 2022 (the “2022 Annual Report”), the fiscal 2022 LTI awards were approved in October 2021. The basic design of the fiscal 2022 awards is similar to the fiscal 2024 awards discussed above, except that 100% of the units awarded are subject to performance-based vesting (divided equally among the three years in the performance period, fiscal 2022, fiscal 2023 and fiscal 2024). </w:t>
      </w:r>
      <w:r>
        <w:rPr>
          <w:rFonts w:ascii="Arial Narrow;sans-serif" w:hAnsi="Arial Narrow;sans-serif"/>
          <w:b w:val="false"/>
          <w:color w:val="000000"/>
          <w:sz w:val="20"/>
          <w:shd w:fill="FFFFFF" w:val="clear"/>
        </w:rPr>
        <w:t>As reported in our Annual Report on Form 10-K for the year ended September 30, 2023 (the “2023 Annual Report”), the Committee previously determined that 150% of the units allocated to fiscal 2022 and 147% of the units allocated to fiscal 2023 were available for vesting for those participants whose employment continued through fiscal 2024.</w:t>
      </w:r>
    </w:p>
    <w:p>
      <w:pPr>
        <w:pStyle w:val="TextBody"/>
        <w:bidi w:val="0"/>
        <w:spacing w:lineRule="auto" w:line="288" w:before="180" w:after="283"/>
        <w:jc w:val="left"/>
        <w:rPr/>
      </w:pPr>
      <w:r>
        <w:rPr>
          <w:rFonts w:ascii="Arial Narrow;sans-serif" w:hAnsi="Arial Narrow;sans-serif"/>
          <w:b w:val="false"/>
          <w:color w:val="000000"/>
          <w:sz w:val="20"/>
          <w:shd w:fill="FFFFFF" w:val="clear"/>
        </w:rPr>
        <w:t>During fiscal 2024, the Company’s Adjusted Net Income performance (</w:t>
      </w:r>
      <w:r>
        <w:rPr>
          <w:rFonts w:ascii="Arial Narrow;sans-serif" w:hAnsi="Arial Narrow;sans-serif"/>
          <w:b w:val="false"/>
          <w:color w:val="000000"/>
          <w:sz w:val="20"/>
        </w:rPr>
        <w:t>$84.7 million</w:t>
      </w:r>
      <w:r>
        <w:rPr>
          <w:rFonts w:ascii="Arial Narrow;sans-serif" w:hAnsi="Arial Narrow;sans-serif"/>
          <w:b w:val="false"/>
          <w:color w:val="000000"/>
          <w:sz w:val="20"/>
          <w:shd w:fill="FFFFFF" w:val="clear"/>
        </w:rPr>
        <w:t>) exceeded the specified performance goal at the target level, and in November 2024, the Committee determined that 133% of the units allocated to fiscal 2024 (along with the units allocated to fiscal 2022 and fiscal 2023 as described above) were vested for those participants whose employment continued through the end of fiscal 2024.</w:t>
      </w:r>
      <w:r>
        <w:rPr>
          <w:color w:val="000000"/>
        </w:rPr>
        <w:t xml:space="preserve"> </w:t>
      </w:r>
      <w:r>
        <w:rPr>
          <w:rFonts w:ascii="Arial Narrow;sans-serif" w:hAnsi="Arial Narrow;sans-serif"/>
          <w:b w:val="false"/>
          <w:color w:val="000000"/>
          <w:sz w:val="20"/>
        </w:rPr>
        <w:t>The resulting vesting for the Named Executive Officers was as follows: this includes 235,925 units for Mr. Given, (including 71,325 “bonus” units); 83,599 units for Mr. Jugmans, (including 25,273 “bonus” units); 136,168 units for Mr. Powell, (including 41,165 “bonus” units); and 59,535 units for Ms. VanRoekel, (including 17,996 “bonus” units).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Second-year performance of fiscal 2023 awards</w:t>
      </w:r>
      <w:r>
        <w:rPr>
          <w:color w:val="000000"/>
          <w:shd w:fill="FFFFFF" w:val="clear"/>
        </w:rPr>
        <w:t xml:space="preserve"> — </w:t>
      </w:r>
      <w:r>
        <w:rPr>
          <w:rFonts w:ascii="Arial Narrow;sans-serif" w:hAnsi="Arial Narrow;sans-serif"/>
          <w:b w:val="false"/>
          <w:color w:val="000000"/>
          <w:sz w:val="20"/>
          <w:shd w:fill="FFFFFF" w:val="clear"/>
        </w:rPr>
        <w:t>As described in our 2023 Annual Report, the fiscal 2023 LTI awards were approved in October 2022. The basic design of the fiscal 2023 awards is substantially similar to the fiscal 2024 awards discussed above, except that the three-year performance period consists of fiscal 2023, fiscal 2024 and fiscal 2025. As reported in the 2023 Annual Report, the Committee determined in November 2023 that 147% of the units allocated to fiscal 2023 were available for vesting for those participants whose employment continues through fiscal 2024.</w:t>
      </w:r>
    </w:p>
    <w:p>
      <w:pPr>
        <w:pStyle w:val="TextBody"/>
        <w:bidi w:val="0"/>
        <w:spacing w:lineRule="auto" w:line="288" w:before="180" w:after="283"/>
        <w:jc w:val="left"/>
        <w:rPr/>
      </w:pPr>
      <w:r>
        <w:rPr>
          <w:rFonts w:ascii="Arial Narrow;sans-serif" w:hAnsi="Arial Narrow;sans-serif"/>
          <w:b w:val="false"/>
          <w:color w:val="000000"/>
          <w:sz w:val="20"/>
          <w:shd w:fill="FFFFFF" w:val="clear"/>
        </w:rPr>
        <w:t>During fiscal 2024, the Company’s Adjusted Net Income performance (</w:t>
      </w:r>
      <w:r>
        <w:rPr>
          <w:rFonts w:ascii="Arial Narrow;sans-serif" w:hAnsi="Arial Narrow;sans-serif"/>
          <w:b w:val="false"/>
          <w:color w:val="000000"/>
          <w:sz w:val="20"/>
        </w:rPr>
        <w:t>$84.7 million</w:t>
      </w:r>
      <w:r>
        <w:rPr>
          <w:rFonts w:ascii="Arial Narrow;sans-serif" w:hAnsi="Arial Narrow;sans-serif"/>
          <w:b w:val="false"/>
          <w:color w:val="000000"/>
          <w:sz w:val="20"/>
          <w:shd w:fill="FFFFFF" w:val="clear"/>
        </w:rPr>
        <w:t xml:space="preserve">) exceeded the specified performance goal at the target level, and in November 2024, the Committee determined that 133% of the units allocated to fiscal 2024 were available for vesting for those participants whose employment continues through the end of fiscal 2025. For the Named Executive Officers, this includes 69,001 </w:t>
      </w:r>
      <w:r>
        <w:rPr>
          <w:rFonts w:ascii="Arial Narrow;sans-serif" w:hAnsi="Arial Narrow;sans-serif"/>
          <w:b w:val="false"/>
          <w:color w:val="000000"/>
          <w:sz w:val="20"/>
        </w:rPr>
        <w:t>units for Mr. Given (including 17,120 “bonus” units); 17,250 units for Mr. Jugmans (including 4,280 “bonus” units); 28,463 units for Mr. Powell (including 7,062 “bonus” units); and 11,316 units for Ms. VanRoekel (including 2,807 “bonus” units).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First-year performance of fiscal 2024 awards — </w:t>
      </w:r>
      <w:r>
        <w:rPr>
          <w:rFonts w:ascii="Arial Narrow;sans-serif" w:hAnsi="Arial Narrow;sans-serif"/>
          <w:b w:val="false"/>
          <w:color w:val="000000"/>
          <w:sz w:val="20"/>
          <w:shd w:fill="FFFFFF" w:val="clear"/>
        </w:rPr>
        <w:t>During fiscal 2024, the Company’s Adjusted Net Income performance (</w:t>
      </w:r>
      <w:r>
        <w:rPr>
          <w:rFonts w:ascii="Arial Narrow;sans-serif" w:hAnsi="Arial Narrow;sans-serif"/>
          <w:b w:val="false"/>
          <w:color w:val="000000"/>
          <w:sz w:val="20"/>
        </w:rPr>
        <w:t>$84.7 million</w:t>
      </w:r>
      <w:r>
        <w:rPr>
          <w:rFonts w:ascii="Arial Narrow;sans-serif" w:hAnsi="Arial Narrow;sans-serif"/>
          <w:b w:val="false"/>
          <w:color w:val="000000"/>
          <w:sz w:val="20"/>
          <w:shd w:fill="FFFFFF" w:val="clear"/>
        </w:rPr>
        <w:t xml:space="preserve">) exceeded the specified performance goal at the target level, and in November 2024, the Committee determined that 133% of the units allocated to fiscal 2024 are available for vesting for those participants whose employment continues through the end of fiscal 2026. For </w:t>
      </w:r>
      <w:r>
        <w:rPr>
          <w:rFonts w:ascii="Arial Narrow;sans-serif" w:hAnsi="Arial Narrow;sans-serif"/>
          <w:b w:val="false"/>
          <w:color w:val="000000"/>
          <w:sz w:val="20"/>
        </w:rPr>
        <w:t>the Named Executive Officers, this includes 83,829 units for Mr. Given (including 20,799 “bonus” units); 22,568 units for Mr. Jugmans (including 5,599 “bonus” units); 38,689 units for Mr. Powell (including 9,599 “bonus” units); and 11,283 units for Ms. VanRoekel (including 2,799 “bonus” units).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Grant of fiscal 2025 Awards — </w:t>
      </w:r>
      <w:r>
        <w:rPr>
          <w:rFonts w:ascii="Arial Narrow;sans-serif" w:hAnsi="Arial Narrow;sans-serif"/>
          <w:b w:val="false"/>
          <w:color w:val="000000"/>
          <w:sz w:val="20"/>
          <w:shd w:fill="FFFFFF" w:val="clear"/>
        </w:rPr>
        <w:t>In October 2024, the Committee approved the plan design for the fiscal 2025 LTI awards. The approved design is substantially identical to the fiscal 2024 awards described above, except that the three-year performance period covers fiscal 2025, fiscal 2026 and fiscal 2027. The fiscal 2025 LTI awards were granted in November 2024 following approval by the Board. The number of units awarded to each participant was determined by dividing the participant’s designated LTI target amount by $11.21, the closing trading price of our Class A Non-Voting Common Stock on September 30, 2024. The following table shows the fiscal 2025 LTI awards for the Named Executive Officers (other than Mr. Cohen, who is subject to a separate incentive program and is not eligible for LTI awards):</w:t>
      </w:r>
    </w:p>
    <w:tbl>
      <w:tblPr>
        <w:tblW w:w="6172" w:type="dxa"/>
        <w:jc w:val="center"/>
        <w:tblInd w:w="0" w:type="dxa"/>
        <w:tblLayout w:type="fixed"/>
        <w:tblCellMar>
          <w:top w:w="28" w:type="dxa"/>
          <w:left w:w="28" w:type="dxa"/>
          <w:bottom w:w="28" w:type="dxa"/>
          <w:right w:w="28" w:type="dxa"/>
        </w:tblCellMar>
      </w:tblPr>
      <w:tblGrid>
        <w:gridCol w:w="734"/>
        <w:gridCol w:w="643"/>
        <w:gridCol w:w="648"/>
        <w:gridCol w:w="109"/>
        <w:gridCol w:w="109"/>
        <w:gridCol w:w="109"/>
        <w:gridCol w:w="367"/>
        <w:gridCol w:w="1633"/>
        <w:gridCol w:w="204"/>
        <w:gridCol w:w="109"/>
        <w:gridCol w:w="109"/>
        <w:gridCol w:w="109"/>
        <w:gridCol w:w="376"/>
        <w:gridCol w:w="376"/>
        <w:gridCol w:w="537"/>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Fiscal 2025 LTI Target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Units</w:t>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267,618</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80,285</w:t>
            </w:r>
          </w:p>
        </w:tc>
      </w:tr>
      <w:tr>
        <w:trPr/>
        <w:tc>
          <w:tcPr>
            <w:tcW w:w="202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20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107,047</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35,682</w:t>
            </w:r>
          </w:p>
        </w:tc>
      </w:tr>
    </w:tbl>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    In October 2024, the Committee approved increases in the LTI target amounts for Mr. Given (from $2,600,000 to 3,000,000), Mr. Jugmans (from $700,000 to $900,000), and Ms. VanRoekel (from $350,000 to $400,000). These changes better align the executives’ long-term incentive compensation and total direct compensation with peer group executives in comparable positions (at the 41st percentile and 43rd percentile, respectively, for Mr. Given; at the 43rd percentile and 45th percentile, respectively, for Mr. Jugmans; and at the 43rd percentile and 63rd percentile, respectively, for Ms. VanRoekel), and is consistent with the Company’s pay-for-performance philosophy and emphasis on long-term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5"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rFonts w:ascii="Arial Narrow;sans-serif" w:hAnsi="Arial Narrow;sans-serif"/>
          <w:b w:val="false"/>
          <w:i/>
          <w:color w:val="000000"/>
          <w:sz w:val="20"/>
        </w:rPr>
      </w:pPr>
      <w:r>
        <w:rPr>
          <w:rFonts w:ascii="Arial Narrow;sans-serif" w:hAnsi="Arial Narrow;sans-serif"/>
          <w:b w:val="false"/>
          <w:i/>
          <w:color w:val="000000"/>
          <w:sz w:val="20"/>
        </w:rPr>
        <w:t>Executive Chairman Incentive Award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Executive Chairman, Mr. Cohen has an incentive compensation opportunity of $1,750,000 per year, awarded in the form of cash-settled phantom stock units (“Units”) tied to the trading price of the Company’s Class A Common Stock, as follows: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Award</w:t>
      </w:r>
      <w:r>
        <w:rPr>
          <w:color w:val="000000"/>
        </w:rPr>
        <w:t xml:space="preserve"> — </w:t>
      </w:r>
      <w:r>
        <w:rPr>
          <w:rFonts w:ascii="Arial Narrow;sans-serif" w:hAnsi="Arial Narrow;sans-serif"/>
          <w:b w:val="false"/>
          <w:color w:val="000000"/>
          <w:sz w:val="20"/>
        </w:rPr>
        <w:t>At the beginning of a fiscal year (the “Performance Year”), the number of Units awarded is determined by dividing $1,750,000 by the stock price at the close of the immediately preceding fiscal year.</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Vesting</w:t>
      </w:r>
      <w:r>
        <w:rPr>
          <w:color w:val="000000"/>
        </w:rPr>
        <w:t xml:space="preserve"> — </w:t>
      </w:r>
      <w:r>
        <w:rPr>
          <w:rFonts w:ascii="Arial Narrow;sans-serif" w:hAnsi="Arial Narrow;sans-serif"/>
          <w:b w:val="false"/>
          <w:color w:val="000000"/>
          <w:sz w:val="20"/>
        </w:rPr>
        <w:t>The awarded Units vest at the end of the Performance Year so long as the “Company Performance Gate” under the Company’s STI plan for the Performance Year has been achieved. The Company Performance Gate is the level of performance (generally measured in terms of Adjusted EBITDA) needed to achieve any payout under the STI plan. Even if the Company Performance Gate is achieved, the Committee in its discretion may reduce the number of Units that vest based upon the Committee’s evaluation of Mr. Cohen’s achievement of individual performance objectives. Conversely, if the Company Performance Gate is not achieved, the Committee in its discretion may choose to vest some or all of the Units based an evaluation of Mr. Cohen’s achievement of individual performance objectives.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i/>
          <w:color w:val="000000"/>
          <w:sz w:val="20"/>
        </w:rPr>
        <w:t>Payout</w:t>
      </w:r>
      <w:r>
        <w:rPr>
          <w:color w:val="000000"/>
        </w:rPr>
        <w:t xml:space="preserve"> — </w:t>
      </w:r>
      <w:r>
        <w:rPr>
          <w:rFonts w:ascii="Arial Narrow;sans-serif" w:hAnsi="Arial Narrow;sans-serif"/>
          <w:b w:val="false"/>
          <w:color w:val="000000"/>
          <w:sz w:val="20"/>
        </w:rPr>
        <w:t>The vested Units will be paid out in two installments. The first installment will be paid as soon as practicable after the end of the 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the beginning of fiscal 2024, Mr. Cohen received 212,121 Units (the “FY24 Units”), which was calculated by dividing the bonus opportunity ($1,750,000) by $8.25, the closing trading price of our Class A Non-Voting Common Stock on September 29, 2023. In September 2024, the Committee reviewed and evaluated Mr. Cohen’s individual performance during fiscal 2024, noting Mr. Cohen’s valuable contributions in key strategic areas, including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leadership and mentorship to the CEO, COO and CFO;</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counsel and advice on development and execution of strategic plan;</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Providing direction, high-level involvement and support on key growth initiatives, including acquisitions, strategic investments and partnerships and de novo developments;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counsel and operational guidance to improve store-level performance and Team Member engagement;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Providing thought leadership and guidance on financing and capital allocation strategies.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noted above, the Committee has determined that the Company Performance Gate under the fiscal 2024 STI plan has been achieved. See “Annual Short-Term Incentive” above. Consequently, and taking into consideration the Committee’s evaluation of Mr. Cohen’s individual performance, the Committee approved the vesting of 100% of the FY24 Units. Under the terms of Mr. Cohen’s incentive opportunity, 50% of those Units (or 106,060 Units) will be paid out on a per-Unit value of $11.21 (the closing trading price of our Class A Common Stock on September 30, 2024), translating to a cash payout of $1,188,933. The remaining 50% of the FY24 Units (106,061 Units) will be paid at the end of fiscal 2025 based on the closing trading price of our Class A Non-Voting Common Stock at that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September 2024, the Committee maintained Mr. Cohen’s incentive compensation opportunity at $1,750,000, and for fiscal 2025, Mr. Cohen received 156,110 Units (the “FY25 Units”), which was calculated by dividing the bonus opportunity ($1,750,000) by $11.21, the closing trading price of our Class A Non-Voting Common Stock on September 30, 2024. The FY25 Units will be subject to the vesting and payout terms described above.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Supplemental Executive Retirement Plan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provide selected executives with a non-qualified Supplemental Executive Retirement Plan (“SERP”) to offer a competitive benefit and to assist in offsetting potential impacts of contribution limitations applicable to our 401(k) retirement savings plan. For fiscal 2024, the Committee approved SERP contributions for each of the executive officers equal to 10% of base salary. This resulted in the following SERP contributions for each of the Named Executive Officers (other than Mr. Cohen who is not eligible for SERP contributions):</w:t>
      </w:r>
    </w:p>
    <w:tbl>
      <w:tblPr>
        <w:tblW w:w="4437" w:type="dxa"/>
        <w:jc w:val="center"/>
        <w:tblInd w:w="0" w:type="dxa"/>
        <w:tblLayout w:type="fixed"/>
        <w:tblCellMar>
          <w:top w:w="28" w:type="dxa"/>
          <w:left w:w="28" w:type="dxa"/>
          <w:bottom w:w="28" w:type="dxa"/>
          <w:right w:w="28" w:type="dxa"/>
        </w:tblCellMar>
      </w:tblPr>
      <w:tblGrid>
        <w:gridCol w:w="658"/>
        <w:gridCol w:w="576"/>
        <w:gridCol w:w="581"/>
        <w:gridCol w:w="109"/>
        <w:gridCol w:w="109"/>
        <w:gridCol w:w="109"/>
        <w:gridCol w:w="449"/>
        <w:gridCol w:w="1487"/>
        <w:gridCol w:w="359"/>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2024 SERP Contribution</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Lachlan P. Given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3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Timothy K. Jugmans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John Blair Powell, Jr.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60,000 </w:t>
            </w:r>
          </w:p>
        </w:tc>
        <w:tc>
          <w:tcPr>
            <w:tcW w:w="35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6"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In September 2024, the Committee approved fiscal 2025 SERP contributions equal to </w:t>
      </w:r>
      <w:r>
        <w:rPr>
          <w:rFonts w:ascii="Arial Narrow;sans-serif" w:hAnsi="Arial Narrow;sans-serif"/>
          <w:b w:val="false"/>
          <w:color w:val="000000"/>
          <w:sz w:val="20"/>
        </w:rPr>
        <w:t>10% of base salary for each of the executive officers (other than Mr. Cohen). For the Named Executive Officers, those contributions were $75,000 for Mr. Given, $50,000 for Mr. Jugmans, $60,000 for Mr. Powell and $41,000 for Ms. VanRoekel.</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Other Benefits and Perquisites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executive officers participate in other benefit plans on the same terms as other Team Members. These plans include medical, dental, life insurance and our 401(k) retirement savings plan. In addition, we provide supplemental healthcare benefits to our executive officers. The amount of that benefit for the Named Executive Officers is included in the “All Other Compensation” column of the Summary Compensation Table below.</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Compensation Governance and Process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Composition of the People and Compensation Committee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The People and Compensation Committee is comprised of four members — Mr. Lagos (Chair), Mr. Appel, Ms. Arnold and Mr. Tillett — each of whom is an independent director. See “Part III, Item 10 — Directors, Executive Officers and Corporate Governance — Board of Directors.”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the Committee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our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Annually, the Committee sets the compensation for our executive officers, including objectives and awards under incentive plans (subject to approval of LTI awards by the Board of Directors). The Committee also reviews all other proposed LTI awards and makes recommendations to the Board of Directors on proposed LTI awards and the appropriate compensation for the non-employee directors.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also oversees the Company’s human capital management (HCM) strategy, policies and activities, including succession planning and corresponding individual development in order to maintain the talent necessary to fulfill our operational and strategic objectives; diversity and inclusion initiatives; Team Member engagement; and assessing the overall effectiveness of our HCM programs. For more information on the Committee's role, see “Part III, Item 10 — Directors, Executive Officers and Corporate Governance — Corporate Governance — Committees of the Board — People and Compensation Committee,” as well as the Committee's charter, which can be found in the Investor Relations section of our website at www.ezcorp.com.</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receives data regarding compensation trends, succession plans, issues and recommendations from management. Members of management, including the Chief Executive Officer, Chief Human Resources Officer and Chief Legal Officer, attend Committee meetings at the invitation of the Committee. In addition, our Chief Executive Officer provides input on individual performance and recommendations regarding compensation adjustments to the Committee for executive officer positions other than his own.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Role of the Independent Compensation Consultant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its charter, the Committee has sole authority to retain, terminate, obtain advice from, oversee and compensate its outside advisors, including its compensation consultant. We have provided appropriate funding to the Committee to do so.</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Since March 2020, the Committee has retained Mercer as its independent compensation consultant. The Committee’s independent compensation consultant reports directly to the Committee, and the Committee may replace its independent compensation consultant or hire additional consultants at any time. The Committee’s independent compensation consultant communicates with, and attends meetings of, the Committee as requested.</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The Committee annually evaluates the independence of its independent compensation consultant </w:t>
      </w:r>
      <w:r>
        <w:rPr>
          <w:rFonts w:ascii="Arial Narrow;sans-serif" w:hAnsi="Arial Narrow;sans-serif"/>
          <w:b w:val="false"/>
          <w:color w:val="000000"/>
          <w:sz w:val="20"/>
        </w:rPr>
        <w:t>in providing executive compensation consulting services, and to date has found no conflict of interest with respect to Mercer.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fiscal 2024, Mercer,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Compensation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Committee continually monitors our general compensation practices, specifically the design, administration and assessment of our incentive plans, to identify any components, measurement factors or potential outcomes that might create an incentive for excessive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7"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taking detrimental to the Company. The Committee has determined that our compensation plans and policies do not encourage excessive risk-taking.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executive compensation program provides a balance of short-term and long-term incentives that reward achievement of profitable, consistent and sustainable results. These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Annual incentive compensation tied to achievement of profitable Company or business unit performance (as measured by consolidated and/or business unit EBITDA);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Meaningful long-term equity incentive opportunities that are substantially performance-based and provide an incentive to deliver long-term growth in stockholder value as a result of sustained earnings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the following policies to mitigate compensation risk:</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Compensation Recovery Policy</w:t>
      </w:r>
      <w:r>
        <w:rPr>
          <w:color w:val="000000"/>
        </w:rPr>
        <w:t xml:space="preserve"> — </w:t>
      </w:r>
      <w:r>
        <w:rPr>
          <w:rFonts w:ascii="Arial Narrow;sans-serif" w:hAnsi="Arial Narrow;sans-serif"/>
          <w:b w:val="false"/>
          <w:color w:val="000000"/>
          <w:sz w:val="20"/>
        </w:rPr>
        <w:t>The Board of Directors has adopted a Compensation Recovery Policy that complies with the requirements of the Nasdaq Listing Rules. Under the policy, the Company generally is required to take reasonably prompt action to recover “Erroneously Awarded Compensation” from the persons subject to the policy (including the executive officers) if the Company is required to prepare an accounting restatement due to the Company’s material noncompliance with financial reporting requirements. “Erroneously Awarded Compensation” is the amount of incentive compensation received by a covered person in excess of the amount that would have been received had it been determined based on the restated amounts. A copy of the Compensation Recovery Policy, which became effective on August 1, 2023, is filed as an exhibit to this Report.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Anti-Hedging Policy — </w:t>
      </w:r>
      <w:r>
        <w:rPr>
          <w:rFonts w:ascii="Arial Narrow;sans-serif" w:hAnsi="Arial Narrow;sans-serif"/>
          <w:b w:val="false"/>
          <w:color w:val="000000"/>
          <w:sz w:val="20"/>
        </w:rPr>
        <w:t>We maintain a policy prohibiting the trading of “derivative securities” related to, or engaging in “short sales” of, our stock by members of the Board of Directors, executive officers or any other persons associated or affiliated with the Company (through employment, contractual relationship or otherwise) who are designated from time to time by the Board of Directors. For purposes of the policy, a “derivative security” is any option, warrant, convertible security, stock appreciation right or similar right with an exercise or conversion privilege at a price related to our stock, or similar securities with a value derived from the value of our stock; and a “short sale” is any sale of stock that the seller does not own or any sale that is consummated by the delivery of stock borrowed by, or for the account of, the seller. The Board believes that this policy, by preventing the shifting of the risks of ownership of Company stock, helps to align the interests of management with the interests of the other Company stockholders.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Executive Share Retention Policy — </w:t>
      </w:r>
      <w:r>
        <w:rPr>
          <w:rFonts w:ascii="Arial Narrow;sans-serif" w:hAnsi="Arial Narrow;sans-serif"/>
          <w:b w:val="false"/>
          <w:color w:val="000000"/>
          <w:sz w:val="20"/>
          <w:shd w:fill="FFFFFF" w:val="clear"/>
        </w:rPr>
        <w:t>The Board of Directors has adopted stock ownership requirements applicable to the members of the Board of 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4X for the non-executive directors and the CEO, 2X for the Executive Chairman and 1X for the other executive officers. Each person subject to the stock ownership requirements is required to hold at least 50% (in the case of the non-executive directors) or 30% (in the case of the executive officers) of each vesting of restricted stock or restricted stock units until the required stock ownership amount is satisfied. Thereafter, such person can sell shares (subject to our trading window policy) as long as the required stock ownership amount is maintained. Because each share of Class B Voting Common Stock is convertible into a share of Class A Non-Voting Common Stock, the shares of Class B Voting Common Stock held by Mr. Cohen are treated as the equivalent number of shares of Class A Non-Voting Common Stock for purposes of applying the stock ownership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directors and executive officers are currently in compliance with the stock ownership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8"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Executive Compensation Matters</w:t>
      </w:r>
    </w:p>
    <w:p>
      <w:pPr>
        <w:pStyle w:val="TextBody"/>
        <w:bidi w:val="0"/>
        <w:spacing w:lineRule="auto" w:line="288" w:before="180" w:after="283"/>
        <w:jc w:val="left"/>
        <w:rPr/>
      </w:pPr>
      <w:r>
        <w:rPr>
          <w:rFonts w:ascii="Arial Narrow;sans-serif" w:hAnsi="Arial Narrow;sans-serif"/>
          <w:b w:val="false"/>
          <w:i/>
          <w:color w:val="000000"/>
          <w:sz w:val="20"/>
        </w:rPr>
        <w:t>Change in Control Severance Plan</w:t>
      </w:r>
      <w:r>
        <w:rPr>
          <w:color w:val="000000"/>
        </w:rPr>
        <w:t xml:space="preserve"> — </w:t>
      </w:r>
      <w:r>
        <w:rPr>
          <w:rFonts w:ascii="Arial Narrow;sans-serif" w:hAnsi="Arial Narrow;sans-serif"/>
          <w:b w:val="false"/>
          <w:color w:val="000000"/>
          <w:sz w:val="20"/>
        </w:rPr>
        <w:t xml:space="preserve">The executive officers (other than Mr. Cohen) are participants in the EZCORP, Inc. Change in Control Severance Plan (the “CIC Severance Plan”), which was approved and adopted by the Board of Directors in November 2022. A participant in the CIC Severance Plan is entitled to receive certain severance benefits if both of the following events occur (a “double trigger”): The Company experiences a change in control </w:t>
      </w:r>
      <w:r>
        <w:rPr>
          <w:rFonts w:ascii="Arial Narrow;sans-serif" w:hAnsi="Arial Narrow;sans-serif"/>
          <w:b w:val="false"/>
          <w:i/>
          <w:color w:val="000000"/>
          <w:sz w:val="20"/>
          <w:u w:val="single"/>
        </w:rPr>
        <w:t>and</w:t>
      </w:r>
      <w:r>
        <w:rPr>
          <w:color w:val="000000"/>
        </w:rPr>
        <w:t xml:space="preserve"> </w:t>
      </w:r>
      <w:r>
        <w:rPr>
          <w:rFonts w:ascii="Arial Narrow;sans-serif" w:hAnsi="Arial Narrow;sans-serif"/>
          <w:b w:val="false"/>
          <w:color w:val="000000"/>
          <w:sz w:val="20"/>
        </w:rPr>
        <w:t>the executive’s employment is terminated within two years thereafter. The severance benefits include a cash payment equal to (1) a multiple of the participant’s annual base salary and target STI bonus plus (2) the participant’s prorated target bonus for the year in which the termination occurs. In addition, the Company will provide continued healthcare benefits for a number of years equal to the applicable multiple. The multiple referred to varies by executive officer, with the CEO, COO and CFO having multiples of 2.0 and the remaining executive officer participants having multiples of 1.5.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also approved amendments to the 2022 Long-Term Incentive Plan and all outstanding LTI awards to provide for the acceleration of vesting (at target levels, in the case of performance-based awards) upon the occurrence of a qualifying termination following a change in control. This acceleration of vesting benefit applies to the CIC Severance Plan participants, as well as all other holders of outstanding LTI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Generally, for purposes of the CIC Severance Plan, a change in control will be deemed to have occurred if a person or group acquires beneficial ownership of 50% or more of the combined voting power of the outstanding Company securities, either directly or through consummation of a business combination; provided, however, that any acquisition or beneficial ownership of voting securities by, or a transfer of voting securities to, Mr. Cohen, any of his heirs or any entity that is owned or controlled by Mr. Cohen or any of his heirs, shall not constitute a change in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foregoing is a summary description of the principal terms of the CIC Severance Plan and is qualified in its entirety by reference to the full terms and provisions set forth in the plan document, which is filed as an exhibit to this Report.</w:t>
      </w:r>
    </w:p>
    <w:p>
      <w:pPr>
        <w:pStyle w:val="TextBody"/>
        <w:bidi w:val="0"/>
        <w:spacing w:lineRule="auto" w:line="288" w:before="180" w:after="283"/>
        <w:jc w:val="left"/>
        <w:rPr/>
      </w:pPr>
      <w:r>
        <w:rPr>
          <w:rFonts w:ascii="Arial Narrow;sans-serif" w:hAnsi="Arial Narrow;sans-serif"/>
          <w:b w:val="false"/>
          <w:i/>
          <w:color w:val="000000"/>
          <w:sz w:val="20"/>
        </w:rPr>
        <w:t xml:space="preserve">Other severance benefits </w:t>
      </w:r>
      <w:r>
        <w:rPr>
          <w:color w:val="000000"/>
        </w:rPr>
        <w:t xml:space="preserve">— </w:t>
      </w:r>
      <w:r>
        <w:rPr>
          <w:rFonts w:ascii="Arial Narrow;sans-serif" w:hAnsi="Arial Narrow;sans-serif"/>
          <w:b w:val="false"/>
          <w:color w:val="000000"/>
          <w:sz w:val="20"/>
        </w:rPr>
        <w:t xml:space="preserve">We provide the following other severance benefits to our executive officers (other than Mr. Cohen):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Unless severance benefits under the CIC Severance Plan are triggered, each of our executive officers will receive one year’s base salary (as a lump sum or in the form of salary continuation) if their employment is terminated by the Company without cause.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Generally, restricted stock and restricted stock unit awards, including those granted to the executive officers, provide for accelerated vesting of some or all of the unvested shares or units in the event of the holder's death or disability.</w:t>
      </w:r>
    </w:p>
    <w:p>
      <w:pPr>
        <w:pStyle w:val="TextBody"/>
        <w:bidi w:val="0"/>
        <w:spacing w:lineRule="auto" w:line="288" w:before="180" w:after="283"/>
        <w:jc w:val="left"/>
        <w:rPr/>
      </w:pPr>
      <w:r>
        <w:rPr>
          <w:rFonts w:ascii="Arial Narrow;sans-serif" w:hAnsi="Arial Narrow;sans-serif"/>
          <w:b w:val="false"/>
          <w:color w:val="000000"/>
          <w:sz w:val="20"/>
        </w:rPr>
        <w:t xml:space="preserve">More information on severance arrangements can be found under “Other Benefit Plans </w:t>
      </w:r>
      <w:r>
        <w:rPr>
          <w:color w:val="000000"/>
        </w:rPr>
        <w:t xml:space="preserve">— </w:t>
      </w:r>
      <w:r>
        <w:rPr>
          <w:rFonts w:ascii="Arial Narrow;sans-serif" w:hAnsi="Arial Narrow;sans-serif"/>
          <w:b w:val="false"/>
          <w:color w:val="000000"/>
          <w:sz w:val="20"/>
        </w:rPr>
        <w:t>Certain Termination Benefits” below. The Committee believes that these benefits provide important protection to the executive officers, are consistent with practice of the peer companies and are appropriate for attraction and retention of executive talent.</w:t>
      </w:r>
    </w:p>
    <w:p>
      <w:pPr>
        <w:pStyle w:val="TextBody"/>
        <w:bidi w:val="0"/>
        <w:spacing w:lineRule="auto" w:line="288" w:before="180" w:after="283"/>
        <w:jc w:val="left"/>
        <w:rPr/>
      </w:pPr>
      <w:r>
        <w:rPr>
          <w:rFonts w:ascii="Arial Narrow;sans-serif" w:hAnsi="Arial Narrow;sans-serif"/>
          <w:b w:val="false"/>
          <w:i/>
          <w:color w:val="000000"/>
          <w:sz w:val="20"/>
          <w:shd w:fill="FFFFFF" w:val="clear"/>
        </w:rPr>
        <w:t>Restrictive Covenant Agreements</w:t>
      </w:r>
      <w:r>
        <w:rPr>
          <w:color w:val="000000"/>
          <w:shd w:fill="FFFFFF" w:val="clear"/>
        </w:rPr>
        <w:t xml:space="preserve"> — </w:t>
      </w:r>
      <w:r>
        <w:rPr>
          <w:rFonts w:ascii="Arial Narrow;sans-serif" w:hAnsi="Arial Narrow;sans-serif"/>
          <w:b w:val="false"/>
          <w:color w:val="000000"/>
          <w:sz w:val="20"/>
          <w:shd w:fill="FFFFFF" w:val="clear"/>
        </w:rPr>
        <w:t>Each of our executive officers (other than Mr. Cohen), along with other key Team Members, has entered into a Restrictive Covenant Agreement under which the executive is subject to confidentiality and non-disclosure obligations with respect to various categories of proprietary, competitively sensitive and confidential information. In addition, each such executive has agreed that, for a period of one year following the termination of employment with the Company, they will not compete with the Compan</w:t>
      </w:r>
      <w:r>
        <w:rPr>
          <w:rFonts w:ascii="Arial Narrow;sans-serif" w:hAnsi="Arial Narrow;sans-serif"/>
          <w:b w:val="false"/>
          <w:color w:val="000000"/>
          <w:sz w:val="20"/>
        </w:rPr>
        <w:t>y (within a defined area) and will not solicit the Company's Team Members or suppliers.</w:t>
      </w:r>
    </w:p>
    <w:p>
      <w:pPr>
        <w:pStyle w:val="TextBody"/>
        <w:bidi w:val="0"/>
        <w:spacing w:lineRule="auto" w:line="288" w:before="180" w:after="283"/>
        <w:jc w:val="left"/>
        <w:rPr/>
      </w:pPr>
      <w:r>
        <w:rPr>
          <w:rFonts w:ascii="Arial Narrow;sans-serif" w:hAnsi="Arial Narrow;sans-serif"/>
          <w:b w:val="false"/>
          <w:i/>
          <w:color w:val="000000"/>
          <w:sz w:val="20"/>
        </w:rPr>
        <w:t>Employment Contract for Mr. Given</w:t>
      </w:r>
      <w:r>
        <w:rPr>
          <w:color w:val="000000"/>
        </w:rPr>
        <w:t xml:space="preserve"> — </w:t>
      </w:r>
      <w:r>
        <w:rPr>
          <w:rFonts w:ascii="Arial Narrow;sans-serif" w:hAnsi="Arial Narrow;sans-serif"/>
          <w:b w:val="false"/>
          <w:color w:val="000000"/>
          <w:sz w:val="20"/>
        </w:rPr>
        <w:t>On November 14, 2023, we entered into an Employment Contract with Mr. Given, our Chief Executive Officer, who resides in London, England. The Employment Contract was entered into to comply with U.K. employment laws and is not intended to alter the fundamental elements of Mr. Given’s employment relationship, including the compensatory arrangement as reflected in this Compensation Discussion and Analysis. The terms of the Employment Contract mirror as close as possible the terms of Mr. Given’s pre-existing U.S. employment, although certain modifications were necessary to adapt to a U.K. employment environment, particularly with regards to healthcare and other benefits. All compensation received by Mr. Given under the Employment Contract is reflected in the Summary Compensation Table below, including the “All Other Compensation” column, which includes healthcare and other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Compensation Committee Report</w:t>
      </w:r>
    </w:p>
    <w:p>
      <w:pPr>
        <w:pStyle w:val="TextBody"/>
        <w:bidi w:val="0"/>
        <w:spacing w:lineRule="auto" w:line="288" w:before="180" w:after="283"/>
        <w:jc w:val="left"/>
        <w:rPr/>
      </w:pPr>
      <w:r>
        <w:rPr>
          <w:rFonts w:ascii="Arial Narrow;sans-serif" w:hAnsi="Arial Narrow;sans-serif"/>
          <w:b w:val="false"/>
          <w:color w:val="000000"/>
          <w:sz w:val="20"/>
        </w:rPr>
        <w:t xml:space="preserve">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w:t>
      </w:r>
      <w:r>
        <w:rPr>
          <w:rFonts w:ascii="Arial Narrow;sans-serif" w:hAnsi="Arial Narrow;sans-serif"/>
          <w:b w:val="false"/>
          <w:color w:val="000000"/>
          <w:sz w:val="20"/>
          <w:shd w:fill="FFFFFF" w:val="clear"/>
        </w:rPr>
        <w:t>September 30, 2024.</w:t>
      </w:r>
    </w:p>
    <w:tbl>
      <w:tblPr>
        <w:tblW w:w="2649"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 Chair</w:t>
              <w:br/>
              <w:t>Matthew W. Appel</w:t>
              <w:br/>
              <w:t>Zena Srivatsa Arnold</w:t>
              <w:br/>
              <w:t>Gary L. Tillett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99"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Compensation Committee Interlocks and Insider Participation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None of the persons who served as members of the Compensation Committee during fiscal 2024 are or have ever been an officer of or employed by the Company, nor do they have any relationship that requires disclosure under Item 404 of Regulation S-K, the SEC’s rules requiring disclosure of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Summary Compensation Table</w:t>
      </w:r>
    </w:p>
    <w:p>
      <w:pPr>
        <w:pStyle w:val="TextBody"/>
        <w:bidi w:val="0"/>
        <w:spacing w:lineRule="auto" w:line="288" w:before="180" w:after="180"/>
        <w:jc w:val="left"/>
        <w:rPr/>
      </w:pPr>
      <w:r>
        <w:rPr>
          <w:rFonts w:ascii="Arial Narrow;sans-serif" w:hAnsi="Arial Narrow;sans-serif"/>
          <w:b w:val="false"/>
          <w:color w:val="000000"/>
          <w:sz w:val="20"/>
        </w:rPr>
        <w:t xml:space="preserve">The table below summarizes the total compensation for fiscal 2024, 2023 and 2022 for the Named Executive Officers. </w:t>
      </w:r>
      <w:r>
        <w:rPr>
          <w:rFonts w:ascii="Arial Narrow;sans-serif" w:hAnsi="Arial Narrow;sans-serif"/>
          <w:b w:val="false"/>
          <w:color w:val="000000"/>
          <w:sz w:val="20"/>
          <w:shd w:fill="FFFFFF" w:val="clear"/>
        </w:rPr>
        <w:t>The amounts shown reflect the compensation received by each of the Named Executive Officers for the positions in which they were serving during the fiscal years so noted, as follows:</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shd w:fill="FFFFFF" w:val="clear"/>
        </w:rPr>
        <w:t>Mr. Given served as Chief Strategy, M&amp;A and Strategic Funding Officer during fiscal 2021 and the first quarter of fiscal 2022. He was named Co-Interim Chief Executive Officer effective January 12, 2022 and appointed Chief Executive Officer on March 3, 2022.</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Jugmans has served as Chief Financial Officer during all of the three fiscal years reported.</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Cohen has served as Executive Chairman during all of the three fiscal years reported.</w:t>
      </w:r>
    </w:p>
    <w:p>
      <w:pPr>
        <w:pStyle w:val="TextBody"/>
        <w:bidi w:val="0"/>
        <w:spacing w:lineRule="auto" w:line="288" w:before="18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Mr. Powell was promoted to the position of President, Global Pawn in October 2021 and held that position until he was named Co-Interim Chief Executive Officer effective January 12, 2022 and appointed Chief Operating Officer on March 3, 2022.</w:t>
      </w:r>
    </w:p>
    <w:p>
      <w:pPr>
        <w:pStyle w:val="TextBody"/>
        <w:bidi w:val="0"/>
        <w:spacing w:lineRule="auto" w:line="288" w:before="180" w:after="180"/>
        <w:ind w:left="0" w:right="0" w:hanging="360"/>
        <w:jc w:val="left"/>
        <w:rPr/>
      </w:pPr>
      <w:r>
        <w:rPr>
          <w:color w:val="000000"/>
        </w:rPr>
        <w:t>•</w:t>
      </w:r>
      <w:r>
        <w:rPr>
          <w:rFonts w:ascii="Arial Narrow;sans-serif" w:hAnsi="Arial Narrow;sans-serif"/>
          <w:b w:val="false"/>
          <w:color w:val="000000"/>
          <w:sz w:val="20"/>
        </w:rPr>
        <w:t xml:space="preserve">Ms. VanRoekel has served as Chief Human Resources Officer during all of the three fiscal years reported. </w:t>
      </w:r>
    </w:p>
    <w:tbl>
      <w:tblPr>
        <w:tblW w:w="10205" w:type="dxa"/>
        <w:jc w:val="left"/>
        <w:tblInd w:w="0" w:type="dxa"/>
        <w:tblLayout w:type="fixed"/>
        <w:tblCellMar>
          <w:top w:w="28" w:type="dxa"/>
          <w:left w:w="28" w:type="dxa"/>
          <w:bottom w:w="28" w:type="dxa"/>
          <w:right w:w="28" w:type="dxa"/>
        </w:tblCellMar>
      </w:tblPr>
      <w:tblGrid>
        <w:gridCol w:w="525"/>
        <w:gridCol w:w="306"/>
        <w:gridCol w:w="307"/>
        <w:gridCol w:w="109"/>
        <w:gridCol w:w="109"/>
        <w:gridCol w:w="109"/>
        <w:gridCol w:w="188"/>
        <w:gridCol w:w="188"/>
        <w:gridCol w:w="189"/>
        <w:gridCol w:w="109"/>
        <w:gridCol w:w="109"/>
        <w:gridCol w:w="109"/>
        <w:gridCol w:w="196"/>
        <w:gridCol w:w="871"/>
        <w:gridCol w:w="109"/>
        <w:gridCol w:w="109"/>
        <w:gridCol w:w="109"/>
        <w:gridCol w:w="109"/>
        <w:gridCol w:w="109"/>
        <w:gridCol w:w="109"/>
        <w:gridCol w:w="198"/>
        <w:gridCol w:w="882"/>
        <w:gridCol w:w="110"/>
        <w:gridCol w:w="109"/>
        <w:gridCol w:w="109"/>
        <w:gridCol w:w="109"/>
        <w:gridCol w:w="247"/>
        <w:gridCol w:w="1098"/>
        <w:gridCol w:w="137"/>
        <w:gridCol w:w="109"/>
        <w:gridCol w:w="109"/>
        <w:gridCol w:w="109"/>
        <w:gridCol w:w="234"/>
        <w:gridCol w:w="881"/>
        <w:gridCol w:w="131"/>
        <w:gridCol w:w="109"/>
        <w:gridCol w:w="109"/>
        <w:gridCol w:w="109"/>
        <w:gridCol w:w="196"/>
        <w:gridCol w:w="871"/>
        <w:gridCol w:w="161"/>
      </w:tblGrid>
      <w:tr>
        <w:trPr/>
        <w:tc>
          <w:tcPr>
            <w:tcW w:w="5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Base Salary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Non-Equity Incentive Plan Compensation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All Other Compensation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Lachlan P. Given </w:t>
            </w:r>
            <w:r>
              <w:rPr>
                <w:rFonts w:ascii="Arial Narrow;sans-serif" w:hAnsi="Arial Narrow;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2,934,775 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1,428,750 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5,206,596 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2,261,136 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1,383,750 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4,481,280 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1,045,197 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1,465,274 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3,323,577 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Timothy K. Jugmans </w:t>
            </w:r>
            <w:r>
              <w:rPr>
                <w:rFonts w:ascii="Arial Narrow;sans-serif" w:hAnsi="Arial Narrow;sans-serif"/>
                <w:b w:val="false"/>
                <w:color w:val="000000"/>
                <w:sz w:val="20"/>
              </w:rPr>
              <w:t>(4)</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857,775 </w:t>
            </w:r>
          </w:p>
        </w:tc>
        <w:tc>
          <w:tcPr>
            <w:tcW w:w="110"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603,250 </w:t>
            </w:r>
          </w:p>
        </w:tc>
        <w:tc>
          <w:tcPr>
            <w:tcW w:w="13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108,910 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2,044,935 </w:t>
            </w:r>
          </w:p>
        </w:tc>
        <w:tc>
          <w:tcPr>
            <w:tcW w:w="16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749,143 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1,824,322 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412,239 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626,745 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1,548,745 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Philip E. Cohen</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2,279,402 </w:t>
            </w:r>
          </w:p>
        </w:tc>
        <w:tc>
          <w:tcPr>
            <w:tcW w:w="13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19,046 </w:t>
            </w:r>
          </w:p>
        </w:tc>
        <w:tc>
          <w:tcPr>
            <w:tcW w:w="13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3,798,448 </w:t>
            </w:r>
          </w:p>
        </w:tc>
        <w:tc>
          <w:tcPr>
            <w:tcW w:w="16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Executive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1,619,896 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3,141,493 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1,913,468 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3,436,778 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John Blair Powell, Jr.</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1,403,763 </w:t>
            </w:r>
          </w:p>
        </w:tc>
        <w:tc>
          <w:tcPr>
            <w:tcW w:w="11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762,000 </w:t>
            </w:r>
          </w:p>
        </w:tc>
        <w:tc>
          <w:tcPr>
            <w:tcW w:w="13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94,447 </w:t>
            </w:r>
          </w:p>
        </w:tc>
        <w:tc>
          <w:tcPr>
            <w:tcW w:w="13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2,860,210 </w:t>
            </w:r>
          </w:p>
        </w:tc>
        <w:tc>
          <w:tcPr>
            <w:tcW w:w="16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1,076,827 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676,500 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2,387,737 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744,576 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85,510 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2,122,811 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Lisa VanRoekel</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525,496 </w:t>
            </w:r>
          </w:p>
        </w:tc>
        <w:tc>
          <w:tcPr>
            <w:tcW w:w="11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312,420 </w:t>
            </w:r>
          </w:p>
        </w:tc>
        <w:tc>
          <w:tcPr>
            <w:tcW w:w="13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58,526 </w:t>
            </w:r>
          </w:p>
        </w:tc>
        <w:tc>
          <w:tcPr>
            <w:tcW w:w="13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1,306,442 </w:t>
            </w:r>
          </w:p>
        </w:tc>
        <w:tc>
          <w:tcPr>
            <w:tcW w:w="16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Human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568,644 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1,335,610 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Officer</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391,077 </w:t>
            </w:r>
          </w:p>
        </w:tc>
        <w:tc>
          <w:tcPr>
            <w:tcW w:w="109"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2"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290,106 </w:t>
            </w:r>
          </w:p>
        </w:tc>
        <w:tc>
          <w:tcPr>
            <w:tcW w:w="110"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8"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353,762 </w:t>
            </w:r>
          </w:p>
        </w:tc>
        <w:tc>
          <w:tcPr>
            <w:tcW w:w="137"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56,215 </w:t>
            </w:r>
          </w:p>
        </w:tc>
        <w:tc>
          <w:tcPr>
            <w:tcW w:w="131"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bottom w:val="single" w:sz="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1,091,160 </w:t>
            </w:r>
          </w:p>
        </w:tc>
        <w:tc>
          <w:tcPr>
            <w:tcW w:w="161" w:type="dxa"/>
            <w:tcBorders>
              <w:bottom w:val="single" w:sz="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(1)Amounts represent the aggregate grant date fair value of restricted stock or restricted stock unit awards, computed in accordance with FASB ASC 718-10-25. See Note 8: Common Stock And Stock Compensation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For a description of these awards, see the “Grant of Plan-Based Awards” table under “Incentive Plan Based Awards” below. See also “Compensation Discussion and Analysis — Components of Compensation and Fiscal 2024 Executive Compensation Actions — Long-Term Incentives” above.</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(2)For Named Executive Officers other than Mr. Cohen, amounts represent the incentive bonuses paid pursuant to the Short-Term Incentive Compensation Plan. See “Compensation Discussion and Analysis — Components of Compensation and Fiscal 2024 Executive Compensation Actions — Annual Incentive Bonuses” above. For Mr. Cohen, amounts represent the incentive bonuses paid pursuant to the special incentive compensation arrangement described under “Compensation Discussion and Analysis — Components of Compensation and Fiscal 2024 Executive Compensation Actions — Executive Chairman Incentive Award.”</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(3)Amounts include the cost of providing various perquisites and personal benefits,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(4)Mr. Given and Mr. Jugmans serve on the board of directors of Cash Converters International Limited, with Mr. Jugmans serving as non-executive chairman. The director fees paid to each of them during fiscal 2024 by Cash Converters International Limited were as follows: Mr. Given, AUD $97,500; and Mr. Jugmans, AUD $172,500. These amounts are not included in the Summary Compensation Table, as they were paid by Cash Converters International Limited, which is not controlled by EZCORP.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0"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color w:val="000000"/>
          <w:sz w:val="24"/>
        </w:rPr>
      </w:pPr>
      <w:r>
        <w:rPr>
          <w:rFonts w:ascii="Arial Narrow;sans-serif" w:hAnsi="Arial Narrow;sans-serif"/>
          <w:b/>
          <w:color w:val="000000"/>
          <w:sz w:val="24"/>
        </w:rPr>
        <w:t>CEO Pay Ratio</w:t>
      </w:r>
    </w:p>
    <w:p>
      <w:pPr>
        <w:pStyle w:val="TextBody"/>
        <w:bidi w:val="0"/>
        <w:spacing w:lineRule="auto" w:line="288" w:before="180" w:after="283"/>
        <w:jc w:val="left"/>
        <w:rPr/>
      </w:pPr>
      <w:r>
        <w:rPr>
          <w:rFonts w:ascii="Arial Narrow;sans-serif" w:hAnsi="Arial Narrow;sans-serif"/>
          <w:b w:val="false"/>
          <w:color w:val="000000"/>
          <w:sz w:val="20"/>
          <w:shd w:fill="FFFFFF" w:val="clear"/>
        </w:rPr>
        <w:t>The fo</w:t>
      </w:r>
      <w:r>
        <w:rPr>
          <w:rFonts w:ascii="Arial Narrow;sans-serif" w:hAnsi="Arial Narrow;sans-serif"/>
          <w:b w:val="false"/>
          <w:color w:val="000000"/>
          <w:sz w:val="20"/>
        </w:rPr>
        <w:t>llowing information sets forth our calculation of the ratio between the annual total compensation of Lachlan P. Given, our Chief Executive Officer, and the annual total compensation of our median Team Member (“CEO Pay Ratio”).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Mr. Given’s total annual compensation for fiscal 2024 was</w:t>
      </w:r>
      <w:r>
        <w:rPr>
          <w:color w:val="000000"/>
          <w:shd w:fill="FFFFFF" w:val="clear"/>
        </w:rPr>
        <w:t xml:space="preserve"> </w:t>
      </w:r>
      <w:r>
        <w:rPr>
          <w:rFonts w:ascii="Arial Narrow;sans-serif" w:hAnsi="Arial Narrow;sans-serif"/>
          <w:b w:val="false"/>
          <w:color w:val="000000"/>
          <w:sz w:val="20"/>
          <w:shd w:fill="FFFFFF" w:val="clear"/>
        </w:rPr>
        <w:t>$5,206,596.</w:t>
      </w:r>
      <w:r>
        <w:rPr>
          <w:color w:val="000000"/>
        </w:rPr>
        <w:t xml:space="preserve"> </w:t>
      </w:r>
      <w:r>
        <w:rPr>
          <w:rFonts w:ascii="Arial Narrow;sans-serif" w:hAnsi="Arial Narrow;sans-serif"/>
          <w:b w:val="false"/>
          <w:color w:val="000000"/>
          <w:sz w:val="20"/>
        </w:rPr>
        <w:t xml:space="preserve">That number is derived from the numbers set forth in the Summary Compensation Table above. </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Our median Team Member’s total annual compensation for fiscal 2024 was $18,137, consisting of gross annual wages, bonuses, overtime pay and other benefits.</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color w:val="000000"/>
          <w:sz w:val="20"/>
          <w:shd w:fill="FFFFFF" w:val="clear"/>
        </w:rPr>
        <w:t>Based on those numbers, our CEO Pay ratio for fiscal 2024 is 287:1.</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CEO Pay Ratio is based on the following methodology: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When we identified our median Team Member, we selected gross wages paid during fiscal 2024 as the most appropriate measure of compensation and applied that measure consistently across our global population. Gross wages generally include salary and wages (regular, hourly and overtime), commissions and bonuses. We annualized the compensation of all permanent full-time and part-time Team Members as of September 30, 2024.</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We calculated the median Team Member’s total annual compensation in accordance with the rules used to calculate the CEO’s compensation included in the Summary Compensation Table above.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Using this methodology, we determined that our median Team Member was a full-time certified store manager located in Mexico where Team Member wages and cost of living are significantly lower than the U.S.</w:t>
      </w:r>
    </w:p>
    <w:p>
      <w:pPr>
        <w:pStyle w:val="TextBody"/>
        <w:bidi w:val="0"/>
        <w:spacing w:lineRule="auto" w:line="288" w:before="180" w:after="283"/>
        <w:jc w:val="left"/>
        <w:rPr/>
      </w:pPr>
      <w:r>
        <w:rPr>
          <w:rFonts w:ascii="Arial Narrow;sans-serif" w:hAnsi="Arial Narrow;sans-serif"/>
          <w:b w:val="false"/>
          <w:color w:val="000000"/>
          <w:sz w:val="20"/>
        </w:rPr>
        <w:t>In calculating CEO pay ratios, companies are permitted to adopt a variety of methodologies, apply certain exclusions and make reasonable estimates and assumptions reflecting their unique employee populations. Therefore, our CEO Pay Ratio, as described above, may not be comparable to CEO pay ratios reported by other companies due to differences in industries and geographical dispersion of employees, as well as the different estimates, assumptions and meth</w:t>
      </w:r>
      <w:r>
        <w:rPr>
          <w:rFonts w:ascii="Arial Narrow;sans-serif" w:hAnsi="Arial Narrow;sans-serif"/>
          <w:b w:val="false"/>
          <w:color w:val="000000"/>
          <w:sz w:val="20"/>
          <w:shd w:fill="FFFFFF" w:val="clear"/>
        </w:rPr>
        <w:t>odologies applied by other companies in calculating their CEO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1"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Incentive Plan Based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certain information about plan-based awards that we made to the Named Executive Officers during fiscal 2024. For information about the plans under which these awards were granted, see “Compensation Discussion and Analysis — Components of Compensation and Fiscal 2024 Compensation Actions — Annual Incentive Bonus” and “Compensation Discussion and Analysis — Components of Compensation and Fiscal 2024 Executive Compensation Actions — Long-Term Incentives” above.</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Grants of Plan-Based Awards</w:t>
      </w:r>
    </w:p>
    <w:tbl>
      <w:tblPr>
        <w:tblW w:w="10989" w:type="dxa"/>
        <w:jc w:val="center"/>
        <w:tblInd w:w="0" w:type="dxa"/>
        <w:tblLayout w:type="fixed"/>
        <w:tblCellMar>
          <w:top w:w="28" w:type="dxa"/>
          <w:left w:w="28" w:type="dxa"/>
          <w:bottom w:w="28" w:type="dxa"/>
          <w:right w:w="28" w:type="dxa"/>
        </w:tblCellMar>
      </w:tblPr>
      <w:tblGrid>
        <w:gridCol w:w="427"/>
        <w:gridCol w:w="190"/>
        <w:gridCol w:w="194"/>
        <w:gridCol w:w="109"/>
        <w:gridCol w:w="109"/>
        <w:gridCol w:w="109"/>
        <w:gridCol w:w="165"/>
        <w:gridCol w:w="165"/>
        <w:gridCol w:w="166"/>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270"/>
        <w:gridCol w:w="270"/>
        <w:gridCol w:w="271"/>
        <w:gridCol w:w="109"/>
        <w:gridCol w:w="109"/>
        <w:gridCol w:w="109"/>
        <w:gridCol w:w="323"/>
        <w:gridCol w:w="323"/>
        <w:gridCol w:w="181"/>
        <w:gridCol w:w="109"/>
        <w:gridCol w:w="109"/>
        <w:gridCol w:w="109"/>
        <w:gridCol w:w="285"/>
        <w:gridCol w:w="286"/>
        <w:gridCol w:w="261"/>
        <w:gridCol w:w="109"/>
        <w:gridCol w:w="109"/>
        <w:gridCol w:w="109"/>
        <w:gridCol w:w="181"/>
        <w:gridCol w:w="766"/>
        <w:gridCol w:w="109"/>
        <w:gridCol w:w="109"/>
        <w:gridCol w:w="109"/>
        <w:gridCol w:w="154"/>
      </w:tblGrid>
      <w:tr>
        <w:trPr/>
        <w:tc>
          <w:tcPr>
            <w:tcW w:w="42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Future Payouts Under</w:t>
              <w:br/>
              <w:t>Non-Equity Incentive Plan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Estimated Future Payouts Under</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Equity Incentive 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Grant Date</w:t>
              <w:br/>
              <w:t>Fair Value</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shd w:fill="BFE4FF" w:val="clear"/>
              </w:rPr>
            </w:pPr>
            <w:r>
              <w:rPr>
                <w:rFonts w:ascii="Arial Narrow;sans-serif" w:hAnsi="Arial Narrow;sans-serif"/>
                <w:b w:val="false"/>
                <w:color w:val="000000"/>
                <w:sz w:val="18"/>
                <w:shd w:fill="BFE4FF" w:val="clear"/>
              </w:rPr>
              <w:t>10/01/2023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$1,687,500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11/04/2023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315,151 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13,916 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24,384 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8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712,500 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11/04/2023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8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Philip E. Cohen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10/1/2023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John Blair Powell, Jr.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11/04/2023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145,454 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8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Lisa VanRoekel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10/01/2023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369,000 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11/04/2023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6,494 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81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Prior Years</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184,437 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(7)</w:t>
            </w:r>
          </w:p>
        </w:tc>
      </w:tr>
    </w:tbl>
    <w:p>
      <w:pPr>
        <w:pStyle w:val="TextBody"/>
        <w:bidi w:val="0"/>
        <w:spacing w:lineRule="auto" w:line="288" w:before="120" w:after="283"/>
        <w:ind w:left="0" w:right="0" w:hanging="360"/>
        <w:jc w:val="left"/>
        <w:rPr/>
      </w:pPr>
      <w:r>
        <w:rPr>
          <w:rFonts w:ascii="Arial Narrow;sans-serif" w:hAnsi="Arial Narrow;sans-serif"/>
          <w:b w:val="false"/>
          <w:color w:val="000000"/>
          <w:sz w:val="16"/>
          <w:shd w:fill="FFFFFF" w:val="clear"/>
        </w:rPr>
        <w:t>(1)</w:t>
      </w:r>
      <w:r>
        <w:rPr>
          <w:rFonts w:ascii="Arial Narrow;sans-serif" w:hAnsi="Arial Narrow;sans-serif"/>
          <w:b w:val="false"/>
          <w:color w:val="000000"/>
          <w:sz w:val="16"/>
        </w:rPr>
        <w:t>These amounts represent the potential payouts under the fiscal 2024 Short-Term Incentive Compensation Plan. See “Compensation Discussion and Analysis — Components of Compensation and Fiscal 2024 Executive Compensation Actions — Annual Incentive Bonuses” above. The “Target” amount is the amount that would be paid if the specified performance goals are achieved at the target level (although the People and Compensation Committee may reduce any award if it chooses to do so). The “Threshold” reflects the amount that would be paid if the minimum performance goals are achieved, while the “Maximum” amount represents the maximum amount that would be paid if the maximum performance goals are achieved or exceeded. See the “Non-Equity Incentive Plan Compensation” column in the Summary Compensation Table above for the amount of the actual payout for each of the Named Executive Officers.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(2)The amounts shown represent long-term incentive (LTI) awards (stated in number of units) under our Long-Term Incentive Plans. See “Compensation Discussion and Analysis — Components of Compensation and Fiscal 2024 Executive Compensation Actions — Long-Term Incentives.</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(3)Represents the estimated grant date fair value of the fiscal 2024 LTI awards, assuming payout at “Target” level. This is the estimated amount of aggregate compensation cost we expect to recognize over the performance period, determined as of the grant date. Because of the structure of the fiscal 2024 awards (as described under “Compensation Discussion and Analysis — Components of Compensation and Fiscal 2024 Executive Compensation Actions — Long-Term Incentives — Fiscal 2024 Actions — Grant of Fiscal 2024 Awards” above), each annual tranche of the awards is treated as a separate award for accounting purposes. Consequently, the amount shown represents the grant date fair value of the first annual tranche (20% of the award) plus the grant date fair value of the cumulative three-year performance tranche (20% of the award) plus the grant date fair value of the time-based tranche (20% of the award). The grant date fair value of the second and third annual tranches will be reflected in future years when the performance conditions for those tranches are established and they are deemed to be granted for accounting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2"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rFonts w:ascii="Arial Narrow;sans-serif" w:hAnsi="Arial Narrow;sans-serif"/>
          <w:b w:val="false"/>
          <w:color w:val="000000"/>
          <w:sz w:val="16"/>
          <w:shd w:fill="FFFFFF" w:val="clear"/>
        </w:rPr>
        <w:t>(4)</w:t>
      </w:r>
      <w:r>
        <w:rPr>
          <w:rFonts w:ascii="Arial Narrow;sans-serif" w:hAnsi="Arial Narrow;sans-serif"/>
          <w:b w:val="false"/>
          <w:color w:val="000000"/>
          <w:sz w:val="16"/>
        </w:rPr>
        <w:t>Represents the grant date fair value of the “bonus” units awarded with respect to the third tranche of the fiscal 2021 LTI awards based on Adjusted Net Income performance during fiscal 2023, as discussed in our 2023 Annual Report under “Compensation Discussion and Analysis — Components of Compensation and Fiscal 2023 Executive Compensation Actions — Long-Term Incentives — Fiscal 2023 Actions — Third Year Performance of Fiscal 2021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(5)Represents the grant date fair value of the “bonus” units awarded with respect to the second tranche of the fiscal 2022 LTI awards based on Adjusted Net Income performance during fiscal 2023, as discussed in our 2023 Annual Report under “Compensation Discussion and Analysis — Components of Compensation and Fiscal 2023 Executive Compensation Actions — Long-Term Incentives — Fiscal 2023 Actions — Second Year Performance of Fiscal 2022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(6)Represents the grant date fair value of the “bonus” units awarded with respect to the first tranche of the fiscal 2023 LTI awards based on Adjusted Net Income performance during fiscal 2023, as discussed in our 2023 Annual Report under “Compensation Discussion and Analysis — Components of Compensation and Fiscal 2023 Executive Compensation Actions — Long-Term Incentives — Fiscal 2023 Actions — First Year Performance of Fiscal 2023 Awards.”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(7)Represents the aggregate grant date fair value of the third tranche of the fiscal 2022 LTI awards and the second tranche of the fiscal 2023 LTI awards. Because of the structure of those awards, these tranches were treated as separate awards for accounting purposes granted at the beginning of fiscal 2024, even though the full number of units associated with the awards was included in the “Grants of Plan-Based Awards” table in the 2022 Annual Report and the 2023 Annual Report,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3"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certain information about outstanding stock awards held by the Named Executive Officers as of the end of fiscal 2024. None of the Named Executive Officers holds any stock options.</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Outstanding Equity Awards at Fiscal Year-End</w:t>
      </w:r>
    </w:p>
    <w:tbl>
      <w:tblPr>
        <w:tblW w:w="7508" w:type="dxa"/>
        <w:jc w:val="center"/>
        <w:tblInd w:w="0" w:type="dxa"/>
        <w:tblLayout w:type="fixed"/>
        <w:tblCellMar>
          <w:top w:w="28" w:type="dxa"/>
          <w:left w:w="28" w:type="dxa"/>
          <w:bottom w:w="28" w:type="dxa"/>
          <w:right w:w="28" w:type="dxa"/>
        </w:tblCellMar>
      </w:tblPr>
      <w:tblGrid>
        <w:gridCol w:w="576"/>
        <w:gridCol w:w="511"/>
        <w:gridCol w:w="518"/>
        <w:gridCol w:w="109"/>
        <w:gridCol w:w="109"/>
        <w:gridCol w:w="109"/>
        <w:gridCol w:w="304"/>
        <w:gridCol w:w="304"/>
        <w:gridCol w:w="306"/>
        <w:gridCol w:w="109"/>
        <w:gridCol w:w="109"/>
        <w:gridCol w:w="109"/>
        <w:gridCol w:w="196"/>
        <w:gridCol w:w="196"/>
        <w:gridCol w:w="196"/>
        <w:gridCol w:w="368"/>
        <w:gridCol w:w="368"/>
        <w:gridCol w:w="196"/>
        <w:gridCol w:w="196"/>
        <w:gridCol w:w="196"/>
        <w:gridCol w:w="196"/>
        <w:gridCol w:w="109"/>
        <w:gridCol w:w="109"/>
        <w:gridCol w:w="109"/>
        <w:gridCol w:w="110"/>
        <w:gridCol w:w="110"/>
        <w:gridCol w:w="110"/>
        <w:gridCol w:w="199"/>
        <w:gridCol w:w="885"/>
        <w:gridCol w:w="110"/>
        <w:gridCol w:w="110"/>
        <w:gridCol w:w="110"/>
        <w:gridCol w:w="156"/>
      </w:tblGrid>
      <w:tr>
        <w:trPr/>
        <w:tc>
          <w:tcPr>
            <w:tcW w:w="5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Stock Awards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Award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Shares or</w:t>
              <w:br/>
              <w:t>Units of Stock</w:t>
              <w:br/>
              <w:t>That Have Not Vested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Market Value of Shares or</w:t>
              <w:br/>
              <w:t>Units of Stock</w:t>
              <w:br/>
              <w:t>That Have Not Vested (2)</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273,345 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11/04/2023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3,532,843 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307,535 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259,403 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2,907,908 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03/07/2022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956,661 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79,260 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9,155,869 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6,095 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68,325 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102,426 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11/04/2023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84,848 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951,146 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64,850 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726,969 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03/07/2022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2,611,672 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10,058 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112,750 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166,838 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11/04/2023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145,454 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1,630,539 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1,199,504 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03/07/2022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398,605 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59,445 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666,378 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4,463,170 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3,999 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44,829 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11/04/2023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475,573 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11/16/2022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476,896 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03/07/2022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414,635 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1,613,467 </w:t>
            </w:r>
          </w:p>
        </w:tc>
        <w:tc>
          <w:tcPr>
            <w:tcW w:w="110"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(1)Stated at target levels.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(2)Market value is based on the closing price of our Class A Common Stock on September 30, 2024, the last market trading day of fiscal 2024 ($11.21).</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(3)These units vested in November 2024 following approval by the People and Compensation Committee. See “Compensation Discussion and Analysis — Components of Compensation and Fiscal 2023 Executive Compensation Actions — Long-Term Incentives”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4"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Stock Vested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with respect to each of the Named Executive Officers, certain information about restricted stock that vested during fiscal 2024:</w:t>
      </w:r>
    </w:p>
    <w:tbl>
      <w:tblPr>
        <w:tblW w:w="6357" w:type="dxa"/>
        <w:jc w:val="center"/>
        <w:tblInd w:w="0" w:type="dxa"/>
        <w:tblLayout w:type="fixed"/>
        <w:tblCellMar>
          <w:top w:w="28" w:type="dxa"/>
          <w:left w:w="28" w:type="dxa"/>
          <w:bottom w:w="28" w:type="dxa"/>
          <w:right w:w="28" w:type="dxa"/>
        </w:tblCellMar>
      </w:tblPr>
      <w:tblGrid>
        <w:gridCol w:w="662"/>
        <w:gridCol w:w="583"/>
        <w:gridCol w:w="585"/>
        <w:gridCol w:w="109"/>
        <w:gridCol w:w="109"/>
        <w:gridCol w:w="109"/>
        <w:gridCol w:w="109"/>
        <w:gridCol w:w="368"/>
        <w:gridCol w:w="368"/>
        <w:gridCol w:w="286"/>
        <w:gridCol w:w="286"/>
        <w:gridCol w:w="286"/>
        <w:gridCol w:w="295"/>
        <w:gridCol w:w="109"/>
        <w:gridCol w:w="109"/>
        <w:gridCol w:w="109"/>
        <w:gridCol w:w="109"/>
        <w:gridCol w:w="109"/>
        <w:gridCol w:w="109"/>
        <w:gridCol w:w="196"/>
        <w:gridCol w:w="871"/>
        <w:gridCol w:w="109"/>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1"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 Awards</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Shares</w:t>
              <w:br/>
              <w:t>Acquired on Vesting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Value Realized</w:t>
              <w:br/>
              <w:t>on Vesting (2)</w:t>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172,962 </w:t>
            </w:r>
          </w:p>
        </w:tc>
        <w:tc>
          <w:tcPr>
            <w:tcW w:w="28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1,426,937 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96,389 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80,716 </w:t>
            </w:r>
          </w:p>
        </w:tc>
        <w:tc>
          <w:tcPr>
            <w:tcW w:w="28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665,907 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(1)Includes shares withheld to satisfy tax withholding obligations.</w:t>
      </w:r>
    </w:p>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(2)Computed using the fair market value of the stock on the date of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shd w:fill="FFFFFF" w:val="clear"/>
        </w:rPr>
      </w:pPr>
      <w:r>
        <w:rPr>
          <w:rFonts w:ascii="Arial Narrow;sans-serif" w:hAnsi="Arial Narrow;sans-serif"/>
          <w:b/>
          <w:color w:val="000000"/>
          <w:sz w:val="24"/>
          <w:shd w:fill="FFFFFF" w:val="clear"/>
        </w:rPr>
        <w:t>Other Benefits and Perquisites</w:t>
      </w:r>
    </w:p>
    <w:p>
      <w:pPr>
        <w:pStyle w:val="TextBody"/>
        <w:bidi w:val="0"/>
        <w:spacing w:lineRule="auto" w:line="288" w:before="180" w:after="283"/>
        <w:jc w:val="left"/>
        <w:rPr/>
      </w:pPr>
      <w:r>
        <w:rPr>
          <w:rFonts w:ascii="Arial Narrow;sans-serif" w:hAnsi="Arial Narrow;sans-serif"/>
          <w:b w:val="false"/>
          <w:i/>
          <w:color w:val="000000"/>
          <w:sz w:val="20"/>
          <w:shd w:fill="FFFFFF" w:val="clear"/>
        </w:rPr>
        <w:t>401(k) Retirement Plan</w:t>
      </w:r>
      <w:r>
        <w:rPr>
          <w:color w:val="000000"/>
          <w:shd w:fill="FFFFFF" w:val="clear"/>
        </w:rPr>
        <w:t xml:space="preserve"> — </w:t>
      </w:r>
      <w:r>
        <w:rPr>
          <w:rFonts w:ascii="Arial Narrow;sans-serif" w:hAnsi="Arial Narrow;sans-serif"/>
          <w:b w:val="false"/>
          <w:color w:val="000000"/>
          <w:sz w:val="20"/>
          <w:shd w:fill="FFFFFF" w:val="clear"/>
        </w:rPr>
        <w:t>All U.S. Team Members are given an opportunity to participate in our 401(k) retirement savings plan (following a new-hire waiting period). Subject to statutory limits of the IRS, this plan allows participants to have pre-tax amounts withheld from their pay and provides for a discretionary employer matching contribution (historically, 25% up to 6% of salary). Matching contributions are made in the form of cas</w:t>
      </w:r>
      <w:r>
        <w:rPr>
          <w:rFonts w:ascii="Arial Narrow;sans-serif" w:hAnsi="Arial Narrow;sans-serif"/>
          <w:b w:val="false"/>
          <w:color w:val="000000"/>
          <w:sz w:val="20"/>
        </w:rPr>
        <w:t>h. Participants may invest their contributions in various fund options, but are prohibited from investing their contributions in our common stock. A parti</w:t>
      </w:r>
      <w:r>
        <w:rPr>
          <w:rFonts w:ascii="Arial Narrow;sans-serif" w:hAnsi="Arial Narrow;sans-serif"/>
          <w:b w:val="false"/>
          <w:color w:val="000000"/>
          <w:sz w:val="20"/>
          <w:shd w:fill="FFFFFF" w:val="clear"/>
        </w:rPr>
        <w:t>cipant vests in the matching contributions over the first three years of service, provided the hours worked requirement is met. A participant’s’ matching contributions vest 100% in the event of death, disability or termination of the plan due to a change in control.</w:t>
      </w:r>
    </w:p>
    <w:p>
      <w:pPr>
        <w:pStyle w:val="TextBody"/>
        <w:bidi w:val="0"/>
        <w:spacing w:lineRule="auto" w:line="288" w:before="180" w:after="283"/>
        <w:jc w:val="left"/>
        <w:rPr/>
      </w:pPr>
      <w:r>
        <w:rPr>
          <w:rFonts w:ascii="Arial Narrow;sans-serif" w:hAnsi="Arial Narrow;sans-serif"/>
          <w:b w:val="false"/>
          <w:i/>
          <w:color w:val="000000"/>
          <w:sz w:val="20"/>
          <w:shd w:fill="FFFFFF" w:val="clear"/>
        </w:rPr>
        <w:t>Supplemental Executive Retirement Plan</w:t>
      </w:r>
      <w:r>
        <w:rPr>
          <w:color w:val="000000"/>
          <w:shd w:fill="FFFFFF" w:val="clear"/>
        </w:rPr>
        <w:t xml:space="preserve"> — </w:t>
      </w:r>
      <w:r>
        <w:rPr>
          <w:rFonts w:ascii="Arial Narrow;sans-serif" w:hAnsi="Arial Narrow;sans-serif"/>
          <w:b w:val="false"/>
          <w:color w:val="000000"/>
          <w:sz w:val="20"/>
          <w:shd w:fill="FFFFFF" w:val="clear"/>
        </w:rPr>
        <w:t>We provide U.S. executive officers with a non-qualified Supplemental Executive Retirement Plan (“SERP”) to offer a competitive benefit and to assist in offsetting potential impacts of contribution limitations applicable to our 401(k) retirement savings plan. The SERP has similar investment options as are available under the 401(k) retirement savings plan. Company contributions to the SERP are formula-based, reviewed and approved by the People and Compensation Committee each year. For fiscal 2024, our annual contributions to the SERP were calculated as 10% of base salary. For fiscal 2025, the Company contributions to the SERP will continue at the same rates for executive officers. Under the terms of the SERP, participants are also allowed to voluntarily defer all or a portion of their salary and bonus payments into the SERP. There were eight participants during fiscal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or disability or the termination of the plan due to a change in control. In addition, all Company contributed SERP funds are 100% vested when a participant attains age 50 and five years of active service. All Company contributed SERP funds are forfeited, regardless of vesting status, if the participant’s employment is terminated for cause.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5"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the SERP contributions, earnings and balance at the end of fiscal 2024 for each of the Named Executive Officers:</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Nonqualified Deferred Compensation</w:t>
      </w:r>
    </w:p>
    <w:tbl>
      <w:tblPr>
        <w:tblW w:w="10205" w:type="dxa"/>
        <w:jc w:val="left"/>
        <w:tblInd w:w="0" w:type="dxa"/>
        <w:tblLayout w:type="fixed"/>
        <w:tblCellMar>
          <w:top w:w="28" w:type="dxa"/>
          <w:left w:w="28" w:type="dxa"/>
          <w:bottom w:w="28" w:type="dxa"/>
          <w:right w:w="28" w:type="dxa"/>
        </w:tblCellMar>
      </w:tblPr>
      <w:tblGrid>
        <w:gridCol w:w="459"/>
        <w:gridCol w:w="320"/>
        <w:gridCol w:w="322"/>
        <w:gridCol w:w="109"/>
        <w:gridCol w:w="109"/>
        <w:gridCol w:w="109"/>
        <w:gridCol w:w="304"/>
        <w:gridCol w:w="1006"/>
        <w:gridCol w:w="171"/>
        <w:gridCol w:w="109"/>
        <w:gridCol w:w="109"/>
        <w:gridCol w:w="109"/>
        <w:gridCol w:w="263"/>
        <w:gridCol w:w="989"/>
        <w:gridCol w:w="146"/>
        <w:gridCol w:w="109"/>
        <w:gridCol w:w="109"/>
        <w:gridCol w:w="109"/>
        <w:gridCol w:w="436"/>
        <w:gridCol w:w="903"/>
        <w:gridCol w:w="244"/>
        <w:gridCol w:w="109"/>
        <w:gridCol w:w="109"/>
        <w:gridCol w:w="109"/>
        <w:gridCol w:w="339"/>
        <w:gridCol w:w="704"/>
        <w:gridCol w:w="192"/>
        <w:gridCol w:w="109"/>
        <w:gridCol w:w="109"/>
        <w:gridCol w:w="109"/>
        <w:gridCol w:w="268"/>
        <w:gridCol w:w="1193"/>
        <w:gridCol w:w="149"/>
        <w:gridCol w:w="162"/>
      </w:tblGrid>
      <w:tr>
        <w:trPr/>
        <w:tc>
          <w:tcPr>
            <w:tcW w:w="4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Named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Company Contributions in Fiscal 2024 (1)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Earnings in Fiscal 2024 (2)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Withdrawals/Distributions in Fiscal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Forfeitures in Fiscal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Aggregate Balance at September 30, 2024 (3)</w:t>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10"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10"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156,020 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1,010,025 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253,221 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178,479 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(1)These amounts were included in the Summary Compensation Table above in the column labeled “All Other Compensation.”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(2)These amounts were not included in the Summary Compensation Table as the earnings were not in excess of market rates.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(3)Of the Aggregate Balance at September 30, 2024, the following amounts were previously reported as compensation in the Summary Compensation Tables for prior years: $573,395 for Mr. Given; $102,943 for Mr. Jugmans; $127,463 for Mr. Powell, and $82,841 for Ms. VanRoekel.</w:t>
      </w:r>
    </w:p>
    <w:p>
      <w:pPr>
        <w:pStyle w:val="TextBody"/>
        <w:bidi w:val="0"/>
        <w:spacing w:lineRule="auto" w:line="288" w:before="180" w:after="283"/>
        <w:jc w:val="left"/>
        <w:rPr/>
      </w:pPr>
      <w:r>
        <w:rPr>
          <w:rFonts w:ascii="Arial Narrow;sans-serif" w:hAnsi="Arial Narrow;sans-serif"/>
          <w:b w:val="false"/>
          <w:i/>
          <w:color w:val="000000"/>
          <w:sz w:val="20"/>
        </w:rPr>
        <w:t>All Other Compensation</w:t>
      </w:r>
      <w:r>
        <w:rPr>
          <w:color w:val="000000"/>
        </w:rPr>
        <w:t xml:space="preserve"> — </w:t>
      </w:r>
      <w:r>
        <w:rPr>
          <w:rFonts w:ascii="Arial Narrow;sans-serif" w:hAnsi="Arial Narrow;sans-serif"/>
          <w:b w:val="false"/>
          <w:color w:val="000000"/>
          <w:sz w:val="20"/>
        </w:rPr>
        <w:t>The following table describes each component of the amounts shown in the “All Other Compensation” column in the Summary Compensation Table above.</w:t>
      </w:r>
    </w:p>
    <w:tbl>
      <w:tblPr>
        <w:tblW w:w="10205" w:type="dxa"/>
        <w:jc w:val="center"/>
        <w:tblInd w:w="0" w:type="dxa"/>
        <w:tblLayout w:type="fixed"/>
        <w:tblCellMar>
          <w:top w:w="28" w:type="dxa"/>
          <w:left w:w="28" w:type="dxa"/>
          <w:bottom w:w="28" w:type="dxa"/>
          <w:right w:w="28" w:type="dxa"/>
        </w:tblCellMar>
      </w:tblPr>
      <w:tblGrid>
        <w:gridCol w:w="466"/>
        <w:gridCol w:w="303"/>
        <w:gridCol w:w="304"/>
        <w:gridCol w:w="109"/>
        <w:gridCol w:w="109"/>
        <w:gridCol w:w="109"/>
        <w:gridCol w:w="154"/>
        <w:gridCol w:w="154"/>
        <w:gridCol w:w="158"/>
        <w:gridCol w:w="109"/>
        <w:gridCol w:w="109"/>
        <w:gridCol w:w="109"/>
        <w:gridCol w:w="280"/>
        <w:gridCol w:w="925"/>
        <w:gridCol w:w="157"/>
        <w:gridCol w:w="109"/>
        <w:gridCol w:w="109"/>
        <w:gridCol w:w="109"/>
        <w:gridCol w:w="342"/>
        <w:gridCol w:w="974"/>
        <w:gridCol w:w="192"/>
        <w:gridCol w:w="109"/>
        <w:gridCol w:w="109"/>
        <w:gridCol w:w="109"/>
        <w:gridCol w:w="333"/>
        <w:gridCol w:w="1101"/>
        <w:gridCol w:w="187"/>
        <w:gridCol w:w="109"/>
        <w:gridCol w:w="109"/>
        <w:gridCol w:w="109"/>
        <w:gridCol w:w="208"/>
        <w:gridCol w:w="688"/>
        <w:gridCol w:w="116"/>
        <w:gridCol w:w="109"/>
        <w:gridCol w:w="109"/>
        <w:gridCol w:w="109"/>
        <w:gridCol w:w="196"/>
        <w:gridCol w:w="736"/>
        <w:gridCol w:w="109"/>
        <w:gridCol w:w="160"/>
      </w:tblGrid>
      <w:tr>
        <w:trPr/>
        <w:tc>
          <w:tcPr>
            <w:tcW w:w="4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Named Executive Officer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Year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Health Care Supplemental Insurance (1)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Value of Supplemental Life Insurance Premiums (2)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Company Contributions to Defined Contribution Plans (3)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Other Benefits (4)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w:t>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70,767 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K.Jugmans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51,058 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(1)We provide a fully insured supplemental executive medical plan to certain executives, including all of the Named Executive Officers, to cover most healthcare costs in excess of amounts covered by our health insurance plans. The amounts shown (other than the fiscal 2024 and fiscal 2023 amounts for Mr. Given) represent the total premiums paid for the supplemental executive medical plan for each of the Named Executive Officers during each of the years presented. The fiscal 2024 and fiscal 2023 amounts for Mr. Given represent the amount we reimbursed Mr. Given for a supplemental health policy and other medical services in the U.K. that, along with his U.K. National Health Service coverage, provides Mr. Given with healthcare benefits that are comparable to the benefits provided to the other executive officers.</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(2)Represents group life insurance premiums paid on behalf of the Named Executive Officers. The benefit provides life and accidental death and dismemberment coverage for the Named Executive Officers at three times annual salary up to a maximum of $1 million. The fiscal 2024 and fiscal 2023 amounts for Mr. Given represent the amount we paid for a rider to the group term policy to provide Mr. Given with comparable benefits in the U.K.</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(3)Includes Company contributions to the 401(k) plan and the Supplemental Executive Retirement Plan.</w:t>
      </w:r>
    </w:p>
    <w:p>
      <w:pPr>
        <w:pStyle w:val="TextBody"/>
        <w:bidi w:val="0"/>
        <w:spacing w:lineRule="auto" w:line="288" w:before="6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(4)Includes Company-reimbursed expenses related to immigration assistance and tax support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6"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pPr>
      <w:r>
        <w:rPr>
          <w:rFonts w:ascii="Arial Narrow;sans-serif" w:hAnsi="Arial Narrow;sans-serif"/>
          <w:b w:val="false"/>
          <w:i/>
          <w:color w:val="000000"/>
          <w:sz w:val="20"/>
          <w:shd w:fill="FFFFFF" w:val="clear"/>
        </w:rPr>
        <w:t xml:space="preserve">Certain Termination and Change-in-Control Benefits </w:t>
      </w:r>
      <w:r>
        <w:rPr>
          <w:color w:val="000000"/>
          <w:shd w:fill="FFFFFF" w:val="clear"/>
        </w:rPr>
        <w:t xml:space="preserve">— </w:t>
      </w:r>
      <w:r>
        <w:rPr>
          <w:rFonts w:ascii="Arial Narrow;sans-serif" w:hAnsi="Arial Narrow;sans-serif"/>
          <w:b w:val="false"/>
          <w:color w:val="000000"/>
          <w:sz w:val="20"/>
          <w:shd w:fill="FFFFFF" w:val="clear"/>
        </w:rPr>
        <w:t>The following is a summary of various agreements that provide for benefits to the continuing Named Executive Officers upon termination of employment or a change-in-control:</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Restricted Stock Award Agreements </w:t>
      </w:r>
      <w:r>
        <w:rPr>
          <w:color w:val="000000"/>
          <w:shd w:fill="FFFFFF" w:val="clear"/>
        </w:rPr>
        <w:t xml:space="preserve">— </w:t>
      </w:r>
      <w:r>
        <w:rPr>
          <w:rFonts w:ascii="Arial Narrow;sans-serif" w:hAnsi="Arial Narrow;sans-serif"/>
          <w:b w:val="false"/>
          <w:color w:val="000000"/>
          <w:sz w:val="20"/>
          <w:shd w:fill="FFFFFF" w:val="clear"/>
        </w:rPr>
        <w:t>The standard restricted stock award agreement pursuant to which we grant restricted stock or restricted stock units to our Team Members generally provides that vesting is accelerated in the event of the holder’s death or disability.</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SERP Contributions</w:t>
      </w:r>
      <w:r>
        <w:rPr>
          <w:color w:val="000000"/>
          <w:shd w:fill="FFFFFF" w:val="clear"/>
        </w:rPr>
        <w:t xml:space="preserve"> — </w:t>
      </w:r>
      <w:r>
        <w:rPr>
          <w:rFonts w:ascii="Arial Narrow;sans-serif" w:hAnsi="Arial Narrow;sans-serif"/>
          <w:b w:val="false"/>
          <w:color w:val="000000"/>
          <w:sz w:val="20"/>
          <w:shd w:fill="FFFFFF" w:val="clear"/>
        </w:rPr>
        <w:t>For all executives who participate in the SERP (including the Named Executive Officers), any unvested Company contributions to the SERP will vest in the case of death or disability of the participant or a change in control.</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 xml:space="preserve">General Severance Benefits </w:t>
      </w:r>
      <w:r>
        <w:rPr>
          <w:color w:val="000000"/>
          <w:shd w:fill="FFFFFF" w:val="clear"/>
        </w:rPr>
        <w:t xml:space="preserve">— </w:t>
      </w:r>
      <w:r>
        <w:rPr>
          <w:rFonts w:ascii="Arial Narrow;sans-serif" w:hAnsi="Arial Narrow;sans-serif"/>
          <w:b w:val="false"/>
          <w:color w:val="000000"/>
          <w:sz w:val="20"/>
          <w:shd w:fill="FFFFFF" w:val="clear"/>
        </w:rPr>
        <w:t>We currently provide each of our executive officers (other than Mr. Cohen) with one-year salary continuation if his or her employment is terminated by the Company without cause. This severance benefit is reflected in the terms of Mr. Given’s U.K. Employment Contract. See “Compensation Discussion and Analysis — Other Executive Compensation Matters — Employment Contract for Mr. Given.”</w:t>
      </w:r>
    </w:p>
    <w:p>
      <w:pPr>
        <w:pStyle w:val="TextBody"/>
        <w:bidi w:val="0"/>
        <w:spacing w:lineRule="auto" w:line="288" w:before="180" w:after="283"/>
        <w:ind w:left="0" w:right="0" w:hanging="360"/>
        <w:jc w:val="left"/>
        <w:rPr/>
      </w:pPr>
      <w:r>
        <w:rPr>
          <w:color w:val="000000"/>
          <w:shd w:fill="FFFFFF" w:val="clear"/>
        </w:rPr>
        <w:t>•</w:t>
      </w:r>
      <w:r>
        <w:rPr>
          <w:rFonts w:ascii="Arial Narrow;sans-serif" w:hAnsi="Arial Narrow;sans-serif"/>
          <w:b w:val="false"/>
          <w:i/>
          <w:color w:val="000000"/>
          <w:sz w:val="20"/>
          <w:shd w:fill="FFFFFF" w:val="clear"/>
        </w:rPr>
        <w:t>Change in Control Severance Benefits</w:t>
      </w:r>
      <w:r>
        <w:rPr>
          <w:color w:val="000000"/>
          <w:shd w:fill="FFFFFF" w:val="clear"/>
        </w:rPr>
        <w:t xml:space="preserve"> — </w:t>
      </w:r>
      <w:r>
        <w:rPr>
          <w:rFonts w:ascii="Arial Narrow;sans-serif" w:hAnsi="Arial Narrow;sans-serif"/>
          <w:b w:val="false"/>
          <w:color w:val="000000"/>
          <w:sz w:val="20"/>
          <w:shd w:fill="FFFFFF" w:val="clear"/>
        </w:rPr>
        <w:t xml:space="preserve">The executive officers (other than Mr. Cohen) are subject to the Change in Control Severance Plan, which provides them with certain severance benefits in the form cash payments and continued healthcare benefits in the event that their employment is terminated in connection with or within two years following a change in control of the Company. See “Compensation Discussion and Analysis — Other Executive Compensation Matters — Change in Control Severance Plan.” In addition, </w:t>
      </w:r>
      <w:r>
        <w:rPr>
          <w:rFonts w:ascii="Arial Narrow;sans-serif" w:hAnsi="Arial Narrow;sans-serif"/>
          <w:b w:val="false"/>
          <w:color w:val="000000"/>
          <w:sz w:val="20"/>
        </w:rPr>
        <w:t>all outstanding LTI awards provide for the acceleration of vesting (at target levels, in the case of performance-based awards) upon the occurrence of a qualifying termination following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7"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sets forth the amounts of severance or termination benefits that would have been payable to each of the Named Executive Officers upon the occurrence of various events, assuming each of the events occurred on September 30, 2024:</w:t>
      </w:r>
    </w:p>
    <w:tbl>
      <w:tblPr>
        <w:tblW w:w="950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196"/>
        <w:gridCol w:w="871"/>
        <w:gridCol w:w="109"/>
        <w:gridCol w:w="109"/>
        <w:gridCol w:w="109"/>
        <w:gridCol w:w="109"/>
        <w:gridCol w:w="196"/>
        <w:gridCol w:w="871"/>
        <w:gridCol w:w="109"/>
        <w:gridCol w:w="109"/>
        <w:gridCol w:w="109"/>
        <w:gridCol w:w="109"/>
        <w:gridCol w:w="272"/>
        <w:gridCol w:w="1211"/>
        <w:gridCol w:w="151"/>
        <w:gridCol w:w="109"/>
        <w:gridCol w:w="109"/>
        <w:gridCol w:w="109"/>
        <w:gridCol w:w="303"/>
        <w:gridCol w:w="1139"/>
        <w:gridCol w:w="238"/>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Salary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Incentive</w:t>
              <w:br/>
              <w:t>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Accelerated Vesting of</w:t>
              <w:br/>
              <w:t>Restricted</w:t>
              <w:br/>
              <w:t>Stock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Accelerated Vesting of</w:t>
              <w:br/>
              <w:t>SERP</w:t>
              <w:br/>
              <w:t>Balance</w:t>
            </w:r>
          </w:p>
        </w:tc>
      </w:tr>
      <w:tr>
        <w:trPr/>
        <w:tc>
          <w:tcPr>
            <w:tcW w:w="2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Resignation for Good Reason: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John Blair Powell,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Death or Disability: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9,155,869 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160,443 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2,611,672 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4,463,170 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1,613,467 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87,942 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Change in Control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9,155,869 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160,443 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Timothy K. Jugmans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2,611,672 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113,619 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Philip E. Cohen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Blair Powell, Jr.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4,463,170 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Lisa VanRoekel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1,613,467 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87,942 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 xml:space="preserve">(1)Represents the number of shares subject to accelerated vesting (as described above), multiplied by the closing sales price of the Class A Common Stock on September 30, 2024 ($11.21). </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(2)Mr. Powell is fully vested in his SERP account.</w:t>
      </w:r>
    </w:p>
    <w:p>
      <w:pPr>
        <w:pStyle w:val="TextBody"/>
        <w:bidi w:val="0"/>
        <w:spacing w:lineRule="auto" w:line="288" w:before="120" w:after="283"/>
        <w:ind w:left="0" w:right="0" w:hanging="360"/>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(3)Subject to the terms of the Change in Control Severance Plan. See “Compensation Discussion and Analysis — Other Executive Compensation Matters — Change in Control Severance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8"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Director Compensation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Each non-employee director receives a basic annual retainer fee, with the Lead Independent Director, the chair of the Audit and Risk Committee and the chair of the People and Compensation Committee each receiving an additional amount. During fiscal 2023 the basic annual retainer fee was $80,000, and additional amounts paid to the Lead Independent Director, the chair of the Audit and Risk Committee and the chair of the People and Compensation Committee were $40,000, $27,500 and $15,000, respectively. Annual retainer fees are paid in cash on a quarterly basis.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People and Compensation Committee. Historically, the directors have each received an annual restricted stock award with a grant date value equal to 2X the annual retainer fee. The annual award cycle is based on our Annual Meeting of Stockholders, which is generally held in February or March of each year, with the awards being granted on the date of the Annual Meeting of Stockholders and vesting on the day immediately preceding the date of the Annual Meeting of Stockholders held in the following year (but no later than March 31).</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The following table sets forth the compensation paid to our non-employee directors for fiscal 2024. Mr. Cohen and Mr. Given are executive officers of the Company and do not receive any additional compensation for serving on the Board of Directors. </w:t>
      </w:r>
    </w:p>
    <w:tbl>
      <w:tblPr>
        <w:tblW w:w="7795" w:type="dxa"/>
        <w:jc w:val="left"/>
        <w:tblInd w:w="0" w:type="dxa"/>
        <w:tblLayout w:type="fixed"/>
        <w:tblCellMar>
          <w:top w:w="28" w:type="dxa"/>
          <w:left w:w="28" w:type="dxa"/>
          <w:bottom w:w="28" w:type="dxa"/>
          <w:right w:w="28" w:type="dxa"/>
        </w:tblCellMar>
      </w:tblPr>
      <w:tblGrid>
        <w:gridCol w:w="612"/>
        <w:gridCol w:w="539"/>
        <w:gridCol w:w="543"/>
        <w:gridCol w:w="109"/>
        <w:gridCol w:w="109"/>
        <w:gridCol w:w="109"/>
        <w:gridCol w:w="387"/>
        <w:gridCol w:w="1453"/>
        <w:gridCol w:w="215"/>
        <w:gridCol w:w="109"/>
        <w:gridCol w:w="109"/>
        <w:gridCol w:w="109"/>
        <w:gridCol w:w="372"/>
        <w:gridCol w:w="1400"/>
        <w:gridCol w:w="207"/>
        <w:gridCol w:w="109"/>
        <w:gridCol w:w="109"/>
        <w:gridCol w:w="109"/>
        <w:gridCol w:w="196"/>
        <w:gridCol w:w="73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Restricted 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w:t>
            </w:r>
          </w:p>
        </w:tc>
      </w:tr>
      <w:tr>
        <w:trPr/>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Matthew W. Appel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Jason A. Kulas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Gary L. Tillett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107,500 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(1)Amounts represent the aggregate grant date fair value of restricted stock awards, computed in accordance with FASB ASC 718-10-25. See Note 8: Common Stock And Stock Compensation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Each of the non-employee directors received a grant of 15,037 shares of restricted stock on March 21, 2024. That amount was determined by dividing $160,000 (2X the annual director fee) by $10.64, the trading price of the Class A Common Stock at the time of grant. These shares are scheduled to vest immediately before the 2025 Annual Meeting of Stockholders (but no later than March 31, 2025).</w:t>
      </w:r>
    </w:p>
    <w:p>
      <w:pPr>
        <w:pStyle w:val="TextBody"/>
        <w:bidi w:val="0"/>
        <w:spacing w:lineRule="auto" w:line="288" w:before="120" w:after="283"/>
        <w:jc w:val="left"/>
        <w:rPr>
          <w:rFonts w:ascii="Arial Narrow;sans-serif" w:hAnsi="Arial Narrow;sans-serif"/>
          <w:b w:val="false"/>
          <w:color w:val="000000"/>
          <w:sz w:val="16"/>
        </w:rPr>
      </w:pPr>
      <w:r>
        <w:rPr>
          <w:rFonts w:ascii="Arial Narrow;sans-serif" w:hAnsi="Arial Narrow;sans-serif"/>
          <w:b w:val="false"/>
          <w:color w:val="000000"/>
          <w:sz w:val="16"/>
        </w:rPr>
        <w:t>As of September 30, 2024, each of the continuing non-employee directors held 15,037 shares of unvested restricted stock.</w:t>
      </w:r>
    </w:p>
    <w:p>
      <w:pPr>
        <w:pStyle w:val="TextBody"/>
        <w:bidi w:val="0"/>
        <w:spacing w:before="0" w:after="0"/>
        <w:jc w:val="left"/>
        <w:rPr/>
      </w:pPr>
      <w:r>
        <w:rPr/>
      </w:r>
    </w:p>
    <w:p>
      <w:pPr>
        <w:pStyle w:val="TextBody"/>
        <w:bidi w:val="0"/>
        <w:spacing w:lineRule="auto" w:line="268" w:before="0" w:after="0"/>
        <w:jc w:val="left"/>
        <w:rPr/>
      </w:pPr>
      <w:r>
        <w:rPr>
          <w:rFonts w:ascii="Arial Narrow;sans-serif" w:hAnsi="Arial Narrow;sans-serif"/>
          <w:b w:val="false"/>
          <w:color w:val="000000"/>
          <w:sz w:val="20"/>
          <w:shd w:fill="FFFFFF" w:val="clear"/>
        </w:rPr>
        <w:t>The non-employee director compensation program for fiscal 2025 will generally be the same as the fiscal 2024</w:t>
      </w:r>
      <w:r>
        <w:rPr>
          <w:color w:val="000000"/>
        </w:rPr>
        <w:t xml:space="preserve"> </w:t>
      </w:r>
      <w:r>
        <w:rPr>
          <w:rFonts w:ascii="Arial Narrow;sans-serif" w:hAnsi="Arial Narrow;sans-serif"/>
          <w:b w:val="false"/>
          <w:color w:val="000000"/>
          <w:sz w:val="20"/>
        </w:rPr>
        <w:t>program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09"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12. SECURITY OWNERSHIP OF CERTAIN BENEFICIAL OWNERS AND MANAGEMENT AND RELATED STOCKHOLDER MATTERS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Equity Compensation Plans</w:t>
      </w:r>
    </w:p>
    <w:p>
      <w:pPr>
        <w:pStyle w:val="TextBody"/>
        <w:bidi w:val="0"/>
        <w:spacing w:lineRule="auto" w:line="288" w:before="180" w:after="180"/>
        <w:jc w:val="left"/>
        <w:rPr/>
      </w:pPr>
      <w:r>
        <w:rPr>
          <w:rFonts w:ascii="Arial Narrow;sans-serif" w:hAnsi="Arial Narrow;sans-serif"/>
          <w:b w:val="false"/>
          <w:color w:val="000000"/>
          <w:sz w:val="20"/>
        </w:rPr>
        <w:t xml:space="preserve">We have two equity compensation plans that have been approved by stockholders — the 2010 Long-Term Incentive Plan (applicable to outstanding long-term incentive awards issued on or before December 31, 2021) and the 2022 Long-Term Incentive Plan (applicable to all long-term incentive awards issued on or after January 1, 2022). New awards can be in the form of stock options, stock appreciation rights, stock bonuses, restricted stock, restricted stock units, performance units or performance shares although generally we issue only restricted stock and restricted stock unit awards. We do not have any equity compensation plans that were not approved by </w:t>
      </w:r>
      <w:r>
        <w:rPr>
          <w:rFonts w:ascii="Arial Narrow;sans-serif" w:hAnsi="Arial Narrow;sans-serif"/>
          <w:b w:val="false"/>
          <w:color w:val="000000"/>
          <w:sz w:val="20"/>
          <w:shd w:fill="FFFFFF" w:val="clear"/>
        </w:rPr>
        <w:t>stockholders. The following table summarizes information about our equity compensation plans as of September 30, 2024:</w:t>
      </w:r>
    </w:p>
    <w:tbl>
      <w:tblPr>
        <w:tblW w:w="10095" w:type="dxa"/>
        <w:jc w:val="left"/>
        <w:tblInd w:w="0" w:type="dxa"/>
        <w:tblLayout w:type="fixed"/>
        <w:tblCellMar>
          <w:top w:w="28" w:type="dxa"/>
          <w:left w:w="28" w:type="dxa"/>
          <w:bottom w:w="28" w:type="dxa"/>
          <w:right w:w="28" w:type="dxa"/>
        </w:tblCellMar>
      </w:tblPr>
      <w:tblGrid>
        <w:gridCol w:w="1410"/>
        <w:gridCol w:w="1239"/>
        <w:gridCol w:w="1250"/>
        <w:gridCol w:w="109"/>
        <w:gridCol w:w="109"/>
        <w:gridCol w:w="109"/>
        <w:gridCol w:w="599"/>
        <w:gridCol w:w="599"/>
        <w:gridCol w:w="601"/>
        <w:gridCol w:w="109"/>
        <w:gridCol w:w="109"/>
        <w:gridCol w:w="109"/>
        <w:gridCol w:w="509"/>
        <w:gridCol w:w="509"/>
        <w:gridCol w:w="511"/>
        <w:gridCol w:w="109"/>
        <w:gridCol w:w="109"/>
        <w:gridCol w:w="109"/>
        <w:gridCol w:w="323"/>
        <w:gridCol w:w="323"/>
        <w:gridCol w:w="279"/>
        <w:gridCol w:w="279"/>
        <w:gridCol w:w="279"/>
        <w:gridCol w:w="404"/>
      </w:tblGrid>
      <w:tr>
        <w:trPr/>
        <w:tc>
          <w:tcPr>
            <w:tcW w:w="141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Plan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 to</w:t>
              <w:br/>
              <w:t>be Issued Upon Exercise</w:t>
              <w:br/>
              <w:t>of Outstanding Options</w:t>
              <w:b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Weighted Average</w:t>
              <w:br/>
              <w:t>Exercise Price of</w:t>
              <w:br/>
              <w:t>Outstanding Options</w:t>
              <w:b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 of Securities</w:t>
              <w:br/>
              <w:t>Remaining Available for</w:t>
              <w:br/>
              <w:t>Future Issuance Under</w:t>
              <w:br/>
              <w:t>Equity Compensation</w:t>
              <w:br/>
              <w:t>Plans (Excluding</w:t>
              <w:br/>
              <w:t>Securities Reflected in</w:t>
              <w:br/>
              <w:t>Column (a))</w:t>
              <w:br/>
              <w:t>(c)</w:t>
            </w:r>
          </w:p>
        </w:tc>
      </w:tr>
      <w:tr>
        <w:trPr/>
        <w:tc>
          <w:tcPr>
            <w:tcW w:w="3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576,429 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0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576,429 </w:t>
            </w:r>
          </w:p>
        </w:tc>
        <w:tc>
          <w:tcPr>
            <w:tcW w:w="27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w:t>
            </w:r>
          </w:p>
        </w:tc>
      </w:tr>
    </w:tbl>
    <w:p>
      <w:pPr>
        <w:pStyle w:val="TextBody"/>
        <w:bidi w:val="0"/>
        <w:spacing w:lineRule="auto" w:line="288" w:before="18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(1)    Amount represents the number of shares available for issuance in the 2022 Long-Term Incentive Plan as of September 30, 2024. An additional 850,000 shares were added to the plan on October 30, 2024 to cover the fiscal 2025 LTI awards to be issued in November 2024 which will leave 280,927 shares for future issuances. The 2010 Long-Term Incentive Plan remains effective only to cover currently outstanding awards issued on or prior to December 31, 2021, as that plan was replaced by the 2022 Long-Term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0"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Stock Ownership</w:t>
      </w:r>
    </w:p>
    <w:p>
      <w:pPr>
        <w:pStyle w:val="TextBody"/>
        <w:bidi w:val="0"/>
        <w:spacing w:lineRule="auto" w:line="288" w:before="180" w:after="283"/>
        <w:jc w:val="left"/>
        <w:rPr/>
      </w:pPr>
      <w:r>
        <w:rPr>
          <w:rFonts w:ascii="Arial Narrow;sans-serif" w:hAnsi="Arial Narrow;sans-serif"/>
          <w:b w:val="false"/>
          <w:color w:val="000000"/>
          <w:sz w:val="20"/>
        </w:rPr>
        <w:t xml:space="preserve">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w:t>
      </w:r>
      <w:r>
        <w:rPr>
          <w:rFonts w:ascii="Arial Narrow;sans-serif" w:hAnsi="Arial Narrow;sans-serif"/>
          <w:b w:val="false"/>
          <w:color w:val="000000"/>
          <w:sz w:val="20"/>
          <w:shd w:fill="FFFFFF" w:val="clear"/>
        </w:rPr>
        <w:t xml:space="preserve">of November 1, 2024 (except as noted below) for (i) each person known to us to be the beneficial owner of more than 5% of the total number of shares </w:t>
      </w:r>
      <w:r>
        <w:rPr>
          <w:rFonts w:ascii="Arial Narrow;sans-serif" w:hAnsi="Arial Narrow;sans-serif"/>
          <w:b w:val="false"/>
          <w:color w:val="000000"/>
          <w:sz w:val="20"/>
        </w:rPr>
        <w:t>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tbl>
      <w:tblPr>
        <w:tblW w:w="10205" w:type="dxa"/>
        <w:jc w:val="left"/>
        <w:tblInd w:w="0" w:type="dxa"/>
        <w:tblLayout w:type="fixed"/>
        <w:tblCellMar>
          <w:top w:w="28" w:type="dxa"/>
          <w:left w:w="28" w:type="dxa"/>
          <w:bottom w:w="28" w:type="dxa"/>
          <w:right w:w="28" w:type="dxa"/>
        </w:tblCellMar>
      </w:tblPr>
      <w:tblGrid>
        <w:gridCol w:w="1104"/>
        <w:gridCol w:w="946"/>
        <w:gridCol w:w="952"/>
        <w:gridCol w:w="383"/>
        <w:gridCol w:w="383"/>
        <w:gridCol w:w="216"/>
        <w:gridCol w:w="109"/>
        <w:gridCol w:w="109"/>
        <w:gridCol w:w="109"/>
        <w:gridCol w:w="109"/>
        <w:gridCol w:w="109"/>
        <w:gridCol w:w="109"/>
        <w:gridCol w:w="109"/>
        <w:gridCol w:w="109"/>
        <w:gridCol w:w="109"/>
        <w:gridCol w:w="247"/>
        <w:gridCol w:w="249"/>
        <w:gridCol w:w="324"/>
        <w:gridCol w:w="109"/>
        <w:gridCol w:w="109"/>
        <w:gridCol w:w="109"/>
        <w:gridCol w:w="109"/>
        <w:gridCol w:w="109"/>
        <w:gridCol w:w="109"/>
        <w:gridCol w:w="109"/>
        <w:gridCol w:w="109"/>
        <w:gridCol w:w="109"/>
        <w:gridCol w:w="383"/>
        <w:gridCol w:w="383"/>
        <w:gridCol w:w="216"/>
        <w:gridCol w:w="110"/>
        <w:gridCol w:w="110"/>
        <w:gridCol w:w="110"/>
        <w:gridCol w:w="203"/>
        <w:gridCol w:w="203"/>
        <w:gridCol w:w="324"/>
        <w:gridCol w:w="109"/>
        <w:gridCol w:w="109"/>
        <w:gridCol w:w="109"/>
        <w:gridCol w:w="248"/>
        <w:gridCol w:w="226"/>
        <w:gridCol w:w="596"/>
      </w:tblGrid>
      <w:tr>
        <w:trPr/>
        <w:tc>
          <w:tcPr>
            <w:tcW w:w="110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B Voting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Beneficial Owner</w:t>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Voting Percent</w:t>
            </w:r>
          </w:p>
        </w:tc>
      </w:tr>
      <w:tr>
        <w:trPr/>
        <w:tc>
          <w:tcPr>
            <w:tcW w:w="3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MS Pawn Limited Partnership (a)</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MS Pawn Corporation</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Phillip Ean Cohen</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2500 Bee Cave Road </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Bldg One, Suite 200</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Rollingwood, Texas 78746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2,974,047 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2,970,171 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Blackrock Inc.</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50 Hudson Yards</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New York, New York 10001</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9,761,969 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ind w:left="0" w:right="0" w:hanging="360"/>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Dimensional Fund Advisors LP</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6300 Bee Cave Road, Building One</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Austin, Texas 78746</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4,068,011 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Vanguard Group Inc.</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P.O. Box 2600, V26</w:t>
            </w:r>
          </w:p>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Valley Forge, Pennsylvania 19482-2600</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3,389,461 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818,477 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158,545 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213,140 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176,322 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John Blair Powell, Jr.</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272,396 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Lisa VanRoekel</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103,925 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Directors and executive officers as a group (14 persons)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5,625,444 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2,970,171 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30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(a)MS Pawn Corporation is the general partner of MS Pawn Limited Partnership and has the sole right to vote its shares of Class B Common Stock and to direct their disposition. Mr. Cohen is the sole stockholder of MS Pawn Corporation.</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(b)The number of shares and percentage reflect Class A Common Stock, inclusive of Class B Common Stock, shares of which are convertible to Class A Common Stock on a one-to-one basis.</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(c)As of June 30, 2024 based on Form 13F.</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(d)As of September 30, 2024 based on Form 13F.</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(e)Includes 217,821 unvested restricted stock units expected to vest within 60 days of November 1, 2024.</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(f)These shares are held by a revocable trust of which Mr, Kulas is a co-trustee.</w:t>
      </w:r>
    </w:p>
    <w:p>
      <w:pPr>
        <w:pStyle w:val="TextBody"/>
        <w:bidi w:val="0"/>
        <w:spacing w:lineRule="auto" w:line="26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(g)These shares are held by Lakeside Growth Enterprises, L.P., of which Mr. Lagos is sole beneficial owner.</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(h)Includes 77,184 unvested restricted stock units expected to vest within 60 days of November 1, 2024.</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(i)Includes 125,722 unvested restricted stock units expected to vest within 60 days of November 1, 2024.</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(j)Includes 54,970 unvested restricted stock units expected to vest within 60 days of November 1, 2024.</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(k)Group includes those persons who were serving as directors and executive officers on November 1, 2024. Number shown includes 663,305 unvested restricted stock units expected to vest within 60 days of November 1, 2024.</w:t>
      </w:r>
    </w:p>
    <w:p>
      <w:pPr>
        <w:pStyle w:val="TextBody"/>
        <w:bidi w:val="0"/>
        <w:spacing w:lineRule="auto" w:line="288" w:before="60" w:after="283"/>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Shares beneficially owned do not exceed one percent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1"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13. CERTAIN RELATIONSHIPS AND RELATED TRANSACTIONS, AND DIRECTOR INDEPENDENCE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Related Party Transactions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Review and Approval of Transactions with Related Persons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Board of Directors has adopted a written comprehensive policy for the review and evaluation of all related party transactions. Under that policy, the Audit and Risk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and Risk Committee may, in its discretion, transfer its responsibilities to either the full Board of Directors or to any special committee of the Board of Directors designated and created for the purpose of reviewing, evaluating, approving or ratifying such transaction.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Employment arrangement with Nicholas Cohen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Nicholas Cohen, the son of Phillip E. Cohen, the beneficial owner of all of our Class B Voting Common Stock and our Executive Chairman, has been an employee of the Company since May 2018, currently serving in the position of Vice President, Business Development. The Company considers the employment relationship with Nicholas Cohen to be a related party transaction that is subject to the Company’s Policy for Review and Evaluation of Related Party Transactions. Accordingly, the Audit and Risk Committee reviews and approves all promotion opportunities and compensation changes for Nicholas Cohen.</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Director Independence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Board has evaluated all relationships between the Company and each of the persons who served as a director during any portion of fiscal 2024 and has made the following determinations with respect to each director’s independence:</w:t>
      </w:r>
    </w:p>
    <w:tbl>
      <w:tblPr>
        <w:tblW w:w="3236"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402"/>
        <w:gridCol w:w="402"/>
        <w:gridCol w:w="57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Status (a)</w:t>
            </w:r>
          </w:p>
        </w:tc>
      </w:tr>
      <w:tr>
        <w:trPr/>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Phillip E. Cohen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 independent (b)</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Independent</w:t>
            </w:r>
          </w:p>
        </w:tc>
      </w:tr>
    </w:tbl>
    <w:p>
      <w:pPr>
        <w:pStyle w:val="TextBody"/>
        <w:bidi w:val="0"/>
        <w:spacing w:lineRule="auto" w:line="288" w:before="120" w:after="283"/>
        <w:ind w:left="0" w:right="0" w:hanging="360"/>
        <w:jc w:val="left"/>
        <w:rPr>
          <w:rFonts w:ascii="Arial Narrow;sans-serif" w:hAnsi="Arial Narrow;sans-serif"/>
          <w:b w:val="false"/>
          <w:color w:val="000000"/>
          <w:sz w:val="18"/>
        </w:rPr>
      </w:pPr>
      <w:r>
        <w:rPr>
          <w:rFonts w:ascii="Arial Narrow;sans-serif" w:hAnsi="Arial Narrow;sans-serif"/>
          <w:b w:val="false"/>
          <w:color w:val="000000"/>
          <w:sz w:val="18"/>
        </w:rPr>
        <w:t>(a)The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pStyle w:val="TextBody"/>
        <w:bidi w:val="0"/>
        <w:spacing w:lineRule="auto" w:line="288" w:before="120" w:after="283"/>
        <w:ind w:left="0" w:right="0" w:hanging="360"/>
        <w:jc w:val="left"/>
        <w:rPr>
          <w:rFonts w:ascii="Arial Narrow;sans-serif" w:hAnsi="Arial Narrow;sans-serif"/>
          <w:b w:val="false"/>
          <w:color w:val="000000"/>
          <w:sz w:val="18"/>
        </w:rPr>
      </w:pPr>
      <w:r>
        <w:rPr>
          <w:rFonts w:ascii="Arial Narrow;sans-serif" w:hAnsi="Arial Narrow;sans-serif"/>
          <w:b w:val="false"/>
          <w:color w:val="000000"/>
          <w:sz w:val="18"/>
        </w:rPr>
        <w:t>(b)Mr. Cohen and Mr. Given were executive officers of the Company during all of fiscal 2024, and Mr. Kulas was an executive officer of the Company from February 2020 until January 2022. Therefore, they are not independent in accordance with the standards set forth in the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2"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14. PRINCIPAL ACCOUNTANT FEES AND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all fees we incurred in connection with professional services provided by BDO USA, P.C. for fiscal 2024 and 2023:</w:t>
      </w:r>
    </w:p>
    <w:tbl>
      <w:tblPr>
        <w:tblW w:w="9980" w:type="dxa"/>
        <w:jc w:val="left"/>
        <w:tblInd w:w="0" w:type="dxa"/>
        <w:tblLayout w:type="fixed"/>
        <w:tblCellMar>
          <w:top w:w="28" w:type="dxa"/>
          <w:left w:w="28" w:type="dxa"/>
          <w:bottom w:w="28" w:type="dxa"/>
          <w:right w:w="28" w:type="dxa"/>
        </w:tblCellMar>
      </w:tblPr>
      <w:tblGrid>
        <w:gridCol w:w="2595"/>
        <w:gridCol w:w="2281"/>
        <w:gridCol w:w="2293"/>
        <w:gridCol w:w="109"/>
        <w:gridCol w:w="109"/>
        <w:gridCol w:w="109"/>
        <w:gridCol w:w="181"/>
        <w:gridCol w:w="766"/>
        <w:gridCol w:w="109"/>
        <w:gridCol w:w="109"/>
        <w:gridCol w:w="109"/>
        <w:gridCol w:w="109"/>
        <w:gridCol w:w="181"/>
        <w:gridCol w:w="766"/>
        <w:gridCol w:w="154"/>
      </w:tblGrid>
      <w:tr>
        <w:trPr/>
        <w:tc>
          <w:tcPr>
            <w:tcW w:w="2595"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Year Ended September 30,</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2023</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of financial statements and audit pursuant to section 404 of the Sarbanes-Oxley Act and quarterly reviews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Audit 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1,912,000 </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1,767,000 </w:t>
            </w:r>
          </w:p>
        </w:tc>
        <w:tc>
          <w:tcPr>
            <w:tcW w:w="154"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Audit and Risk Committee has adopted a policy requiring its pre-approval of all fees to be paid to our independent audit firm, regardless of the type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15. EXHIBITS AND FINANCIAL STATEMENT SCHEDULES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The following documents are filed as a part of this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consolidated financial statements of EZCORP, Inc. are included in “Part II — Item 8 — Financial Statements and Supplementary Data”: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Report of Independent Registered Public Accounting Firm (2024 and 2023) — BDO USA, P.C.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Balance Sheets as of September 30, 2024 and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Operations for each of the three years in the period ended September 30,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Comprehensive Income for each of the three years in the period ended September 30,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Cash Flows for each of the three years in the period ended September 30,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Consolidated Statements of Stockholders’ Equity for each of the three years in the period ended September 30, 2024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Notes to Consolidated Financial Statements.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Financial Statement Schedules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statement schedules are omitted because they are not required or are not applicable, or the required information is provided in the consolidated financial statements or notes described in Item 15(a)(1)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16. FORM 10-K SUMMARY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3"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Exhibits</w:t>
      </w:r>
    </w:p>
    <w:tbl>
      <w:tblPr>
        <w:tblW w:w="10205" w:type="dxa"/>
        <w:jc w:val="left"/>
        <w:tblInd w:w="0" w:type="dxa"/>
        <w:tblLayout w:type="fixed"/>
        <w:tblCellMar>
          <w:top w:w="28" w:type="dxa"/>
          <w:left w:w="28" w:type="dxa"/>
          <w:bottom w:w="28" w:type="dxa"/>
          <w:right w:w="28" w:type="dxa"/>
        </w:tblCellMar>
      </w:tblPr>
      <w:tblGrid>
        <w:gridCol w:w="234"/>
        <w:gridCol w:w="205"/>
        <w:gridCol w:w="206"/>
        <w:gridCol w:w="1852"/>
        <w:gridCol w:w="1774"/>
        <w:gridCol w:w="1783"/>
        <w:gridCol w:w="109"/>
        <w:gridCol w:w="109"/>
        <w:gridCol w:w="109"/>
        <w:gridCol w:w="160"/>
        <w:gridCol w:w="160"/>
        <w:gridCol w:w="161"/>
        <w:gridCol w:w="218"/>
        <w:gridCol w:w="181"/>
        <w:gridCol w:w="150"/>
        <w:gridCol w:w="200"/>
        <w:gridCol w:w="200"/>
        <w:gridCol w:w="201"/>
        <w:gridCol w:w="402"/>
        <w:gridCol w:w="287"/>
        <w:gridCol w:w="268"/>
        <w:gridCol w:w="109"/>
        <w:gridCol w:w="109"/>
        <w:gridCol w:w="109"/>
        <w:gridCol w:w="264"/>
        <w:gridCol w:w="264"/>
        <w:gridCol w:w="38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18"/>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3,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18"/>
                  <w:u w:val="single"/>
                </w:rPr>
                <w:t>Certificate of Amendment, dated March 25, 2014, to the Company’s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99.1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March 25,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18"/>
                  <w:u w:val="single"/>
                </w:rPr>
                <w:t>Amended and Restated By-Laws, effective July 20, 2014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July 22,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Specimen of Class A Non-voting Common Stock Certificate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S-1</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33-41317</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August 23, 1991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18"/>
                  <w:u w:val="single"/>
                </w:rPr>
                <w:t>Description of EZCORP, Inc. Class A Non-voting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3, 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18"/>
                  <w:u w:val="single"/>
                </w:rPr>
                <w:t>Indenture, dated July 5, 2017, between EZCORP, Inc., and Wells Fargo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July 6,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18"/>
                  <w:u w:val="single"/>
                </w:rPr>
                <w:t>Indenture, dated May 14, 2018, between EZCORP, Inc., and Wells Fargo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May 15,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18"/>
                  <w:u w:val="single"/>
                </w:rPr>
                <w:t>Successor Trustee Agreement, dated September 12, 2019, Between EZCORP, Inc., and Wells Fargo Bank, National Association, as prior trustee, and Branch Banking and Trust Company, as successor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October 7,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18"/>
                  <w:u w:val="single"/>
                </w:rPr>
                <w:t>Indenture, dated December 12, 2022, between EZCORP, Inc. and Truist Bank,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December 13,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18"/>
                  <w:u w:val="single"/>
                </w:rPr>
                <w:t>EZCORP, Inc. Supplemental Executive Retirement Plan effective December 1, 2005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10.94</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December 1, 2005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10.2*</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18"/>
                  <w:u w:val="single"/>
                </w:rPr>
                <w:t>Amended and Restated EZCORP, Inc. 2010 Long-Term Incentive Plan, Effective November 28, 2018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29,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18"/>
                  <w:u w:val="single"/>
                </w:rPr>
                <w:t>Form of Protection of Sensitive Information, Noncompetition and Nonsolicitation Agreement between the Company and certain employees, including the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10.15</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24,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18"/>
                  <w:u w:val="single"/>
                </w:rPr>
                <w:t>Form of Restricted Stock Award for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10.17</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24,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18"/>
                  <w:u w:val="single"/>
                </w:rPr>
                <w:t>Amended and Restated EZCORP, Inc. 2022 Long-term Incentive Plan, Effective November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10.5</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18"/>
                  <w:u w:val="single"/>
                </w:rPr>
                <w:t>EZCORP, Inc. Change in Control Severance Plan, Effective November 15,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10.6</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FF"/>
                  <w:sz w:val="18"/>
                  <w:u w:val="single"/>
                </w:rPr>
                <w:t>Amendment to Amended and Restated EZCORP, Inc. 2010 Long-Term Incentive Plan, Effective November 15,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10.7</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16,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10.8*</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 Narrow;sans-serif" w:hAnsi="Arial Narrow;sans-serif"/>
                  <w:b w:val="false"/>
                  <w:color w:val="0000FF"/>
                  <w:sz w:val="18"/>
                  <w:u w:val="single"/>
                </w:rPr>
                <w:t>Employment Contract, dated November 14, 2023, between EZCORP UK Limited and Lachlan P. Given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10-K</w:t>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0-19424</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10.8</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November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19.1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91ezcorpincinsidertradi.htm">
              <w:r>
                <w:rPr>
                  <w:rStyle w:val="InternetLink"/>
                  <w:rFonts w:ascii="Arial Narrow;sans-serif" w:hAnsi="Arial Narrow;sans-serif"/>
                  <w:b w:val="false"/>
                  <w:color w:val="000080"/>
                  <w:sz w:val="18"/>
                  <w:u w:val="single"/>
                </w:rPr>
                <w:t>EZCORP</w:t>
              </w:r>
            </w:hyperlink>
            <w:hyperlink w:anchor="ex191ezcorpincinsidertradi.htm">
              <w:r>
                <w:rPr>
                  <w:rStyle w:val="InternetLink"/>
                  <w:rFonts w:ascii="Arial Narrow;sans-serif" w:hAnsi="Arial Narrow;sans-serif"/>
                  <w:b w:val="false"/>
                  <w:color w:val="000080"/>
                  <w:sz w:val="18"/>
                  <w:u w:val="single"/>
                </w:rPr>
                <w:t>, Inc. Insider Trading Policy</w:t>
              </w:r>
            </w:hyperlink>
            <w:hyperlink w:anchor="ex191ezcorpincinsidertradi.htm">
              <w:r>
                <w:rPr>
                  <w:rStyle w:val="InternetLink"/>
                  <w:rFonts w:ascii="Arial Narrow;sans-serif" w:hAnsi="Arial Narrow;sans-serif"/>
                  <w:b w:val="false"/>
                  <w:color w:val="000080"/>
                  <w:sz w:val="18"/>
                  <w:u w:val="single"/>
                </w:rPr>
                <w:t>, effectiv</w:t>
              </w:r>
            </w:hyperlink>
            <w:hyperlink w:anchor="ex191ezcorpincinsidertradi.htm">
              <w:r>
                <w:rPr>
                  <w:rStyle w:val="InternetLink"/>
                  <w:rFonts w:ascii="Arial Narrow;sans-serif" w:hAnsi="Arial Narrow;sans-serif"/>
                  <w:b w:val="false"/>
                  <w:color w:val="000080"/>
                  <w:sz w:val="18"/>
                  <w:u w:val="single"/>
                </w:rPr>
                <w:t>e Novemb</w:t>
              </w:r>
            </w:hyperlink>
            <w:hyperlink w:anchor="ex191ezcorpincinsidertradi.htm">
              <w:r>
                <w:rPr>
                  <w:rStyle w:val="InternetLink"/>
                  <w:rFonts w:ascii="Arial Narrow;sans-serif" w:hAnsi="Arial Narrow;sans-serif"/>
                  <w:b w:val="false"/>
                  <w:color w:val="000080"/>
                  <w:sz w:val="18"/>
                  <w:u w:val="single"/>
                </w:rPr>
                <w:t>er 5,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410xkex211listofsub.htm">
              <w:r>
                <w:rPr>
                  <w:rStyle w:val="InternetLink"/>
                  <w:rFonts w:ascii="Arial Narrow;sans-serif" w:hAnsi="Arial Narrow;sans-serif"/>
                  <w:b w:val="false"/>
                  <w:color w:val="0000FF"/>
                  <w:sz w:val="18"/>
                  <w:u w:val="single"/>
                </w:rPr>
                <w:t>List of Subsidiaries of EZCORP,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410xqex231.htm">
              <w:r>
                <w:rPr>
                  <w:rStyle w:val="InternetLink"/>
                  <w:rFonts w:ascii="Arial Narrow;sans-serif" w:hAnsi="Arial Narrow;sans-serif"/>
                  <w:b w:val="false"/>
                  <w:color w:val="0000FF"/>
                  <w:sz w:val="18"/>
                  <w:u w:val="single"/>
                </w:rPr>
                <w:t>Consent of BDO USA, P.C.,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4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q4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q410xqex321.htm">
              <w:r>
                <w:rPr>
                  <w:rStyle w:val="InternetLink"/>
                  <w:rFonts w:ascii="Arial Narrow;sans-serif" w:hAnsi="Arial Narrow;sans-serif"/>
                  <w:b w:val="false"/>
                  <w:color w:val="0000FF"/>
                  <w:sz w:val="18"/>
                  <w:u w:val="single"/>
                </w:rPr>
                <w:t xml:space="preserve">Certification of the Principal Executive Officer and Principal Financial Officer pursuant to 18 U.S.C. Section 1350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97.1</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71ezcorpinccompensation.htm">
              <w:r>
                <w:rPr>
                  <w:rStyle w:val="InternetLink"/>
                  <w:rFonts w:ascii="Arial Narrow;sans-serif" w:hAnsi="Arial Narrow;sans-serif"/>
                  <w:b w:val="false"/>
                  <w:color w:val="000080"/>
                  <w:sz w:val="18"/>
                  <w:u w:val="single"/>
                </w:rPr>
                <w:t>E</w:t>
              </w:r>
            </w:hyperlink>
            <w:hyperlink w:anchor="ex971ezcorpinccompensation.htm">
              <w:r>
                <w:rPr>
                  <w:rStyle w:val="InternetLink"/>
                  <w:rFonts w:ascii="Arial Narrow;sans-serif" w:hAnsi="Arial Narrow;sans-serif"/>
                  <w:b w:val="false"/>
                  <w:color w:val="000080"/>
                  <w:sz w:val="18"/>
                  <w:u w:val="single"/>
                </w:rPr>
                <w:t>ZCORP, I</w:t>
              </w:r>
            </w:hyperlink>
            <w:hyperlink w:anchor="ex971ezcorpinccompensation.htm">
              <w:r>
                <w:rPr>
                  <w:rStyle w:val="InternetLink"/>
                  <w:rFonts w:ascii="Arial Narrow;sans-serif" w:hAnsi="Arial Narrow;sans-serif"/>
                  <w:b w:val="false"/>
                  <w:color w:val="000080"/>
                  <w:sz w:val="18"/>
                  <w:u w:val="single"/>
                </w:rPr>
                <w:t xml:space="preserve">nc. </w:t>
              </w:r>
            </w:hyperlink>
            <w:hyperlink w:anchor="ex971ezcorpinccompensation.htm">
              <w:r>
                <w:rPr>
                  <w:rStyle w:val="InternetLink"/>
                  <w:rFonts w:ascii="Arial Narrow;sans-serif" w:hAnsi="Arial Narrow;sans-serif"/>
                  <w:b w:val="false"/>
                  <w:color w:val="000080"/>
                  <w:sz w:val="18"/>
                  <w:u w:val="single"/>
                </w:rPr>
                <w:t>Compensatio</w:t>
              </w:r>
            </w:hyperlink>
            <w:hyperlink w:anchor="ex971ezcorpinccompensation.htm">
              <w:r>
                <w:rPr>
                  <w:rStyle w:val="InternetLink"/>
                  <w:rFonts w:ascii="Arial Narrow;sans-serif" w:hAnsi="Arial Narrow;sans-serif"/>
                  <w:b w:val="false"/>
                  <w:color w:val="000080"/>
                  <w:sz w:val="18"/>
                  <w:u w:val="single"/>
                </w:rPr>
                <w:t xml:space="preserve">n Recovery Policy, effective </w:t>
              </w:r>
            </w:hyperlink>
            <w:hyperlink w:anchor="ex971ezcorpinccompensation.htm">
              <w:r>
                <w:rPr>
                  <w:rStyle w:val="InternetLink"/>
                  <w:rFonts w:ascii="Arial Narrow;sans-serif" w:hAnsi="Arial Narrow;sans-serif"/>
                  <w:b w:val="false"/>
                  <w:color w:val="000080"/>
                  <w:sz w:val="18"/>
                  <w:u w:val="single"/>
                </w:rPr>
                <w:t>August 1</w:t>
              </w:r>
            </w:hyperlink>
            <w:hyperlink w:anchor="ex971ezcorpinccompensation.htm">
              <w:r>
                <w:rPr>
                  <w:rStyle w:val="InternetLink"/>
                  <w:rFonts w:ascii="Arial Narrow;sans-serif" w:hAnsi="Arial Narrow;sans-serif"/>
                  <w:b w:val="false"/>
                  <w:color w:val="000080"/>
                  <w:sz w:val="18"/>
                  <w:u w:val="single"/>
                </w:rPr>
                <w:t>, 202</w:t>
              </w:r>
            </w:hyperlink>
            <w:hyperlink w:anchor="ex971ezcorpinccompensation.htm">
              <w:r>
                <w:rPr>
                  <w:rStyle w:val="InternetLink"/>
                  <w:rFonts w:ascii="Arial Narrow;sans-serif" w:hAnsi="Arial Narrow;sans-serif"/>
                  <w:b w:val="false"/>
                  <w:color w:val="000080"/>
                  <w:sz w:val="18"/>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Arial Narrow;sans-serif" w:hAnsi="Arial Narrow;sans-serif"/>
          <w:b w:val="false"/>
          <w:color w:val="000000"/>
          <w:sz w:val="20"/>
        </w:rPr>
      </w:pPr>
      <w:r>
        <w:rPr>
          <w:rFonts w:ascii="Arial Narrow;sans-serif" w:hAnsi="Arial Narrow;sans-serif"/>
          <w:b w:val="false"/>
          <w:color w:val="000000"/>
          <w:sz w:val="20"/>
        </w:rPr>
        <w:t>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Identifies Exhibit that consists of or includes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4"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5f49e3e276b42ada48c154579dda6f2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889" w:type="dxa"/>
        <w:jc w:val="left"/>
        <w:tblInd w:w="0" w:type="dxa"/>
        <w:tblLayout w:type="fixed"/>
        <w:tblCellMar>
          <w:top w:w="28" w:type="dxa"/>
          <w:left w:w="28" w:type="dxa"/>
          <w:bottom w:w="28" w:type="dxa"/>
          <w:right w:w="28" w:type="dxa"/>
        </w:tblCellMar>
      </w:tblPr>
      <w:tblGrid>
        <w:gridCol w:w="627"/>
        <w:gridCol w:w="552"/>
        <w:gridCol w:w="560"/>
        <w:gridCol w:w="172"/>
        <w:gridCol w:w="172"/>
        <w:gridCol w:w="172"/>
        <w:gridCol w:w="473"/>
        <w:gridCol w:w="473"/>
        <w:gridCol w:w="688"/>
      </w:tblGrid>
      <w:tr>
        <w:trPr/>
        <w:tc>
          <w:tcPr>
            <w:tcW w:w="6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EZCORP, Inc.</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Date: November 13, 2024</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By: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Lachlan P. Given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Lachlan P. Given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w:t>
            </w:r>
          </w:p>
        </w:tc>
      </w:tr>
    </w:tbl>
    <w:p>
      <w:pPr>
        <w:pStyle w:val="TextBody"/>
        <w:bidi w:val="0"/>
        <w:spacing w:before="240" w:after="283"/>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23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148"/>
        <w:gridCol w:w="1148"/>
        <w:gridCol w:w="1168"/>
        <w:gridCol w:w="109"/>
        <w:gridCol w:w="109"/>
        <w:gridCol w:w="109"/>
        <w:gridCol w:w="402"/>
        <w:gridCol w:w="402"/>
        <w:gridCol w:w="57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Date</w:t>
            </w:r>
          </w:p>
        </w:tc>
      </w:tr>
      <w:tr>
        <w:trPr/>
        <w:tc>
          <w:tcPr>
            <w:tcW w:w="17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Lachlan P. Given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Financial Officer (principal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Timothy K. Jugmans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Phillip E. Cohen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Matthew W. Appel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Zena Srivatsa Arnold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Jason A. Kulas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Pablo Lagos Espinosa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Gary L. Tillett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 Robbie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November 13, 2024</w:t>
            </w:r>
          </w:p>
        </w:tc>
      </w:tr>
      <w:tr>
        <w:trPr/>
        <w:tc>
          <w:tcPr>
            <w:tcW w:w="17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Robert J. Hicks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286000" cy="390525"/>
            <wp:effectExtent l="0" t="0" r="0" b="0"/>
            <wp:docPr id="1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 descr=""/>
                    <pic:cNvPicPr>
                      <a:picLocks noChangeAspect="1" noChangeArrowheads="1"/>
                    </pic:cNvPicPr>
                  </pic:nvPicPr>
                  <pic:blipFill>
                    <a:blip r:embed="rId26"/>
                    <a:stretch>
                      <a:fillRect/>
                    </a:stretch>
                  </pic:blipFill>
                  <pic:spPr bwMode="auto">
                    <a:xfrm>
                      <a:off x="0" y="0"/>
                      <a:ext cx="2286000" cy="390525"/>
                    </a:xfrm>
                    <a:prstGeom prst="rect">
                      <a:avLst/>
                    </a:prstGeom>
                  </pic:spPr>
                </pic:pic>
              </a:graphicData>
            </a:graphic>
          </wp:inline>
        </w:drawing>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6"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136.85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107</w:t>
                      </w:r>
                    </w:p>
                  </w:txbxContent>
                </v:textbox>
                <w10:wrap type="none"/>
              </v:rect>
            </w:pict>
          </mc:Fallback>
        </mc:AlternateContent>
      </w:r>
    </w:p>
    <w:p>
      <w:pPr>
        <w:pStyle w:val="TextBody"/>
        <w:bidi w:val="0"/>
        <w:spacing w:lineRule="auto" w:line="288" w:before="120" w:after="120"/>
        <w:jc w:val="left"/>
        <w:rPr>
          <w:rFonts w:ascii="Calibri;sans-serif" w:hAnsi="Calibri;sans-serif"/>
          <w:b/>
          <w:color w:val="000000"/>
          <w:sz w:val="28"/>
        </w:rPr>
      </w:pPr>
      <w:r>
        <w:rPr>
          <w:rFonts w:ascii="Calibri;sans-serif" w:hAnsi="Calibri;sans-serif"/>
          <w:b/>
          <w:color w:val="000000"/>
          <w:sz w:val="28"/>
        </w:rPr>
        <w:t>INSIDER TRADING POLICY</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7"/>
        <w:gridCol w:w="1537"/>
        <w:gridCol w:w="1537"/>
        <w:gridCol w:w="1537"/>
        <w:gridCol w:w="1537"/>
        <w:gridCol w:w="21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INTRODUCTION</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2"/>
              </w:rPr>
            </w:pPr>
            <w:r>
              <w:rPr>
                <w:rFonts w:ascii="Calibri;sans-serif" w:hAnsi="Calibri;sans-serif"/>
                <w:b w:val="false"/>
                <w:color w:val="000000"/>
                <w:sz w:val="22"/>
              </w:rPr>
              <w:t>This policy provides detailed information about the treatment of material, non-public information related to the EZCORP, Inc. and its wholly owned subsidiaries and affiliates (the “Company”) and the rules pertaining to such information with which all directors, officers, employees, contractors, and consultants are expected to comply.</w:t>
              <w:b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DEFINITIONS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40"/>
              <w:jc w:val="left"/>
              <w:rPr/>
            </w:pPr>
            <w:r>
              <w:rPr>
                <w:rFonts w:ascii="Calibri;sans-serif" w:hAnsi="Calibri;sans-serif"/>
                <w:b/>
                <w:color w:val="000000"/>
                <w:sz w:val="24"/>
              </w:rPr>
              <w:t>Material Information</w:t>
            </w:r>
            <w:r>
              <w:rPr>
                <w:color w:val="000000"/>
              </w:rPr>
              <w:t xml:space="preserve"> </w:t>
            </w:r>
            <w:r>
              <w:rPr>
                <w:rFonts w:ascii="Calibri;sans-serif" w:hAnsi="Calibri;sans-serif"/>
                <w:b w:val="false"/>
                <w:color w:val="000000"/>
                <w:sz w:val="24"/>
              </w:rPr>
              <w:t xml:space="preserve">- Information is material if there is a substantial likelihood a reasonable investor would consider the information as significantly altering the total mix of information available. Thus, information may be </w:t>
            </w:r>
            <w:r>
              <w:rPr>
                <w:rFonts w:ascii="Calibri;sans-serif" w:hAnsi="Calibri;sans-serif"/>
                <w:b w:val="false"/>
                <w:color w:val="231F20"/>
                <w:sz w:val="24"/>
              </w:rPr>
              <w:t xml:space="preserve">material if it is likely </w:t>
            </w:r>
            <w:r>
              <w:rPr>
                <w:rFonts w:ascii="Calibri;sans-serif" w:hAnsi="Calibri;sans-serif"/>
                <w:b w:val="false"/>
                <w:color w:val="000000"/>
                <w:sz w:val="24"/>
              </w:rPr>
              <w:t>that a reasonable investor would consider it important in making a decision to buy, hold, or sell securities. Any information that could be expected to affect the Company’s stock price, whether it is positive or negative, should be considered material. Examples of information that could be, but is not necessarily, material are:</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Financial results (annual, quarterly or otherwise), including earnings that are inconsistent with the Company’s consensus expectations of the investment community or guidance, if any;</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Projections of future earnings or losses, or other earnings guidance;</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A pending or proposed merger, acquisition or tender offer;</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A pending or proposed acquisition or disposition of a significant asset;</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A change in dividend policy, declaration of stock split or other offering of securities;</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Significant changes in the Company’s credit ratings;</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Significant corporate events, including material cyber, data or personnel matters;</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Major personnel changes ,particularly departures or elections of executive officers or certain directors;</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Development of a significant new product, service or process;</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Impending bankruptcy or the existence of severe liquidity problems;</w:t>
            </w:r>
          </w:p>
          <w:p>
            <w:pPr>
              <w:pStyle w:val="TableContents"/>
              <w:bidi w:val="0"/>
              <w:spacing w:lineRule="auto" w:line="288" w:before="0" w:after="0"/>
              <w:ind w:left="0" w:right="0" w:hanging="360"/>
              <w:jc w:val="left"/>
              <w:rPr/>
            </w:pPr>
            <w:r>
              <w:rPr>
                <w:color w:val="000000"/>
              </w:rPr>
              <w:t>•</w:t>
            </w:r>
            <w:r>
              <w:rPr>
                <w:rFonts w:ascii="Calibri;sans-serif" w:hAnsi="Calibri;sans-serif"/>
                <w:b w:val="false"/>
                <w:color w:val="000000"/>
                <w:sz w:val="24"/>
              </w:rPr>
              <w:t>The gain or loss of a significant customer or supplier; and</w:t>
            </w:r>
          </w:p>
          <w:p>
            <w:pPr>
              <w:pStyle w:val="TableContents"/>
              <w:bidi w:val="0"/>
              <w:spacing w:lineRule="auto" w:line="288" w:before="0" w:after="120"/>
              <w:ind w:left="0" w:right="0" w:hanging="360"/>
              <w:jc w:val="left"/>
              <w:rPr/>
            </w:pPr>
            <w:r>
              <w:rPr>
                <w:color w:val="000000"/>
              </w:rPr>
              <w:t>•</w:t>
            </w:r>
            <w:r>
              <w:rPr>
                <w:rFonts w:ascii="Calibri;sans-serif" w:hAnsi="Calibri;sans-serif"/>
                <w:b w:val="false"/>
                <w:color w:val="000000"/>
                <w:sz w:val="24"/>
              </w:rPr>
              <w:t>Significant actions or threats of actions by regulatory bodies or litigation related to the Company.</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If you are uncertain whether the information is material, please consult with the Chief Legal Officer.</w:t>
            </w:r>
          </w:p>
          <w:p>
            <w:pPr>
              <w:pStyle w:val="TableContents"/>
              <w:bidi w:val="0"/>
              <w:spacing w:lineRule="auto" w:line="288" w:before="0" w:after="240"/>
              <w:jc w:val="left"/>
              <w:rPr/>
            </w:pPr>
            <w:r>
              <w:rPr>
                <w:rFonts w:ascii="Calibri;sans-serif" w:hAnsi="Calibri;sans-serif"/>
                <w:b/>
                <w:color w:val="000000"/>
                <w:sz w:val="24"/>
              </w:rPr>
              <w:t xml:space="preserve">Non-Public Information </w:t>
            </w:r>
            <w:r>
              <w:rPr>
                <w:color w:val="000000"/>
              </w:rPr>
              <w:t xml:space="preserve">– </w:t>
            </w:r>
            <w:r>
              <w:rPr>
                <w:rFonts w:ascii="Calibri;sans-serif" w:hAnsi="Calibri;sans-serif"/>
                <w:b w:val="false"/>
                <w:color w:val="000000"/>
                <w:sz w:val="24"/>
              </w:rPr>
              <w:t xml:space="preserve">Information is “non-public” if it has not been previously disclosed to the general public and is otherwise not generally available to the investing public. In order for information to be considered “public,” it must be widely disseminated in a manner making it generally available to the investing public with enough time for the investing public to absorb the information fully. </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3297"/>
        <w:gridCol w:w="2524"/>
        <w:gridCol w:w="3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POLICY</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3.1</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Calibri;sans-serif" w:hAnsi="Calibri;sans-serif"/>
                <w:b/>
                <w:color w:val="000000"/>
                <w:sz w:val="24"/>
              </w:rPr>
              <w:t>Prohibited Transactions</w:t>
            </w:r>
            <w:r>
              <w:rPr>
                <w:rFonts w:ascii="Calibri;sans-serif" w:hAnsi="Calibri;sans-serif"/>
                <w:b w:val="false"/>
                <w:color w:val="000000"/>
                <w:sz w:val="24"/>
              </w:rPr>
              <w:t xml:space="preserve">. It is the policy of the Company that no director, officer, employee, contractor or consultant of the Company who is aware of Material, Non-Public Information relating to the Company may, directly or through </w:t>
            </w:r>
            <w:r>
              <w:rPr>
                <w:rFonts w:ascii="Calibri;sans-serif" w:hAnsi="Calibri;sans-serif"/>
                <w:b w:val="false"/>
                <w:color w:val="231F20"/>
                <w:sz w:val="24"/>
              </w:rPr>
              <w:t>Related Persons (as defined below), (a) engage in any transaction in the Company’s securities, including by buying, selling or gifting securities of the Company, or (b) disclosing or tipping that information, either directly or indirectly, on to others outside the Company who may transact in the Company’s securities, except as permitted by this policy</w:t>
            </w:r>
            <w:r>
              <w:rPr>
                <w:rFonts w:ascii="Calibri;sans-serif" w:hAnsi="Calibri;sans-serif"/>
                <w:b w:val="false"/>
                <w:color w:val="000000"/>
                <w:sz w:val="24"/>
              </w:rPr>
              <w:t xml:space="preserve">. </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In addition, it is the policy of the Company that no director, officer or other employee or consultant of the Company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3.2</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Mandatory Advance Notification and Approval Procedures</w:t>
            </w:r>
          </w:p>
          <w:p>
            <w:pPr>
              <w:pStyle w:val="TableContents"/>
              <w:bidi w:val="0"/>
              <w:spacing w:lineRule="auto" w:line="288" w:before="0" w:after="120"/>
              <w:jc w:val="left"/>
              <w:rPr/>
            </w:pPr>
            <w:r>
              <w:rPr>
                <w:rFonts w:ascii="Calibri;sans-serif" w:hAnsi="Calibri;sans-serif"/>
                <w:b w:val="false"/>
                <w:color w:val="000000"/>
                <w:sz w:val="24"/>
              </w:rPr>
              <w:t>All directors and officers and their Related Persons (each a “Covered Person”) are subject to the mandatory advance notification and approval requirements. Any Covered Person who intends to transact in the Company’s securities must review the proposed transaction in advance with the Chief Legal Officer or their designee (</w:t>
            </w:r>
            <w:r>
              <w:rPr>
                <w:rFonts w:ascii="Calibri;sans-serif" w:hAnsi="Calibri;sans-serif"/>
                <w:b w:val="false"/>
                <w:color w:val="0000FF"/>
                <w:sz w:val="24"/>
                <w:u w:val="single"/>
              </w:rPr>
              <w:t>trading@ezcorp.com</w:t>
            </w:r>
            <w:r>
              <w:rPr>
                <w:rFonts w:ascii="Calibri;sans-serif" w:hAnsi="Calibri;sans-serif"/>
                <w:b w:val="false"/>
                <w:color w:val="000000"/>
                <w:sz w:val="24"/>
              </w:rPr>
              <w:t>).</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You should provide the Chief Legal Officer with information regarding the type of transaction and the number of shares involved, and either confirm that you possess no Material, Non-Public Information concerning the Company or inform the reviewer of any circumstances that you believe could present an issue in that regard. The reviewer will subsequently contact you in writing to communicate any position the Company has on the proposed transaction. You may not engage in the transaction unless you receive approval from the Chief Legal Officer. If you receive approval but you do not execute the transaction within four business days after the transaction is reviewed and approved, you should check with the reviewer again before entering into the transaction. Please allow sufficient time (at least two business days) for consideration of a proposed transaction under the advance notification and approval requirements.</w:t>
            </w:r>
          </w:p>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The clearance of a proposed transaction by the Chief Legal Officer does not constitute legal advice or otherwise acknowledge that you do not possess Material, Non-Public Information. You must ultimately make your own judgments regarding, and are personally responsible for determining, whether you are in possession of m Material, Non-Public Information.</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The existence of the foregoing approval procedures does not obligate the Company to approve any transaction involving Company securities. The Chief Legal Officer may reject any approval request in their discretion, subject to review by, and the discretion of, the Chief Executive Officer.</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2830"/>
        <w:gridCol w:w="2739"/>
        <w:gridCol w:w="3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3.3</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Blackout Periods</w:t>
            </w:r>
          </w:p>
          <w:p>
            <w:pPr>
              <w:pStyle w:val="TableContents"/>
              <w:bidi w:val="0"/>
              <w:spacing w:lineRule="auto" w:line="288" w:before="0" w:after="120"/>
              <w:jc w:val="left"/>
              <w:rPr/>
            </w:pPr>
            <w:r>
              <w:rPr>
                <w:rFonts w:ascii="Calibri;sans-serif" w:hAnsi="Calibri;sans-serif"/>
                <w:b w:val="false"/>
                <w:color w:val="000000"/>
                <w:sz w:val="24"/>
              </w:rPr>
              <w:t xml:space="preserve">The Company has designated blackout periods when it is more likely that you have Material, Non-Public Information. You may not trade in the Company’s securities during any of these designated blackout periods. </w:t>
            </w:r>
            <w:r>
              <w:rPr>
                <w:rFonts w:ascii="Calibri;sans-serif" w:hAnsi="Calibri;sans-serif"/>
                <w:b/>
                <w:color w:val="000000"/>
                <w:sz w:val="24"/>
              </w:rPr>
              <w:t>These blackout periods begin on the 16</w:t>
            </w:r>
            <w:r>
              <w:rPr>
                <w:rFonts w:ascii="Calibri;sans-serif" w:hAnsi="Calibri;sans-serif"/>
                <w:b/>
                <w:color w:val="000000"/>
                <w:sz w:val="16"/>
              </w:rPr>
              <w:t xml:space="preserve">th </w:t>
            </w:r>
            <w:r>
              <w:rPr>
                <w:rFonts w:ascii="Calibri;sans-serif" w:hAnsi="Calibri;sans-serif"/>
                <w:b/>
                <w:color w:val="000000"/>
                <w:sz w:val="24"/>
              </w:rPr>
              <w:t>day of the last month of each quarter (December 16, March 16, June 16, and September 16) and continue until two business days after the Company’s earnings announcement.</w:t>
            </w:r>
          </w:p>
          <w:p>
            <w:pPr>
              <w:pStyle w:val="TableContents"/>
              <w:bidi w:val="0"/>
              <w:spacing w:lineRule="auto" w:line="288" w:before="0" w:after="120"/>
              <w:jc w:val="left"/>
              <w:rPr/>
            </w:pPr>
            <w:r>
              <w:rPr>
                <w:rFonts w:ascii="Calibri;sans-serif" w:hAnsi="Calibri;sans-serif"/>
                <w:b w:val="false"/>
                <w:color w:val="000000"/>
                <w:sz w:val="24"/>
              </w:rPr>
              <w:t xml:space="preserve">The Company may make an announcement of material information not related to periodic earnings. In this case, you should not trade in the Company’s securities for two business days after the announcement. </w:t>
            </w:r>
            <w:r>
              <w:rPr>
                <w:rFonts w:ascii="Calibri;sans-serif" w:hAnsi="Calibri;sans-serif"/>
                <w:b w:val="false"/>
                <w:color w:val="231F20"/>
                <w:sz w:val="24"/>
              </w:rPr>
              <w:t xml:space="preserve">Depending on the particular circumstances, the Company may determine that a longer or shorter blackout period should apply to the release of </w:t>
            </w:r>
            <w:r>
              <w:rPr>
                <w:rFonts w:ascii="Calibri;sans-serif" w:hAnsi="Calibri;sans-serif"/>
                <w:b w:val="false"/>
                <w:color w:val="000000"/>
                <w:sz w:val="24"/>
              </w:rPr>
              <w:t>Material, Non-Public Information</w:t>
            </w:r>
            <w:r>
              <w:rPr>
                <w:rFonts w:ascii="Calibri;sans-serif" w:hAnsi="Calibri;sans-serif"/>
                <w:b w:val="false"/>
                <w:color w:val="231F20"/>
                <w:sz w:val="24"/>
              </w:rPr>
              <w:t xml:space="preserve">. </w:t>
            </w:r>
            <w:r>
              <w:rPr>
                <w:rFonts w:ascii="Calibri;sans-serif" w:hAnsi="Calibri;sans-serif"/>
                <w:b w:val="false"/>
                <w:color w:val="000000"/>
                <w:sz w:val="24"/>
              </w:rPr>
              <w:t>If you have any questions about whether the information is public or about designated blackout periods, you must consult with the Company’s Chief Legal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3.4</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Additional Restrictions in Specific Circumstances</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 xml:space="preserve">From time to time, the Company may recommend or require that directors, officers, selected employees and others refrain from trading because of developments known to the Company and not yet disclosed to the public. In such a case, the persons so advised should not engage in any transaction involving the Company’s securities until advised that the restriction has been terminated and should not disclose to others inside or outside of the Company the fact that the Company has imposed a trading restriction.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3.5</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No Safe Harbor</w:t>
            </w:r>
          </w:p>
          <w:p>
            <w:pPr>
              <w:pStyle w:val="TableContents"/>
              <w:bidi w:val="0"/>
              <w:spacing w:lineRule="auto" w:line="288" w:before="0" w:after="120"/>
              <w:jc w:val="left"/>
              <w:rPr/>
            </w:pPr>
            <w:r>
              <w:rPr>
                <w:rFonts w:ascii="Calibri;sans-serif" w:hAnsi="Calibri;sans-serif"/>
                <w:b/>
                <w:color w:val="000000"/>
                <w:sz w:val="24"/>
              </w:rPr>
              <w:t>The existence of blackout periods and situation-specific trading restrictions should not be considered a safe harbor for trading during other periods, and all directors, officers and other employees</w:t>
            </w:r>
            <w:r>
              <w:rPr>
                <w:color w:val="000000"/>
              </w:rPr>
              <w:t xml:space="preserve"> </w:t>
            </w:r>
            <w:r>
              <w:rPr>
                <w:rFonts w:ascii="Calibri;sans-serif" w:hAnsi="Calibri;sans-serif"/>
                <w:b/>
                <w:color w:val="000000"/>
                <w:sz w:val="24"/>
              </w:rPr>
              <w:t>or consultants</w:t>
            </w:r>
            <w:r>
              <w:rPr>
                <w:color w:val="000000"/>
              </w:rPr>
              <w:t xml:space="preserve"> </w:t>
            </w:r>
            <w:r>
              <w:rPr>
                <w:rFonts w:ascii="Calibri;sans-serif" w:hAnsi="Calibri;sans-serif"/>
                <w:b/>
                <w:color w:val="000000"/>
                <w:sz w:val="24"/>
              </w:rPr>
              <w:t>should use good judgment at all times</w:t>
            </w:r>
            <w:r>
              <w:rPr>
                <w:rFonts w:ascii="Calibri;sans-serif" w:hAnsi="Calibri;sans-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3.6</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Transactions by Related Persons</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This policy also applies to anyone who lives in your household, any family members who do not live in your household but whose transactions in the Company’s securities are directed by you or are subject to your influence or control (such as parents or children who consult with you before they trade in Company’s securities), and entities over which you have actual control, directly or indirectly (collectively, “Related Persons”). You are responsible for the transactions of these Related Persons and therefore should make them aware of the need to confer with you before they trade in the Company’s securities.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2765"/>
        <w:gridCol w:w="2765"/>
        <w:gridCol w:w="39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3.7</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Permitted Transactions</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Regardless of whether you are in possession of material, non-public information, the following transactions are permitted by this Policy, except as specifically noted:</w:t>
            </w:r>
          </w:p>
          <w:p>
            <w:pPr>
              <w:pStyle w:val="TableContents"/>
              <w:bidi w:val="0"/>
              <w:spacing w:lineRule="auto" w:line="288" w:before="0" w:after="0"/>
              <w:ind w:left="0" w:right="0" w:hanging="360"/>
              <w:jc w:val="left"/>
              <w:rPr/>
            </w:pPr>
            <w:r>
              <w:rPr>
                <w:color w:val="000000"/>
              </w:rPr>
              <w:t>•</w:t>
            </w:r>
            <w:r>
              <w:rPr>
                <w:rFonts w:ascii="Calibri;sans-serif" w:hAnsi="Calibri;sans-serif"/>
                <w:b/>
                <w:color w:val="000000"/>
                <w:sz w:val="24"/>
              </w:rPr>
              <w:t>Restricted Stock Awards:</w:t>
            </w:r>
            <w:r>
              <w:rPr>
                <w:color w:val="000000"/>
              </w:rPr>
              <w:t xml:space="preserve"> </w:t>
            </w:r>
            <w:r>
              <w:rPr>
                <w:rFonts w:ascii="Calibri;sans-serif" w:hAnsi="Calibri;sans-serif"/>
                <w:b w:val="false"/>
                <w:color w:val="000000"/>
                <w:sz w:val="24"/>
              </w:rPr>
              <w:t>This policy permits the grant or vesting of an award of restricted stock, or the exercise of a tax withholding right pursuant to which you elect to have the Company withhold shares of stock to satisfy tax withholding requirements upon the vesting of any restricted stock. This policy does not permit, however, any market sale of restricted stock.</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Calibri;sans-serif" w:hAnsi="Calibri;sans-serif"/>
                <w:b/>
                <w:color w:val="000000"/>
                <w:sz w:val="24"/>
              </w:rPr>
              <w:t xml:space="preserve">Rule 10b5-1 Plans: </w:t>
            </w:r>
            <w:r>
              <w:rPr>
                <w:rFonts w:ascii="Calibri;sans-serif" w:hAnsi="Calibri;sans-serif"/>
                <w:b w:val="false"/>
                <w:color w:val="000000"/>
                <w:sz w:val="24"/>
              </w:rPr>
              <w:t>This policy permits transactions made pursuant to a Rule 10b5-1 Plan. A “Rule 10b5-1 Plan” is a written plan for transacting in the Company securities that, at the time it is adopted or modified, conforms to all of the requirements of Rule 10b5-1 as then in effect. Everyone must obtain authorization from the Chief Legal Officer before entering into or modifying a Rule 10b5-1 Plan. Transactions made under an approved Rule 10b-5 Plan are not subject to quarterly trading restrictions or pre-clearance requirements.</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Calibri;sans-serif" w:hAnsi="Calibri;sans-serif"/>
                <w:b/>
                <w:color w:val="000000"/>
                <w:sz w:val="24"/>
              </w:rPr>
              <w:t xml:space="preserve">Stock Option Exercises: </w:t>
            </w:r>
            <w:r>
              <w:rPr>
                <w:rFonts w:ascii="Calibri;sans-serif" w:hAnsi="Calibri;sans-serif"/>
                <w:b w:val="false"/>
                <w:color w:val="000000"/>
                <w:sz w:val="24"/>
              </w:rPr>
              <w:t>This policy permits the exercise or settlement of an employee stock option or other stock-based compensation acquired pursuant to a Company stock option plan, or to the exercise of a tax withholding right or net settlement pursuant to which the Company withholds shares subject to an option to satisfy tax withholding requirements or the exercise price. This policy does not permit, however, any sale of stock as part of a broker-assisted cashless exercise of an option, or any other market sale for the purpose of generating the cash needed to pay the exercise price of an option.</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000000"/>
              </w:rPr>
              <w:t>•</w:t>
            </w:r>
            <w:r>
              <w:rPr>
                <w:rFonts w:ascii="Calibri;sans-serif" w:hAnsi="Calibri;sans-serif"/>
                <w:b/>
                <w:color w:val="000000"/>
                <w:sz w:val="24"/>
              </w:rPr>
              <w:t xml:space="preserve">401(k) Plan: </w:t>
            </w:r>
            <w:r>
              <w:rPr>
                <w:rFonts w:ascii="Calibri;sans-serif" w:hAnsi="Calibri;sans-serif"/>
                <w:b w:val="false"/>
                <w:color w:val="000000"/>
                <w:sz w:val="24"/>
              </w:rPr>
              <w:t>This policy permits purchases of Company stock in a 401(k) plan resulting from your periodic contribution of money to the plan pursuant to your payroll deduction election and elections to suspend entirely future payroll deductions designated for the purchase of Company common stock through any Company 401(k) plan. This policy does not permit, however, certain elections you may make under a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your election to pre-pay a plan loan if the pre-payment will result in allocation of loan proceeds to the Company stock fund.</w:t>
            </w:r>
          </w:p>
          <w:p>
            <w:pPr>
              <w:pStyle w:val="TableContents"/>
              <w:bidi w:val="0"/>
              <w:spacing w:before="0" w:after="0"/>
              <w:jc w:val="left"/>
              <w:rPr/>
            </w:pPr>
            <w:r>
              <w:rPr/>
            </w:r>
          </w:p>
          <w:p>
            <w:pPr>
              <w:pStyle w:val="TableContents"/>
              <w:bidi w:val="0"/>
              <w:spacing w:lineRule="auto" w:line="288" w:before="0" w:after="120"/>
              <w:ind w:left="0" w:right="0" w:hanging="360"/>
              <w:jc w:val="left"/>
              <w:rPr/>
            </w:pPr>
            <w:r>
              <w:rPr>
                <w:color w:val="000000"/>
              </w:rPr>
              <w:t>•</w:t>
            </w:r>
            <w:r>
              <w:rPr>
                <w:rFonts w:ascii="Calibri;sans-serif" w:hAnsi="Calibri;sans-serif"/>
                <w:b/>
                <w:color w:val="000000"/>
                <w:sz w:val="24"/>
              </w:rPr>
              <w:t>Approved Transactions</w:t>
            </w:r>
            <w:r>
              <w:rPr>
                <w:rFonts w:ascii="Calibri;sans-serif" w:hAnsi="Calibri;sans-serif"/>
                <w:b w:val="false"/>
                <w:color w:val="000000"/>
                <w:sz w:val="24"/>
              </w:rPr>
              <w:t>: Any transaction approved in writing in advance by the Chief Legal Officer, subject to the terms of the requestor’s disclosure.</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6"/>
        <w:gridCol w:w="2768"/>
        <w:gridCol w:w="2768"/>
        <w:gridCol w:w="3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3.8</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Additional Prohibited Transactions</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No one may engage in any of the following transactions:</w:t>
            </w:r>
          </w:p>
          <w:p>
            <w:pPr>
              <w:pStyle w:val="TableContents"/>
              <w:bidi w:val="0"/>
              <w:spacing w:lineRule="auto" w:line="288" w:before="0" w:after="0"/>
              <w:ind w:left="0" w:right="0" w:hanging="360"/>
              <w:jc w:val="left"/>
              <w:rPr/>
            </w:pPr>
            <w:r>
              <w:rPr>
                <w:color w:val="000000"/>
              </w:rPr>
              <w:t>•</w:t>
            </w:r>
            <w:r>
              <w:rPr>
                <w:rFonts w:ascii="Calibri;sans-serif" w:hAnsi="Calibri;sans-serif"/>
                <w:b/>
                <w:color w:val="000000"/>
                <w:sz w:val="24"/>
              </w:rPr>
              <w:t>Post-Termination Transactions</w:t>
            </w:r>
            <w:r>
              <w:rPr>
                <w:rFonts w:ascii="Calibri;sans-serif" w:hAnsi="Calibri;sans-serif"/>
                <w:b w:val="false"/>
                <w:color w:val="000000"/>
                <w:sz w:val="24"/>
              </w:rPr>
              <w:t>: This policy continues to apply to your transactions in the Company’s securities even after you have terminated employment. If you are in possession of Material, Non-Public Information when your employment terminates, you may not trade in the Company’s securities until that information has become public or is no longer material.</w:t>
            </w:r>
          </w:p>
          <w:p>
            <w:pPr>
              <w:pStyle w:val="TableContents"/>
              <w:bidi w:val="0"/>
              <w:spacing w:before="0" w:after="0"/>
              <w:jc w:val="left"/>
              <w:rPr/>
            </w:pPr>
            <w:r>
              <w:rPr/>
            </w:r>
          </w:p>
          <w:p>
            <w:pPr>
              <w:pStyle w:val="TableContents"/>
              <w:bidi w:val="0"/>
              <w:spacing w:lineRule="auto" w:line="288" w:before="0" w:after="120"/>
              <w:ind w:left="0" w:right="0" w:hanging="360"/>
              <w:jc w:val="left"/>
              <w:rPr/>
            </w:pPr>
            <w:r>
              <w:rPr>
                <w:color w:val="000000"/>
              </w:rPr>
              <w:t>•</w:t>
            </w:r>
            <w:r>
              <w:rPr>
                <w:rFonts w:ascii="Calibri;sans-serif" w:hAnsi="Calibri;sans-serif"/>
                <w:b/>
                <w:color w:val="000000"/>
                <w:sz w:val="24"/>
              </w:rPr>
              <w:t>Other Transactions</w:t>
            </w:r>
            <w:r>
              <w:rPr>
                <w:rFonts w:ascii="Calibri;sans-serif" w:hAnsi="Calibri;sans-serif"/>
                <w:b w:val="false"/>
                <w:color w:val="000000"/>
                <w:sz w:val="24"/>
              </w:rPr>
              <w:t>: Other transactions in the Company’s securities that are barred by any other Company policy, including as described in the Company’s Derivative Trading Policy.</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3.9</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Duty to Report</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Any director, officer or other employee or consultant who violates this policy or any federal or state laws governing insider trading or tipping, or knows of any such violation by any other employee, officer or director, must report the violation immediately to the Chief Legal Officer. Upon learning of any such violation, the Chief Legal Officer, in consultation with the Company’s Chief Executive Officer and Chief Financial Officer, will determine whether the Company should release any Material, Non-Public Information or whether the Company should report the violation to the U.S. Securities and Exchange Commission or other appropriate governmental authority.</w:t>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SCOPE</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This policy applies to all directors, officers, employees, consultants, and contractors of the Company. As noted above, this policy also applies to Related Persons of the aforementioned parties.</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3"/>
        <w:gridCol w:w="1533"/>
        <w:gridCol w:w="1533"/>
        <w:gridCol w:w="1533"/>
        <w:gridCol w:w="1533"/>
        <w:gridCol w:w="2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 xml:space="preserve">5. </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 xml:space="preserve">COMPLIANCE </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 xml:space="preserve">The Legal Department is responsible for administering and enforcing the policy.  </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Failure to comply with this policy may subject a director, officer, employee, contractor or consultant to civil or criminal penalties. Violations of this policy also may result in Company-imposed sanctions, including disciplinary action, up to and including termination.</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A violation of this policy is not necessarily the same as a violation of law.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Any person who has a question about this policy or its application to any proposed transaction may obtain additional guidance from the Chief Legal Officer by contacting trading@ezcorp.com. Ultimately, however, the responsibility for adhering to this policy and avoiding unlawful transactions rests with the individual employee.</w:t>
            </w:r>
          </w:p>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Directors and officers are subject to additional restrictions on their transactions in Company securities, which are described in a separate memorandum.</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4"/>
              </w:rPr>
            </w:pPr>
            <w:r>
              <w:rPr>
                <w:rFonts w:ascii="Calibri;sans-serif" w:hAnsi="Calibri;sans-serif"/>
                <w:b/>
                <w:color w:val="000000"/>
                <w:sz w:val="24"/>
              </w:rPr>
              <w:t xml:space="preserve">6. </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Calibri;sans-serif" w:hAnsi="Calibri;sans-serif"/>
                <w:b/>
                <w:color w:val="000000"/>
                <w:sz w:val="24"/>
              </w:rPr>
            </w:pPr>
            <w:r>
              <w:rPr>
                <w:rFonts w:ascii="Calibri;sans-serif" w:hAnsi="Calibri;sans-serif"/>
                <w:b/>
                <w:color w:val="000000"/>
                <w:sz w:val="24"/>
              </w:rPr>
              <w:t>APPROVED BY</w:t>
            </w:r>
          </w:p>
          <w:p>
            <w:pPr>
              <w:pStyle w:val="TableContents"/>
              <w:bidi w:val="0"/>
              <w:spacing w:lineRule="auto" w:line="288" w:before="0" w:after="120"/>
              <w:jc w:val="left"/>
              <w:rPr>
                <w:rFonts w:ascii="Calibri;sans-serif" w:hAnsi="Calibri;sans-serif"/>
                <w:b w:val="false"/>
                <w:color w:val="000000"/>
                <w:sz w:val="24"/>
              </w:rPr>
            </w:pPr>
            <w:r>
              <w:rPr>
                <w:rFonts w:ascii="Calibri;sans-serif" w:hAnsi="Calibri;sans-serif"/>
                <w:b w:val="false"/>
                <w:color w:val="000000"/>
                <w:sz w:val="24"/>
              </w:rPr>
              <w:t>This policy was approved by the Executive Committee. The policy will be reviewed periodically and updated as needed.</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360"/>
        <w:jc w:val="right"/>
        <w:rPr>
          <w:rFonts w:ascii="Times New Roman;sans-serif" w:hAnsi="Times New Roman;sans-serif"/>
          <w:b/>
          <w:color w:val="000000"/>
          <w:sz w:val="20"/>
        </w:rPr>
      </w:pPr>
      <w:r>
        <w:rPr>
          <w:rFonts w:ascii="Times New Roman;sans-serif" w:hAnsi="Times New Roman;sans-serif"/>
          <w:b/>
          <w:color w:val="000000"/>
          <w:sz w:val="20"/>
        </w:rPr>
        <w:t>Exhibit 21.1</w:t>
      </w:r>
    </w:p>
    <w:tbl>
      <w:tblPr>
        <w:tblW w:w="6779" w:type="dxa"/>
        <w:jc w:val="center"/>
        <w:tblInd w:w="0" w:type="dxa"/>
        <w:tblLayout w:type="fixed"/>
        <w:tblCellMar>
          <w:top w:w="28" w:type="dxa"/>
          <w:left w:w="28" w:type="dxa"/>
          <w:bottom w:w="28" w:type="dxa"/>
          <w:right w:w="28" w:type="dxa"/>
        </w:tblCellMar>
      </w:tblPr>
      <w:tblGrid>
        <w:gridCol w:w="1529"/>
        <w:gridCol w:w="1343"/>
        <w:gridCol w:w="1343"/>
        <w:gridCol w:w="748"/>
        <w:gridCol w:w="748"/>
        <w:gridCol w:w="1068"/>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67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SUBSIDIARIES OF EZCORP, INC.</w:t>
            </w:r>
          </w:p>
        </w:tc>
      </w:tr>
      <w:tr>
        <w:trPr/>
        <w:tc>
          <w:tcPr>
            <w:tcW w:w="67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42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Brainerd Honduras, S.A. de C.V.</w:t>
            </w:r>
          </w:p>
        </w:tc>
        <w:tc>
          <w:tcPr>
            <w:tcW w:w="256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Honduras</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Brainerd, S.A.</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Brainerd, S.A. de C.V.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Camira Administration Corp.</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Capital International Holdings, B.V.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Capital Mexico Holdings, S.A. de C.V.</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CCV Americas, LLC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CCV Latin America Coöperatief, U.A.</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CCV Pennsylvania,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EGreen Financial,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 Online Sales,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 Talent S. de R.L. de C.V.</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 Transfers S.A. de C.V.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FS Holdings,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Global, B.V.</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Global Holdings, C.V.</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International,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International Holdings, LLC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Latin America Coöperatief, U.A.</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Services,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UK Limited</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USA,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EZMONEY Canada Holdings,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EZMONEY Canada,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EZMONEY Tario,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Alabama,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Arizona,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Arkansas,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Colorado,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Florida,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Georgia,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Holdings,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Illinois,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Indiana,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Iowa,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Management Mexico, S. de R.L. de C.V.</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Mexico Holdings, LLC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Mexico Ltd., LLC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Minnesota,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MS,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Nevada,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Oklahoma, Inc.</w:t>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Oregon, Inc.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200" w:after="20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13" w:type="dxa"/>
        <w:jc w:val="center"/>
        <w:tblInd w:w="0" w:type="dxa"/>
        <w:tblLayout w:type="fixed"/>
        <w:tblCellMar>
          <w:top w:w="28" w:type="dxa"/>
          <w:left w:w="28" w:type="dxa"/>
          <w:bottom w:w="28" w:type="dxa"/>
          <w:right w:w="28" w:type="dxa"/>
        </w:tblCellMar>
      </w:tblPr>
      <w:tblGrid>
        <w:gridCol w:w="1387"/>
        <w:gridCol w:w="1219"/>
        <w:gridCol w:w="1219"/>
        <w:gridCol w:w="726"/>
        <w:gridCol w:w="726"/>
        <w:gridCol w:w="1036"/>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31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SUBSIDIARIES OF EZCORP, INC.</w:t>
            </w:r>
          </w:p>
        </w:tc>
      </w:tr>
      <w:tr>
        <w:trPr/>
        <w:tc>
          <w:tcPr>
            <w:tcW w:w="63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Services Mexico, S. de R.L.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Tennessee, Inc.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EZPAWN Utah, Inc.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Janama Honduras, S.A.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Honduras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Janama, S.A.</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Guatemala</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Janama, S.A.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Khoper Advisors, Ltd.</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Madras Investments Corp.</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Maxiprestamos. S.A.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Miravet Planning Corp</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Panama</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Mister Money Holdings, Inc.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 Luxury, LLC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Operadora de Servicios, S.A.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Parkway Insurance, Inc.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PLO Del Bajio S. de R.L.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Prenda Aval, S.A. de C.V.</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Renueva Comercial, S.A.P.I.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Rollingwood Holdings, LLC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Salvaprenda, S.A. de C.V.</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 Salvador</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EZPAWN, L.P.</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EZPAWN Management, Inc.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Unicode Market, Inc.</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Panama</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Pawn &amp; Jewelry Co. XI, LLC</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825" w:type="dxa"/>
            <w:gridSpan w:val="3"/>
            <w:tcBorders>
              <w:bottom w:val="dotted"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Pawn &amp; Jewelry Co. 19, LLC</w:t>
            </w:r>
          </w:p>
        </w:tc>
        <w:tc>
          <w:tcPr>
            <w:tcW w:w="2488" w:type="dxa"/>
            <w:gridSpan w:val="3"/>
            <w:tcBorders>
              <w:bottom w:val="dotted"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24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77520"/>
                <wp:effectExtent l="0" t="0" r="0" b="0"/>
                <wp:wrapNone/>
                <wp:docPr id="124" name="Frame11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before="0" w:after="0"/>
                              <w:jc w:val="center"/>
                              <w:rPr/>
                            </w:pPr>
                            <w:r>
                              <w:rPr/>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200" w:after="200"/>
                        <w:jc w:val="center"/>
                        <w:rPr/>
                      </w:pPr>
                      <w:r>
                        <w:rPr/>
                      </w:r>
                    </w:p>
                  </w:txbxContent>
                </v:textbox>
                <w10:wrap type="none"/>
              </v:rect>
            </w:pict>
          </mc:Fallback>
        </mc:AlternateContent>
      </w:r>
    </w:p>
    <w:p>
      <w:pPr>
        <w:pStyle w:val="TextBody"/>
        <w:bidi w:val="0"/>
        <w:spacing w:lineRule="auto" w:line="288" w:before="240" w:after="283"/>
        <w:jc w:val="right"/>
        <w:rPr>
          <w:rFonts w:ascii="Arial Narrow;sans-serif" w:hAnsi="Arial Narrow;sans-serif"/>
          <w:b/>
          <w:color w:val="000000"/>
          <w:sz w:val="20"/>
        </w:rPr>
      </w:pPr>
      <w:r>
        <w:rPr>
          <w:rFonts w:ascii="Arial Narrow;sans-serif" w:hAnsi="Arial Narrow;sans-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20"/>
          <w:u w:val="single"/>
        </w:rPr>
      </w:pPr>
      <w:r>
        <w:rPr>
          <w:rFonts w:ascii="Arial Narrow;sans-serif" w:hAnsi="Arial Narrow;sans-serif"/>
          <w:b w:val="false"/>
          <w:color w:val="000000"/>
          <w:sz w:val="20"/>
          <w:u w:val="single"/>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Inc.</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Rollingwood, Texas</w:t>
        <w:br/>
        <w:br/>
        <w:t>We hereby consent to the incorporation by reference in the Registration Statements on Form S-4 (No. 333-202627), Form S-8 (No. 333-282908), Form S-8 (No. 333-275304), Form S-8 (No. 333-267814), Form S-8 (333-266551), Form S-8 (333-263308), Form S-8 (No. 333-228618), Form S-8 (No. 333-221996), Form S-8 (No. 333-215294), Form S-8 (No. 333-210647), Form S-8 (No. 333-209088), Form S-8 (No. 333-202628), Form S-8 (No. 333-191677) of EZCORP, Inc. of our reports dated November 13, 2024, relating to the consolidated financial statements, and the effectiveness of EZCORP, Inc.’s internal control over financial reporting, which appear in this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rebuchet MS;sans-serif" w:hAnsi="Trebuchet MS;sans-serif"/>
          <w:b w:val="false"/>
          <w:color w:val="000000"/>
          <w:sz w:val="21"/>
        </w:rPr>
        <w:t xml:space="preserve">/s/ </w:t>
      </w:r>
      <w:r>
        <w:rPr>
          <w:rFonts w:ascii="Arial Narrow;sans-serif" w:hAnsi="Arial Narrow;sans-serif"/>
          <w:b w:val="false"/>
          <w:color w:val="000000"/>
          <w:sz w:val="20"/>
        </w:rPr>
        <w:t>BDO USA, P.C.</w:t>
        <w:br/>
        <w:t>Dallas, Texas</w:t>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 xml:space="preserve">November 13,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Lachlan P. Given, Chief Executive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Lachlan P. Given,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2024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of Timothy K. Jugmans, Chief Financial Officer,</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Timothy K. Jugmans, certify that: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EZCORP, Inc.;</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2024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of EZCORP, Inc. hereby certify that (a) EZCORP’s Annual Report on Form 10-K for the year ended September 30, 2024,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4312" w:type="dxa"/>
        <w:jc w:val="left"/>
        <w:tblInd w:w="0" w:type="dxa"/>
        <w:tblLayout w:type="fixed"/>
        <w:tblCellMar>
          <w:top w:w="28" w:type="dxa"/>
          <w:left w:w="28" w:type="dxa"/>
          <w:bottom w:w="28" w:type="dxa"/>
          <w:right w:w="28" w:type="dxa"/>
        </w:tblCellMar>
      </w:tblPr>
      <w:tblGrid>
        <w:gridCol w:w="813"/>
        <w:gridCol w:w="716"/>
        <w:gridCol w:w="720"/>
        <w:gridCol w:w="219"/>
        <w:gridCol w:w="219"/>
        <w:gridCol w:w="219"/>
        <w:gridCol w:w="219"/>
        <w:gridCol w:w="219"/>
        <w:gridCol w:w="219"/>
        <w:gridCol w:w="219"/>
        <w:gridCol w:w="219"/>
        <w:gridCol w:w="311"/>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13, 2024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Lachlan P. Given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Lachlan P. Given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tbl>
      <w:tblPr>
        <w:tblW w:w="4380" w:type="dxa"/>
        <w:jc w:val="left"/>
        <w:tblInd w:w="0" w:type="dxa"/>
        <w:tblLayout w:type="fixed"/>
        <w:tblCellMar>
          <w:top w:w="28" w:type="dxa"/>
          <w:left w:w="28" w:type="dxa"/>
          <w:bottom w:w="28" w:type="dxa"/>
          <w:right w:w="28" w:type="dxa"/>
        </w:tblCellMar>
      </w:tblPr>
      <w:tblGrid>
        <w:gridCol w:w="836"/>
        <w:gridCol w:w="735"/>
        <w:gridCol w:w="739"/>
        <w:gridCol w:w="220"/>
        <w:gridCol w:w="220"/>
        <w:gridCol w:w="220"/>
        <w:gridCol w:w="220"/>
        <w:gridCol w:w="220"/>
        <w:gridCol w:w="220"/>
        <w:gridCol w:w="220"/>
        <w:gridCol w:w="220"/>
        <w:gridCol w:w="31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Date: November 13, 2024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05050" cy="400050"/>
            <wp:effectExtent l="0" t="0" r="0" b="0"/>
            <wp:docPr id="1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 descr=""/>
                    <pic:cNvPicPr>
                      <a:picLocks noChangeAspect="1" noChangeArrowheads="1"/>
                    </pic:cNvPicPr>
                  </pic:nvPicPr>
                  <pic:blipFill>
                    <a:blip r:embed="rId27"/>
                    <a:stretch>
                      <a:fillRect/>
                    </a:stretch>
                  </pic:blipFill>
                  <pic:spPr bwMode="auto">
                    <a:xfrm>
                      <a:off x="0" y="0"/>
                      <a:ext cx="2305050" cy="400050"/>
                    </a:xfrm>
                    <a:prstGeom prst="rect">
                      <a:avLst/>
                    </a:prstGeom>
                  </pic:spPr>
                </pic:pic>
              </a:graphicData>
            </a:graphic>
          </wp:inline>
        </w:drawing>
      </w:r>
    </w:p>
    <w:p>
      <w:pPr>
        <w:pStyle w:val="TextBody"/>
        <w:bidi w:val="0"/>
        <w:spacing w:before="58" w:after="283"/>
        <w:jc w:val="left"/>
        <w:rPr/>
      </w:pPr>
      <w:r>
        <w:rPr/>
      </w:r>
    </w:p>
    <w:p>
      <w:pPr>
        <w:pStyle w:val="TextBody"/>
        <w:bidi w:val="0"/>
        <w:spacing w:lineRule="auto" w:line="288" w:before="0" w:after="0"/>
        <w:jc w:val="center"/>
        <w:rPr>
          <w:rFonts w:ascii="Calibri;sans-serif" w:hAnsi="Calibri;sans-serif"/>
          <w:b/>
          <w:color w:val="000000"/>
          <w:sz w:val="28"/>
        </w:rPr>
      </w:pPr>
      <w:r>
        <w:rPr>
          <w:rFonts w:ascii="Calibri;sans-serif" w:hAnsi="Calibri;sans-serif"/>
          <w:b/>
          <w:color w:val="000000"/>
          <w:sz w:val="28"/>
        </w:rPr>
        <w:t>Compensation Recovery Policy</w:t>
      </w:r>
    </w:p>
    <w:p>
      <w:pPr>
        <w:pStyle w:val="TextBody"/>
        <w:bidi w:val="0"/>
        <w:spacing w:before="92" w:after="283"/>
        <w:jc w:val="left"/>
        <w:rPr/>
      </w:pPr>
      <w:r>
        <w:rPr/>
      </w:r>
    </w:p>
    <w:p>
      <w:pPr>
        <w:pStyle w:val="TextBody"/>
        <w:bidi w:val="0"/>
        <w:spacing w:lineRule="auto" w:line="288" w:before="0" w:after="0"/>
        <w:jc w:val="both"/>
        <w:rPr>
          <w:rFonts w:ascii="Calibri;sans-serif" w:hAnsi="Calibri;sans-serif"/>
          <w:b w:val="false"/>
          <w:i/>
          <w:color w:val="000000"/>
          <w:sz w:val="22"/>
        </w:rPr>
      </w:pPr>
      <w:r>
        <w:rPr>
          <w:rFonts w:ascii="Calibri;sans-serif" w:hAnsi="Calibri;sans-serif"/>
          <w:b w:val="false"/>
          <w:i/>
          <w:color w:val="000000"/>
          <w:sz w:val="22"/>
        </w:rPr>
        <w:t>This Compensation Recovery Policy is adopted to address recovery of Erroneously Awarded Compensation from Covered Persons in the event of an Accounting Restatement, as further described herein. Terms used herein with their initial letter capitalized have the meanings ascribed to them under “Definitions” below.</w:t>
      </w:r>
    </w:p>
    <w:p>
      <w:pPr>
        <w:pStyle w:val="TextBody"/>
        <w:bidi w:val="0"/>
        <w:spacing w:before="91" w:after="283"/>
        <w:jc w:val="left"/>
        <w:rPr/>
      </w:pPr>
      <w:r>
        <w:rPr/>
      </w:r>
    </w:p>
    <w:p>
      <w:pPr>
        <w:pStyle w:val="TextBody"/>
        <w:bidi w:val="0"/>
        <w:spacing w:lineRule="auto" w:line="288" w:before="0" w:after="0"/>
        <w:jc w:val="both"/>
        <w:rPr>
          <w:rFonts w:ascii="Calibri;sans-serif" w:hAnsi="Calibri;sans-serif"/>
          <w:b/>
          <w:color w:val="000000"/>
          <w:sz w:val="22"/>
        </w:rPr>
      </w:pPr>
      <w:r>
        <w:rPr>
          <w:rFonts w:ascii="Calibri;sans-serif" w:hAnsi="Calibri;sans-serif"/>
          <w:b/>
          <w:color w:val="000000"/>
          <w:sz w:val="22"/>
        </w:rPr>
        <w:t>Recovery of Erroneously Awarded Compensation</w:t>
      </w:r>
    </w:p>
    <w:p>
      <w:pPr>
        <w:pStyle w:val="TextBody"/>
        <w:bidi w:val="0"/>
        <w:spacing w:lineRule="auto" w:line="288" w:before="200" w:after="283"/>
        <w:ind w:left="0" w:right="0" w:hanging="1"/>
        <w:jc w:val="both"/>
        <w:rPr>
          <w:rFonts w:ascii="Calibri;sans-serif" w:hAnsi="Calibri;sans-serif"/>
          <w:b w:val="false"/>
          <w:color w:val="000000"/>
          <w:sz w:val="22"/>
        </w:rPr>
      </w:pPr>
      <w:r>
        <w:rPr>
          <w:rFonts w:ascii="Calibri;sans-serif" w:hAnsi="Calibri;sans-serif"/>
          <w:b w:val="false"/>
          <w:color w:val="000000"/>
          <w:sz w:val="22"/>
        </w:rPr>
        <w:t>If the Company is required to prepare an Accounting Restatement, the Company shall take reasonably prompt action to recover all Erroneously Awarded Compensation from any Covered Person (except as described under “Exceptions to Recovery” below).</w:t>
      </w:r>
    </w:p>
    <w:p>
      <w:pPr>
        <w:pStyle w:val="TextBody"/>
        <w:bidi w:val="0"/>
        <w:spacing w:lineRule="auto" w:line="288" w:before="200" w:after="283"/>
        <w:jc w:val="both"/>
        <w:rPr>
          <w:rFonts w:ascii="Calibri;sans-serif" w:hAnsi="Calibri;sans-serif"/>
          <w:b w:val="false"/>
          <w:color w:val="000000"/>
          <w:sz w:val="22"/>
        </w:rPr>
      </w:pPr>
      <w:r>
        <w:rPr>
          <w:rFonts w:ascii="Calibri;sans-serif" w:hAnsi="Calibri;sans-serif"/>
          <w:b w:val="false"/>
          <w:color w:val="000000"/>
          <w:sz w:val="22"/>
        </w:rPr>
        <w:t>This Policy is in addition to any right of repayment, forfeiture or offset against any Covered Person that may be available under applicable law or otherwise, whether implemented prior to or after the effective date of this Policy. The Board or any authorized committee thereof, each in its sole discretion and in the exercise of its business judgment, may determine whether and to what extent additional action is appropriate to address the circumstances surrounding any Accounting Restatement to minimize the likelihood of any recurrence and to impose such other discipline as it deems necessary, appropriate or desirable.</w:t>
      </w:r>
    </w:p>
    <w:p>
      <w:pPr>
        <w:pStyle w:val="TextBody"/>
        <w:bidi w:val="0"/>
        <w:spacing w:lineRule="auto" w:line="288" w:before="200" w:after="283"/>
        <w:jc w:val="both"/>
        <w:rPr>
          <w:rFonts w:ascii="Calibri;sans-serif" w:hAnsi="Calibri;sans-serif"/>
          <w:b/>
          <w:color w:val="000000"/>
          <w:sz w:val="22"/>
        </w:rPr>
      </w:pPr>
      <w:r>
        <w:rPr>
          <w:rFonts w:ascii="Calibri;sans-serif" w:hAnsi="Calibri;sans-serif"/>
          <w:b/>
          <w:color w:val="000000"/>
          <w:sz w:val="22"/>
        </w:rPr>
        <w:t>Compensation Subject to Recovery</w:t>
      </w:r>
    </w:p>
    <w:p>
      <w:pPr>
        <w:pStyle w:val="TextBody"/>
        <w:bidi w:val="0"/>
        <w:spacing w:lineRule="auto" w:line="288" w:before="200" w:after="283"/>
        <w:jc w:val="both"/>
        <w:rPr>
          <w:color w:val="000000"/>
        </w:rPr>
      </w:pPr>
      <w:r>
        <w:rPr>
          <w:color w:val="000000"/>
        </w:rPr>
        <w:t>“</w:t>
      </w:r>
      <w:r>
        <w:rPr>
          <w:rFonts w:ascii="Calibri;sans-serif" w:hAnsi="Calibri;sans-serif"/>
          <w:b w:val="false"/>
          <w:color w:val="000000"/>
          <w:sz w:val="22"/>
        </w:rPr>
        <w:t>Erroneously Awarded Compensation,” with respect to any Covered Person, is the amount of Incentive Compensation Received by such Covered Person in excess of the amount of Incentive Compensation that would have been Received by such Covered Person had such Incentive Compensation been determined based on the restated amounts. Such amount shall be computed without regard to any taxes paid.</w:t>
      </w:r>
    </w:p>
    <w:p>
      <w:pPr>
        <w:pStyle w:val="TextBody"/>
        <w:bidi w:val="0"/>
        <w:spacing w:lineRule="auto" w:line="288" w:before="200" w:after="283"/>
        <w:jc w:val="both"/>
        <w:rPr>
          <w:rFonts w:ascii="Calibri;sans-serif" w:hAnsi="Calibri;sans-serif"/>
          <w:b w:val="false"/>
          <w:color w:val="000000"/>
          <w:sz w:val="22"/>
        </w:rPr>
      </w:pPr>
      <w:r>
        <w:rPr>
          <w:rFonts w:ascii="Calibri;sans-serif" w:hAnsi="Calibri;sans-serif"/>
          <w:b w:val="false"/>
          <w:color w:val="000000"/>
          <w:sz w:val="22"/>
        </w:rPr>
        <w:t>Notwithstanding the foregoing, only Incentive Compensation that is Received by a Covered Person (a) after beginning service as an Executive Officer, (b) who served as an Executive Officer at any time during the performance period associated with that Incentive Compensation, (c) while the Company had a class of securities listed on a national securities exchange or national securities association and (d) during the Recovery Period shall be subject to recovery as Erroneously Awarded Compensation.</w:t>
      </w:r>
    </w:p>
    <w:p>
      <w:pPr>
        <w:pStyle w:val="TextBody"/>
        <w:bidi w:val="0"/>
        <w:spacing w:lineRule="auto" w:line="288" w:before="200" w:after="283"/>
        <w:jc w:val="both"/>
        <w:rPr>
          <w:rFonts w:ascii="Calibri;sans-serif" w:hAnsi="Calibri;sans-serif"/>
          <w:b w:val="false"/>
          <w:color w:val="000000"/>
          <w:sz w:val="22"/>
        </w:rPr>
      </w:pPr>
      <w:r>
        <w:rPr>
          <w:rFonts w:ascii="Calibri;sans-serif" w:hAnsi="Calibri;sans-serif"/>
          <w:b w:val="false"/>
          <w:color w:val="000000"/>
          <w:sz w:val="22"/>
        </w:rPr>
        <w:t>For Incentive Compensation based on stock price or total shareholder return where the amount of Erroneously Awarded Compensation is not subject to mathematical recalculation directly from information included in the Accounting Restatement, the amount of the Erroneously Awarded Compensation shall be determined by the P&amp;C Committee based on a reasonable estimate of the effect of the Accounting Restatement on the stock price or total shareholder return upon which the Incentive Compensation was based. The Company shall maintain the documentation of such reasonable estimate as part of the P&amp;C Committee’s records and shall provide copies of such to Nasdaq.</w:t>
      </w:r>
    </w:p>
    <w:p>
      <w:pPr>
        <w:pStyle w:val="TextBody"/>
        <w:bidi w:val="0"/>
        <w:spacing w:lineRule="auto" w:line="288" w:before="201" w:after="283"/>
        <w:jc w:val="both"/>
        <w:rPr>
          <w:rFonts w:ascii="Calibri;sans-serif" w:hAnsi="Calibri;sans-serif"/>
          <w:b/>
          <w:color w:val="000000"/>
          <w:sz w:val="22"/>
        </w:rPr>
      </w:pPr>
      <w:r>
        <w:rPr>
          <w:rFonts w:ascii="Calibri;sans-serif" w:hAnsi="Calibri;sans-serif"/>
          <w:b/>
          <w:color w:val="000000"/>
          <w:sz w:val="22"/>
        </w:rPr>
        <w:t>Method of Recovery</w:t>
      </w:r>
    </w:p>
    <w:p>
      <w:pPr>
        <w:pStyle w:val="TextBody"/>
        <w:bidi w:val="0"/>
        <w:spacing w:lineRule="auto" w:line="288" w:before="199" w:after="283"/>
        <w:jc w:val="both"/>
        <w:rPr>
          <w:rFonts w:ascii="Calibri;sans-serif" w:hAnsi="Calibri;sans-serif"/>
          <w:b w:val="false"/>
          <w:color w:val="000000"/>
          <w:sz w:val="22"/>
        </w:rPr>
      </w:pPr>
      <w:r>
        <w:rPr>
          <w:rFonts w:ascii="Calibri;sans-serif" w:hAnsi="Calibri;sans-serif"/>
          <w:b w:val="false"/>
          <w:color w:val="000000"/>
          <w:sz w:val="22"/>
        </w:rPr>
        <w:t xml:space="preserve">Subject to applicable law, the Company may seek to recover Erroneously Awarded Compensation by any means or combination of means as the P&amp;C Committee, in its sole discretion, determines to be necessary, appropriate or desirable, including requiring a Covered Person to repay such amount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38835"/>
                <wp:effectExtent l="0" t="0" r="0" b="0"/>
                <wp:wrapNone/>
                <wp:docPr id="130" name="Frame120"/>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r>
                                    <w:br w:type="page"/>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99" w:after="283"/>
        <w:jc w:val="both"/>
        <w:rPr>
          <w:rFonts w:ascii="Calibri;sans-serif" w:hAnsi="Calibri;sans-serif"/>
          <w:b w:val="false"/>
          <w:color w:val="000000"/>
          <w:sz w:val="22"/>
        </w:rPr>
      </w:pPr>
      <w:r>
        <w:rPr>
          <w:rFonts w:ascii="Calibri;sans-serif" w:hAnsi="Calibri;sans-serif"/>
          <w:b w:val="false"/>
          <w:color w:val="000000"/>
          <w:sz w:val="22"/>
        </w:rPr>
        <w:t>Company or offsetting a Covered Person’s other compensation. Each Covered Person shall be required to reimburse the Company for any and all expenses reasonably incurred by the Company (including external legal fees) in recovering Erroneously Awarded Compensation from such Covered Person.</w:t>
      </w:r>
    </w:p>
    <w:p>
      <w:pPr>
        <w:pStyle w:val="TextBody"/>
        <w:bidi w:val="0"/>
        <w:spacing w:lineRule="auto" w:line="288" w:before="200" w:after="283"/>
        <w:jc w:val="both"/>
        <w:rPr>
          <w:rFonts w:ascii="Calibri;sans-serif" w:hAnsi="Calibri;sans-serif"/>
          <w:b/>
          <w:color w:val="000000"/>
          <w:sz w:val="22"/>
        </w:rPr>
      </w:pPr>
      <w:r>
        <w:rPr>
          <w:rFonts w:ascii="Calibri;sans-serif" w:hAnsi="Calibri;sans-serif"/>
          <w:b/>
          <w:color w:val="000000"/>
          <w:sz w:val="22"/>
        </w:rPr>
        <w:t>Exceptions to Recovery</w:t>
      </w:r>
    </w:p>
    <w:p>
      <w:pPr>
        <w:pStyle w:val="TextBody"/>
        <w:bidi w:val="0"/>
        <w:spacing w:lineRule="auto" w:line="288" w:before="199" w:after="283"/>
        <w:jc w:val="both"/>
        <w:rPr>
          <w:rFonts w:ascii="Calibri;sans-serif" w:hAnsi="Calibri;sans-serif"/>
          <w:b w:val="false"/>
          <w:color w:val="000000"/>
          <w:sz w:val="22"/>
        </w:rPr>
      </w:pPr>
      <w:r>
        <w:rPr>
          <w:rFonts w:ascii="Calibri;sans-serif" w:hAnsi="Calibri;sans-serif"/>
          <w:b w:val="false"/>
          <w:color w:val="000000"/>
          <w:sz w:val="22"/>
        </w:rPr>
        <w:t>Notwithstanding the obligation to seek recovery of Erroneously Awarded Compensation stated above under “Recovery of Erroneously Awarded Compensation,” the Company shall not be required to seek recovery of Erroneously Awarded Compensation if one or more of the conditions described in Nasdaq Listing Rule 5608(b)(1)(iv)(A), (B) or (C) are met and, by reason thereof, the P&amp;C Committee determines that recovery of the Erroneously Awarded Compensation is impracticable (after the Company has taken the steps described in Nasdaq Listing Rule 5608(b)(1)(iv)(A) or (B), as applicable).</w:t>
      </w:r>
    </w:p>
    <w:p>
      <w:pPr>
        <w:pStyle w:val="TextBody"/>
        <w:bidi w:val="0"/>
        <w:spacing w:lineRule="auto" w:line="288" w:before="200" w:after="283"/>
        <w:jc w:val="both"/>
        <w:rPr>
          <w:rFonts w:ascii="Calibri;sans-serif" w:hAnsi="Calibri;sans-serif"/>
          <w:b/>
          <w:color w:val="000000"/>
          <w:sz w:val="22"/>
        </w:rPr>
      </w:pPr>
      <w:r>
        <w:rPr>
          <w:rFonts w:ascii="Calibri;sans-serif" w:hAnsi="Calibri;sans-serif"/>
          <w:b/>
          <w:color w:val="000000"/>
          <w:sz w:val="22"/>
        </w:rPr>
        <w:t>General Provisions</w:t>
      </w:r>
    </w:p>
    <w:p>
      <w:pPr>
        <w:pStyle w:val="TextBody"/>
        <w:bidi w:val="0"/>
        <w:spacing w:lineRule="auto" w:line="288" w:before="201" w:after="283"/>
        <w:ind w:left="0" w:right="0" w:hanging="1"/>
        <w:jc w:val="both"/>
        <w:rPr/>
      </w:pPr>
      <w:r>
        <w:rPr>
          <w:rFonts w:ascii="Calibri;sans-serif" w:hAnsi="Calibri;sans-serif"/>
          <w:b w:val="false"/>
          <w:i/>
          <w:color w:val="000000"/>
          <w:sz w:val="22"/>
        </w:rPr>
        <w:t xml:space="preserve">No Indemnification </w:t>
      </w:r>
      <w:r>
        <w:rPr>
          <w:color w:val="000000"/>
        </w:rPr>
        <w:t xml:space="preserve">— </w:t>
      </w:r>
      <w:r>
        <w:rPr>
          <w:rFonts w:ascii="Calibri;sans-serif" w:hAnsi="Calibri;sans-serif"/>
          <w:b w:val="false"/>
          <w:color w:val="000000"/>
          <w:sz w:val="22"/>
        </w:rPr>
        <w:t>Notwithstanding the terms of any of the Company’s organizational documents, any corporate policy or any contract, the Company shall not indemnify any Covered Person against the loss of any Erroneously Awarded Compensation recovered pursuant to this Policy.</w:t>
      </w:r>
    </w:p>
    <w:p>
      <w:pPr>
        <w:pStyle w:val="TextBody"/>
        <w:bidi w:val="0"/>
        <w:spacing w:lineRule="auto" w:line="288" w:before="199" w:after="283"/>
        <w:jc w:val="both"/>
        <w:rPr/>
      </w:pPr>
      <w:r>
        <w:rPr>
          <w:rFonts w:ascii="Calibri;sans-serif" w:hAnsi="Calibri;sans-serif"/>
          <w:b w:val="false"/>
          <w:i/>
          <w:color w:val="000000"/>
          <w:sz w:val="22"/>
        </w:rPr>
        <w:t xml:space="preserve">Administration of Policy </w:t>
      </w:r>
      <w:r>
        <w:rPr>
          <w:color w:val="000000"/>
        </w:rPr>
        <w:t xml:space="preserve">— </w:t>
      </w:r>
      <w:r>
        <w:rPr>
          <w:rFonts w:ascii="Calibri;sans-serif" w:hAnsi="Calibri;sans-serif"/>
          <w:b w:val="false"/>
          <w:color w:val="000000"/>
          <w:sz w:val="22"/>
        </w:rPr>
        <w:t>The P&amp;C Committee shall be responsible for administering this Policy and in connection therewith shall make such determinations and interpretations, and take such actions, as it deems necessary, appropriate or desirable. The P&amp;C Committee shall consult with the Board, the Audit Committee and the Company’s Chief Financial Officer and Chief Accounting Officer as needed in order to properly administer and interpret any provision of this Policy. All determinations and interpretations made by the P&amp;C Committee shall be final, binding and conclusive.</w:t>
      </w:r>
    </w:p>
    <w:p>
      <w:pPr>
        <w:pStyle w:val="TextBody"/>
        <w:bidi w:val="0"/>
        <w:spacing w:lineRule="auto" w:line="288" w:before="200" w:after="283"/>
        <w:jc w:val="both"/>
        <w:rPr/>
      </w:pPr>
      <w:r>
        <w:rPr>
          <w:rFonts w:ascii="Calibri;sans-serif" w:hAnsi="Calibri;sans-serif"/>
          <w:b w:val="false"/>
          <w:i/>
          <w:color w:val="000000"/>
          <w:sz w:val="22"/>
        </w:rPr>
        <w:t xml:space="preserve">Amendment or Termination of Policy </w:t>
      </w:r>
      <w:r>
        <w:rPr>
          <w:color w:val="000000"/>
        </w:rPr>
        <w:t xml:space="preserve">— </w:t>
      </w:r>
      <w:r>
        <w:rPr>
          <w:rFonts w:ascii="Calibri;sans-serif" w:hAnsi="Calibri;sans-serif"/>
          <w:b w:val="false"/>
          <w:color w:val="000000"/>
          <w:sz w:val="22"/>
        </w:rPr>
        <w:t>The P&amp;C Committee shall have the authority to amend or terminate this Policy; provided, however, that no such amendment or termination shall be effective if such amendment or termination would (after taking into account any actions taken by the Company contemporaneously with such amendment or termination) cause the Company to be in violation of any after August 1, 2023 federal securities laws or any rules or regulations issued thereunder or any Nasdaq Listing Rules.</w:t>
      </w:r>
    </w:p>
    <w:p>
      <w:pPr>
        <w:pStyle w:val="TextBody"/>
        <w:bidi w:val="0"/>
        <w:spacing w:lineRule="auto" w:line="288" w:before="200" w:after="283"/>
        <w:ind w:left="0" w:right="0" w:hanging="1"/>
        <w:jc w:val="both"/>
        <w:rPr/>
      </w:pPr>
      <w:r>
        <w:rPr>
          <w:rFonts w:ascii="Calibri;sans-serif" w:hAnsi="Calibri;sans-serif"/>
          <w:b w:val="false"/>
          <w:i/>
          <w:color w:val="000000"/>
          <w:sz w:val="22"/>
        </w:rPr>
        <w:t xml:space="preserve">Disclosures and Record Keeping </w:t>
      </w:r>
      <w:r>
        <w:rPr>
          <w:color w:val="000000"/>
        </w:rPr>
        <w:t xml:space="preserve">— </w:t>
      </w:r>
      <w:r>
        <w:rPr>
          <w:rFonts w:ascii="Calibri;sans-serif" w:hAnsi="Calibri;sans-serif"/>
          <w:b w:val="false"/>
          <w:color w:val="000000"/>
          <w:sz w:val="22"/>
        </w:rPr>
        <w:t>The Company shall make all disclosures and filings with respect to this Policy and maintain all documents and records that are required by applicable federal securities laws or any rules or regulation issued thereunder or any Nasdaq Listing Rules.</w:t>
      </w:r>
    </w:p>
    <w:p>
      <w:pPr>
        <w:pStyle w:val="TextBody"/>
        <w:bidi w:val="0"/>
        <w:spacing w:lineRule="auto" w:line="288" w:before="200" w:after="283"/>
        <w:jc w:val="both"/>
        <w:rPr/>
      </w:pPr>
      <w:r>
        <w:rPr>
          <w:rFonts w:ascii="Calibri;sans-serif" w:hAnsi="Calibri;sans-serif"/>
          <w:b w:val="false"/>
          <w:i/>
          <w:color w:val="000000"/>
          <w:sz w:val="22"/>
        </w:rPr>
        <w:t xml:space="preserve">Governing Law </w:t>
      </w:r>
      <w:r>
        <w:rPr>
          <w:color w:val="000000"/>
        </w:rPr>
        <w:t xml:space="preserve">— </w:t>
      </w:r>
      <w:r>
        <w:rPr>
          <w:rFonts w:ascii="Calibri;sans-serif" w:hAnsi="Calibri;sans-serif"/>
          <w:b w:val="false"/>
          <w:color w:val="000000"/>
          <w:sz w:val="22"/>
        </w:rPr>
        <w:t>The validity, construction and effect of this Policy, and any determinations relating to this Policy, shall be construed in accordance with the laws of the State of Delaware without regard to its conflicts of laws principles.</w:t>
      </w:r>
    </w:p>
    <w:p>
      <w:pPr>
        <w:pStyle w:val="TextBody"/>
        <w:bidi w:val="0"/>
        <w:spacing w:lineRule="auto" w:line="288" w:before="200" w:after="283"/>
        <w:jc w:val="both"/>
        <w:rPr/>
      </w:pPr>
      <w:r>
        <w:rPr>
          <w:rFonts w:ascii="Calibri;sans-serif" w:hAnsi="Calibri;sans-serif"/>
          <w:b w:val="false"/>
          <w:i/>
          <w:color w:val="000000"/>
          <w:sz w:val="22"/>
        </w:rPr>
        <w:t xml:space="preserve">Successors </w:t>
      </w:r>
      <w:r>
        <w:rPr>
          <w:color w:val="000000"/>
        </w:rPr>
        <w:t xml:space="preserve">— </w:t>
      </w:r>
      <w:r>
        <w:rPr>
          <w:rFonts w:ascii="Calibri;sans-serif" w:hAnsi="Calibri;sans-serif"/>
          <w:b w:val="false"/>
          <w:color w:val="000000"/>
          <w:sz w:val="22"/>
        </w:rPr>
        <w:t>This Policy shall be binding and enforceable against all Covered Persons and their beneficiaries, heirs, executors, administrators or other legal representatives.</w:t>
      </w:r>
    </w:p>
    <w:p>
      <w:pPr>
        <w:pStyle w:val="TextBody"/>
        <w:bidi w:val="0"/>
        <w:spacing w:lineRule="auto" w:line="288" w:before="200" w:after="283"/>
        <w:jc w:val="both"/>
        <w:rPr/>
      </w:pPr>
      <w:r>
        <w:rPr>
          <w:rFonts w:ascii="Calibri;sans-serif" w:hAnsi="Calibri;sans-serif"/>
          <w:b w:val="false"/>
          <w:i/>
          <w:color w:val="000000"/>
          <w:sz w:val="22"/>
        </w:rPr>
        <w:t xml:space="preserve">Effective Date </w:t>
      </w:r>
      <w:r>
        <w:rPr>
          <w:color w:val="000000"/>
        </w:rPr>
        <w:t xml:space="preserve">— </w:t>
      </w:r>
      <w:r>
        <w:rPr>
          <w:rFonts w:ascii="Calibri;sans-serif" w:hAnsi="Calibri;sans-serif"/>
          <w:b w:val="false"/>
          <w:color w:val="000000"/>
          <w:sz w:val="22"/>
        </w:rPr>
        <w:t>This Policy shall be effective from August 1, 2023 and shall apply to Erroneously Awarded Compensation Received by any Covered Person on or after October 2, 2023.</w:t>
      </w:r>
    </w:p>
    <w:p>
      <w:pPr>
        <w:pStyle w:val="TextBody"/>
        <w:bidi w:val="0"/>
        <w:spacing w:lineRule="auto" w:line="288" w:before="201" w:after="283"/>
        <w:jc w:val="both"/>
        <w:rPr>
          <w:rFonts w:ascii="Calibri;sans-serif" w:hAnsi="Calibri;sans-serif"/>
          <w:b/>
          <w:color w:val="000000"/>
          <w:sz w:val="22"/>
        </w:rPr>
      </w:pPr>
      <w:r>
        <w:rPr>
          <w:rFonts w:ascii="Calibri;sans-serif" w:hAnsi="Calibri;sans-serif"/>
          <w:b/>
          <w:color w:val="000000"/>
          <w:sz w:val="22"/>
        </w:rPr>
        <w:t>Acknowledgement by Covered Persons</w:t>
      </w:r>
    </w:p>
    <w:p>
      <w:pPr>
        <w:pStyle w:val="TextBody"/>
        <w:bidi w:val="0"/>
        <w:spacing w:lineRule="auto" w:line="288" w:before="199" w:after="283"/>
        <w:jc w:val="both"/>
        <w:rPr>
          <w:rFonts w:ascii="Calibri;sans-serif" w:hAnsi="Calibri;sans-serif"/>
          <w:b w:val="false"/>
          <w:color w:val="000000"/>
          <w:sz w:val="22"/>
        </w:rPr>
      </w:pPr>
      <w:r>
        <w:rPr>
          <w:rFonts w:ascii="Calibri;sans-serif" w:hAnsi="Calibri;sans-serif"/>
          <w:b w:val="false"/>
          <w:color w:val="000000"/>
          <w:sz w:val="22"/>
        </w:rPr>
        <w:t xml:space="preserve">The Company shall provide notice to, and seek written acknowledgement of this Policy from, each Covered Person; provided, however, that the failure to provide such notice or obtain such acknowledgement shall not affect the applicability or enforceability of this Policy. Such acknowledgement may be set forth in a separate acknowledgement form executed by such Covered Person or in the incentive compensation plan or award agreement pursuant to which such Covered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38835"/>
                <wp:effectExtent l="0" t="0" r="0" b="0"/>
                <wp:wrapNone/>
                <wp:docPr id="131" name="Frame121"/>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r>
                                    <w:br w:type="page"/>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99" w:after="283"/>
        <w:jc w:val="both"/>
        <w:rPr>
          <w:rFonts w:ascii="Calibri;sans-serif" w:hAnsi="Calibri;sans-serif"/>
          <w:b w:val="false"/>
          <w:color w:val="000000"/>
          <w:sz w:val="22"/>
        </w:rPr>
      </w:pPr>
      <w:r>
        <w:rPr>
          <w:rFonts w:ascii="Calibri;sans-serif" w:hAnsi="Calibri;sans-serif"/>
          <w:b w:val="false"/>
          <w:color w:val="000000"/>
          <w:sz w:val="22"/>
        </w:rPr>
        <w:t>Person received Incentive Compensation subject to recovery hereunder, as determined by the P&amp;C Committee.</w:t>
      </w:r>
    </w:p>
    <w:p>
      <w:pPr>
        <w:pStyle w:val="TextBody"/>
        <w:bidi w:val="0"/>
        <w:spacing w:lineRule="auto" w:line="288" w:before="199" w:after="283"/>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lineRule="auto" w:line="288" w:before="201" w:after="283"/>
        <w:jc w:val="left"/>
        <w:rPr>
          <w:rFonts w:ascii="Calibri;sans-serif" w:hAnsi="Calibri;sans-serif"/>
          <w:b w:val="false"/>
          <w:color w:val="000000"/>
          <w:sz w:val="22"/>
        </w:rPr>
      </w:pPr>
      <w:r>
        <w:rPr>
          <w:rFonts w:ascii="Calibri;sans-serif" w:hAnsi="Calibri;sans-serif"/>
          <w:b w:val="false"/>
          <w:color w:val="000000"/>
          <w:sz w:val="22"/>
        </w:rPr>
        <w:t>The following terms, when used in this Policy, shall have the following meanings:</w:t>
      </w:r>
    </w:p>
    <w:p>
      <w:pPr>
        <w:pStyle w:val="TextBody"/>
        <w:bidi w:val="0"/>
        <w:spacing w:lineRule="auto" w:line="288" w:before="199" w:after="283"/>
        <w:jc w:val="both"/>
        <w:rPr/>
      </w:pPr>
      <w:r>
        <w:rPr>
          <w:rFonts w:ascii="Calibri;sans-serif" w:hAnsi="Calibri;sans-serif"/>
          <w:b w:val="false"/>
          <w:i/>
          <w:color w:val="000000"/>
          <w:sz w:val="22"/>
        </w:rPr>
        <w:t xml:space="preserve">Accounting Restatement </w:t>
      </w:r>
      <w:r>
        <w:rPr>
          <w:color w:val="000000"/>
        </w:rPr>
        <w:t xml:space="preserve">— </w:t>
      </w:r>
      <w:r>
        <w:rPr>
          <w:rFonts w:ascii="Calibri;sans-serif" w:hAnsi="Calibri;sans-serif"/>
          <w:b w:val="false"/>
          <w:color w:val="000000"/>
          <w:sz w:val="22"/>
        </w:rPr>
        <w:t>An accounting restatement that is due to the Company’s material noncompliance with any financial reporting requirement under the U.S. federal securities laws, including any required accounting restatement to correct an error in previously issued financial statements that is material to the previously issued financial statements (sometimes referred to as a “big R restatement”) or that would result in a material misstatement if the error were corrected in the current period or left uncorrected in the current period (sometimes referred to as a “little R restatement”).</w:t>
      </w:r>
    </w:p>
    <w:p>
      <w:pPr>
        <w:pStyle w:val="TextBody"/>
        <w:bidi w:val="0"/>
        <w:spacing w:lineRule="auto" w:line="288" w:before="201" w:after="283"/>
        <w:jc w:val="both"/>
        <w:rPr>
          <w:rFonts w:ascii="Calibri;sans-serif" w:hAnsi="Calibri;sans-serif"/>
          <w:b w:val="false"/>
          <w:color w:val="000000"/>
          <w:sz w:val="22"/>
        </w:rPr>
      </w:pPr>
      <w:r>
        <w:rPr>
          <w:rFonts w:ascii="Calibri;sans-serif" w:hAnsi="Calibri;sans-serif"/>
          <w:b w:val="false"/>
          <w:color w:val="000000"/>
          <w:sz w:val="22"/>
        </w:rPr>
        <w:t>For purposes of clarity, the term “Accounting Restatement” does not include financial statement changes that did not result from the Company’s material noncompliance with financial reporting requirements. For example, the following changes to previously reported financial statements shall not be considered Accounting Restatements under this Policy:</w:t>
      </w:r>
    </w:p>
    <w:p>
      <w:pPr>
        <w:pStyle w:val="TextBody"/>
        <w:bidi w:val="0"/>
        <w:spacing w:lineRule="auto" w:line="288" w:before="200" w:after="283"/>
        <w:ind w:left="0" w:right="0" w:hanging="720"/>
        <w:jc w:val="left"/>
        <w:rPr>
          <w:rFonts w:ascii="Calibri;sans-serif" w:hAnsi="Calibri;sans-serif"/>
          <w:b w:val="false"/>
          <w:color w:val="000000"/>
          <w:sz w:val="22"/>
        </w:rPr>
      </w:pPr>
      <w:r>
        <w:rPr>
          <w:rFonts w:ascii="Calibri;sans-serif" w:hAnsi="Calibri;sans-serif"/>
          <w:b w:val="false"/>
          <w:color w:val="000000"/>
          <w:sz w:val="22"/>
        </w:rPr>
        <w:t>(a)Application of a change in accounting principles;</w:t>
      </w:r>
    </w:p>
    <w:p>
      <w:pPr>
        <w:pStyle w:val="TextBody"/>
        <w:bidi w:val="0"/>
        <w:spacing w:lineRule="auto" w:line="288" w:before="200" w:after="283"/>
        <w:ind w:left="0" w:right="0" w:hanging="721"/>
        <w:jc w:val="left"/>
        <w:rPr>
          <w:rFonts w:ascii="Calibri;sans-serif" w:hAnsi="Calibri;sans-serif"/>
          <w:b w:val="false"/>
          <w:color w:val="000000"/>
          <w:sz w:val="22"/>
        </w:rPr>
      </w:pPr>
      <w:r>
        <w:rPr>
          <w:rFonts w:ascii="Calibri;sans-serif" w:hAnsi="Calibri;sans-serif"/>
          <w:b w:val="false"/>
          <w:color w:val="000000"/>
          <w:sz w:val="22"/>
        </w:rPr>
        <w:t>(b)Revision to reportable segment information due to a change in the structure of the Company’s internal organization;</w:t>
      </w:r>
    </w:p>
    <w:p>
      <w:pPr>
        <w:pStyle w:val="TextBody"/>
        <w:bidi w:val="0"/>
        <w:spacing w:lineRule="auto" w:line="288" w:before="199" w:after="283"/>
        <w:ind w:left="0" w:right="0" w:hanging="720"/>
        <w:jc w:val="left"/>
        <w:rPr>
          <w:rFonts w:ascii="Calibri;sans-serif" w:hAnsi="Calibri;sans-serif"/>
          <w:b w:val="false"/>
          <w:color w:val="000000"/>
          <w:sz w:val="22"/>
        </w:rPr>
      </w:pPr>
      <w:r>
        <w:rPr>
          <w:rFonts w:ascii="Calibri;sans-serif" w:hAnsi="Calibri;sans-serif"/>
          <w:b w:val="false"/>
          <w:color w:val="000000"/>
          <w:sz w:val="22"/>
        </w:rPr>
        <w:t>(c)Reclassification due to a discontinued operation;</w:t>
      </w:r>
    </w:p>
    <w:p>
      <w:pPr>
        <w:pStyle w:val="TextBody"/>
        <w:bidi w:val="0"/>
        <w:spacing w:lineRule="auto" w:line="288" w:before="201" w:after="283"/>
        <w:ind w:left="0" w:right="0" w:hanging="721"/>
        <w:jc w:val="left"/>
        <w:rPr>
          <w:rFonts w:ascii="Calibri;sans-serif" w:hAnsi="Calibri;sans-serif"/>
          <w:b w:val="false"/>
          <w:color w:val="000000"/>
          <w:sz w:val="22"/>
        </w:rPr>
      </w:pPr>
      <w:r>
        <w:rPr>
          <w:rFonts w:ascii="Calibri;sans-serif" w:hAnsi="Calibri;sans-serif"/>
          <w:b w:val="false"/>
          <w:color w:val="000000"/>
          <w:sz w:val="22"/>
        </w:rPr>
        <w:t>(d)Application of a change in reporting entity, such as from a reorganization of entities under common control;</w:t>
      </w:r>
    </w:p>
    <w:p>
      <w:pPr>
        <w:pStyle w:val="TextBody"/>
        <w:bidi w:val="0"/>
        <w:spacing w:lineRule="auto" w:line="288" w:before="200" w:after="283"/>
        <w:ind w:left="0" w:right="0" w:hanging="720"/>
        <w:jc w:val="left"/>
        <w:rPr>
          <w:rFonts w:ascii="Calibri;sans-serif" w:hAnsi="Calibri;sans-serif"/>
          <w:b w:val="false"/>
          <w:color w:val="000000"/>
          <w:sz w:val="22"/>
        </w:rPr>
      </w:pPr>
      <w:r>
        <w:rPr>
          <w:rFonts w:ascii="Calibri;sans-serif" w:hAnsi="Calibri;sans-serif"/>
          <w:b w:val="false"/>
          <w:color w:val="000000"/>
          <w:sz w:val="22"/>
        </w:rPr>
        <w:t>(e)Adjustment to provision amounts in connection with a prior business combination; and</w:t>
      </w:r>
    </w:p>
    <w:p>
      <w:pPr>
        <w:pStyle w:val="TextBody"/>
        <w:bidi w:val="0"/>
        <w:spacing w:lineRule="auto" w:line="288" w:before="200" w:after="283"/>
        <w:ind w:left="0" w:right="0" w:hanging="721"/>
        <w:jc w:val="left"/>
        <w:rPr>
          <w:rFonts w:ascii="Calibri;sans-serif" w:hAnsi="Calibri;sans-serif"/>
          <w:b w:val="false"/>
          <w:color w:val="000000"/>
          <w:sz w:val="22"/>
        </w:rPr>
      </w:pPr>
      <w:r>
        <w:rPr>
          <w:rFonts w:ascii="Calibri;sans-serif" w:hAnsi="Calibri;sans-serif"/>
          <w:b w:val="false"/>
          <w:color w:val="000000"/>
          <w:sz w:val="22"/>
        </w:rPr>
        <w:t>(f)Revision for stock splits, stock dividends, reverse stock splits or other changes in capital structure.</w:t>
      </w:r>
    </w:p>
    <w:p>
      <w:pPr>
        <w:pStyle w:val="TextBody"/>
        <w:bidi w:val="0"/>
        <w:spacing w:lineRule="auto" w:line="288" w:before="200" w:after="283"/>
        <w:jc w:val="left"/>
        <w:rPr/>
      </w:pPr>
      <w:r>
        <w:rPr>
          <w:rFonts w:ascii="Calibri;sans-serif" w:hAnsi="Calibri;sans-serif"/>
          <w:b w:val="false"/>
          <w:i/>
          <w:color w:val="000000"/>
          <w:sz w:val="22"/>
        </w:rPr>
        <w:t xml:space="preserve">Audit Committee </w:t>
      </w:r>
      <w:r>
        <w:rPr>
          <w:color w:val="000000"/>
        </w:rPr>
        <w:t xml:space="preserve">— </w:t>
      </w:r>
      <w:r>
        <w:rPr>
          <w:rFonts w:ascii="Calibri;sans-serif" w:hAnsi="Calibri;sans-serif"/>
          <w:b w:val="false"/>
          <w:color w:val="000000"/>
          <w:sz w:val="22"/>
        </w:rPr>
        <w:t>The Audit Committee of the Board of Directors.</w:t>
      </w:r>
    </w:p>
    <w:p>
      <w:pPr>
        <w:pStyle w:val="TextBody"/>
        <w:bidi w:val="0"/>
        <w:spacing w:lineRule="auto" w:line="288" w:before="199" w:after="283"/>
        <w:jc w:val="left"/>
        <w:rPr/>
      </w:pPr>
      <w:r>
        <w:rPr>
          <w:rFonts w:ascii="Calibri;sans-serif" w:hAnsi="Calibri;sans-serif"/>
          <w:b w:val="false"/>
          <w:i/>
          <w:color w:val="000000"/>
          <w:sz w:val="22"/>
        </w:rPr>
        <w:t xml:space="preserve">Board </w:t>
      </w:r>
      <w:r>
        <w:rPr>
          <w:color w:val="000000"/>
        </w:rPr>
        <w:t xml:space="preserve">— </w:t>
      </w:r>
      <w:r>
        <w:rPr>
          <w:rFonts w:ascii="Calibri;sans-serif" w:hAnsi="Calibri;sans-serif"/>
          <w:b w:val="false"/>
          <w:color w:val="000000"/>
          <w:sz w:val="22"/>
        </w:rPr>
        <w:t>The Board of Directors of the Company.</w:t>
      </w:r>
    </w:p>
    <w:p>
      <w:pPr>
        <w:pStyle w:val="TextBody"/>
        <w:bidi w:val="0"/>
        <w:spacing w:lineRule="auto" w:line="288" w:before="201" w:after="283"/>
        <w:jc w:val="left"/>
        <w:rPr/>
      </w:pPr>
      <w:r>
        <w:rPr>
          <w:rFonts w:ascii="Calibri;sans-serif" w:hAnsi="Calibri;sans-serif"/>
          <w:b w:val="false"/>
          <w:i/>
          <w:color w:val="000000"/>
          <w:sz w:val="22"/>
        </w:rPr>
        <w:t xml:space="preserve">Covered Person </w:t>
      </w:r>
      <w:r>
        <w:rPr>
          <w:color w:val="000000"/>
        </w:rPr>
        <w:t xml:space="preserve">— </w:t>
      </w:r>
      <w:r>
        <w:rPr>
          <w:rFonts w:ascii="Calibri;sans-serif" w:hAnsi="Calibri;sans-serif"/>
          <w:b w:val="false"/>
          <w:color w:val="000000"/>
          <w:sz w:val="22"/>
        </w:rPr>
        <w:t>Shall mean each of the following persons:</w:t>
      </w:r>
    </w:p>
    <w:p>
      <w:pPr>
        <w:pStyle w:val="TextBody"/>
        <w:bidi w:val="0"/>
        <w:spacing w:lineRule="auto" w:line="288" w:before="199" w:after="283"/>
        <w:ind w:left="0" w:right="0" w:hanging="720"/>
        <w:jc w:val="left"/>
        <w:rPr>
          <w:rFonts w:ascii="Calibri;sans-serif" w:hAnsi="Calibri;sans-serif"/>
          <w:b w:val="false"/>
          <w:color w:val="000000"/>
          <w:sz w:val="22"/>
        </w:rPr>
      </w:pPr>
      <w:r>
        <w:rPr>
          <w:rFonts w:ascii="Calibri;sans-serif" w:hAnsi="Calibri;sans-serif"/>
          <w:b w:val="false"/>
          <w:color w:val="000000"/>
          <w:sz w:val="22"/>
        </w:rPr>
        <w:t>(a)The Executive Officers;</w:t>
      </w:r>
    </w:p>
    <w:p>
      <w:pPr>
        <w:pStyle w:val="TextBody"/>
        <w:bidi w:val="0"/>
        <w:spacing w:lineRule="auto" w:line="288" w:before="201" w:after="283"/>
        <w:ind w:left="0" w:right="0" w:hanging="720"/>
        <w:jc w:val="left"/>
        <w:rPr>
          <w:rFonts w:ascii="Calibri;sans-serif" w:hAnsi="Calibri;sans-serif"/>
          <w:b w:val="false"/>
          <w:color w:val="000000"/>
          <w:sz w:val="22"/>
        </w:rPr>
      </w:pPr>
      <w:r>
        <w:rPr>
          <w:rFonts w:ascii="Calibri;sans-serif" w:hAnsi="Calibri;sans-serif"/>
          <w:b w:val="false"/>
          <w:color w:val="000000"/>
          <w:sz w:val="22"/>
        </w:rPr>
        <w:t>(b)The Company’s Chief Accounting Officer;</w:t>
      </w:r>
    </w:p>
    <w:p>
      <w:pPr>
        <w:pStyle w:val="TextBody"/>
        <w:bidi w:val="0"/>
        <w:spacing w:lineRule="auto" w:line="288" w:before="200" w:after="283"/>
        <w:ind w:left="0" w:right="0" w:hanging="721"/>
        <w:jc w:val="left"/>
        <w:rPr>
          <w:rFonts w:ascii="Calibri;sans-serif" w:hAnsi="Calibri;sans-serif"/>
          <w:b w:val="false"/>
          <w:color w:val="000000"/>
          <w:sz w:val="22"/>
        </w:rPr>
      </w:pPr>
      <w:r>
        <w:rPr>
          <w:rFonts w:ascii="Calibri;sans-serif" w:hAnsi="Calibri;sans-serif"/>
          <w:b w:val="false"/>
          <w:color w:val="000000"/>
          <w:sz w:val="22"/>
        </w:rPr>
        <w:t>(c)Any other person whose role in the Company is described in the definition of “Executive Officer” set forth in Nasdaq Listing Rule 5608(d);</w:t>
      </w:r>
    </w:p>
    <w:p>
      <w:pPr>
        <w:pStyle w:val="TextBody"/>
        <w:bidi w:val="0"/>
        <w:spacing w:lineRule="auto" w:line="288" w:before="199" w:after="283"/>
        <w:ind w:left="0" w:right="0" w:hanging="721"/>
        <w:jc w:val="left"/>
        <w:rPr>
          <w:rFonts w:ascii="Calibri;sans-serif" w:hAnsi="Calibri;sans-serif"/>
          <w:b w:val="false"/>
          <w:color w:val="000000"/>
          <w:sz w:val="22"/>
        </w:rPr>
      </w:pPr>
      <w:r>
        <w:rPr>
          <w:rFonts w:ascii="Calibri;sans-serif" w:hAnsi="Calibri;sans-serif"/>
          <w:b w:val="false"/>
          <w:color w:val="000000"/>
          <w:sz w:val="22"/>
        </w:rPr>
        <w:t>(d)Any person who served in any of the capacities described in (a), (b) or (c) above at any time during the performance period applicable to any Incentive Compensation; and</w:t>
      </w:r>
    </w:p>
    <w:p>
      <w:pPr>
        <w:pStyle w:val="TextBody"/>
        <w:bidi w:val="0"/>
        <w:spacing w:lineRule="auto" w:line="288" w:before="201" w:after="283"/>
        <w:ind w:left="0" w:right="0" w:hanging="720"/>
        <w:jc w:val="left"/>
        <w:rPr>
          <w:rFonts w:ascii="Calibri;sans-serif" w:hAnsi="Calibri;sans-serif"/>
          <w:b w:val="false"/>
          <w:color w:val="000000"/>
          <w:sz w:val="22"/>
        </w:rPr>
      </w:pPr>
      <w:r>
        <w:rPr>
          <w:rFonts w:ascii="Calibri;sans-serif" w:hAnsi="Calibri;sans-serif"/>
          <w:b w:val="false"/>
          <w:color w:val="000000"/>
          <w:sz w:val="22"/>
        </w:rPr>
        <w:t>(e)Any other person designated by the P&amp;C Committee as being subject to this Policy.</w:t>
      </w:r>
    </w:p>
    <w:p>
      <w:pPr>
        <w:pStyle w:val="TextBody"/>
        <w:bidi w:val="0"/>
        <w:spacing w:before="200" w:after="283"/>
        <w:jc w:val="left"/>
        <w:rPr/>
      </w:pPr>
      <w:r>
        <w:rPr/>
      </w:r>
    </w:p>
    <w:p>
      <w:pPr>
        <w:pStyle w:val="TextBody"/>
        <w:bidi w:val="0"/>
        <w:spacing w:lineRule="auto" w:line="288" w:before="39" w:after="283"/>
        <w:ind w:left="0" w:right="0" w:hanging="1"/>
        <w:jc w:val="both"/>
        <w:rPr/>
      </w:pPr>
      <w:r>
        <w:rPr>
          <w:rFonts w:ascii="Calibri;sans-serif" w:hAnsi="Calibri;sans-serif"/>
          <w:b w:val="false"/>
          <w:i/>
          <w:color w:val="000000"/>
          <w:sz w:val="22"/>
        </w:rPr>
        <w:t xml:space="preserve">Erroneously Awarded Compensation </w:t>
      </w:r>
      <w:r>
        <w:rPr>
          <w:color w:val="000000"/>
        </w:rPr>
        <w:t xml:space="preserve">— </w:t>
      </w:r>
      <w:r>
        <w:rPr>
          <w:rFonts w:ascii="Calibri;sans-serif" w:hAnsi="Calibri;sans-serif"/>
          <w:b w:val="false"/>
          <w:color w:val="000000"/>
          <w:sz w:val="22"/>
        </w:rPr>
        <w:t>Has the meaning specified under “Compensation Subject to Recovery” above.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38835"/>
                <wp:effectExtent l="0" t="0" r="0" b="0"/>
                <wp:wrapNone/>
                <wp:docPr id="132" name="Frame122"/>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r>
                                    <w:br w:type="page"/>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1" w:after="283"/>
        <w:jc w:val="both"/>
        <w:rPr/>
      </w:pPr>
      <w:r>
        <w:rPr>
          <w:rFonts w:ascii="Calibri;sans-serif" w:hAnsi="Calibri;sans-serif"/>
          <w:b w:val="false"/>
          <w:i/>
          <w:color w:val="000000"/>
          <w:sz w:val="22"/>
        </w:rPr>
        <w:t xml:space="preserve">Executive Officer </w:t>
      </w:r>
      <w:r>
        <w:rPr>
          <w:color w:val="000000"/>
        </w:rPr>
        <w:t xml:space="preserve">— </w:t>
      </w:r>
      <w:r>
        <w:rPr>
          <w:rFonts w:ascii="Calibri;sans-serif" w:hAnsi="Calibri;sans-serif"/>
          <w:b w:val="false"/>
          <w:color w:val="000000"/>
          <w:sz w:val="22"/>
        </w:rPr>
        <w:t>Each person who has been designated by the Board as an “Executive Officer.”</w:t>
      </w:r>
    </w:p>
    <w:p>
      <w:pPr>
        <w:pStyle w:val="TextBody"/>
        <w:bidi w:val="0"/>
        <w:spacing w:lineRule="auto" w:line="288" w:before="199" w:after="283"/>
        <w:ind w:left="0" w:right="0" w:hanging="1"/>
        <w:jc w:val="both"/>
        <w:rPr/>
      </w:pPr>
      <w:r>
        <w:rPr>
          <w:rFonts w:ascii="Calibri;sans-serif" w:hAnsi="Calibri;sans-serif"/>
          <w:b w:val="false"/>
          <w:i/>
          <w:color w:val="000000"/>
          <w:sz w:val="22"/>
        </w:rPr>
        <w:t xml:space="preserve">Financial Reporting Measure </w:t>
      </w:r>
      <w:r>
        <w:rPr>
          <w:color w:val="000000"/>
        </w:rPr>
        <w:t xml:space="preserve">— </w:t>
      </w:r>
      <w:r>
        <w:rPr>
          <w:rFonts w:ascii="Calibri;sans-serif" w:hAnsi="Calibri;sans-serif"/>
          <w:b w:val="false"/>
          <w:color w:val="000000"/>
          <w:sz w:val="22"/>
        </w:rPr>
        <w:t>A measure that is determined and presented in accordance with the accounting principles used in preparing the Company’s financial statements and any measure (including “non-GAAP” financial measures) that is derived in whole or in part from such measure. Examples of Financial Reporting Measures include measures based on revenues, operating income, net income, financial ratios or EBITDA; liquidity measures based on cash flow, cash balances or net debt; return measures (such as return on assets, return on invested capital or return on equity); and profitability of a business unit or segment. Measures that are determined on the basis of stock price or total shareholder return are also considered to be Financial Reporting Measures.</w:t>
      </w:r>
    </w:p>
    <w:p>
      <w:pPr>
        <w:pStyle w:val="TextBody"/>
        <w:bidi w:val="0"/>
        <w:spacing w:lineRule="auto" w:line="288" w:before="200" w:after="283"/>
        <w:ind w:left="0" w:right="0" w:hanging="1"/>
        <w:jc w:val="both"/>
        <w:rPr/>
      </w:pPr>
      <w:r>
        <w:rPr>
          <w:rFonts w:ascii="Calibri;sans-serif" w:hAnsi="Calibri;sans-serif"/>
          <w:b w:val="false"/>
          <w:i/>
          <w:color w:val="000000"/>
          <w:sz w:val="22"/>
        </w:rPr>
        <w:t xml:space="preserve">Incentive Compensation </w:t>
      </w:r>
      <w:r>
        <w:rPr>
          <w:color w:val="000000"/>
        </w:rPr>
        <w:t xml:space="preserve">— </w:t>
      </w:r>
      <w:r>
        <w:rPr>
          <w:rFonts w:ascii="Calibri;sans-serif" w:hAnsi="Calibri;sans-serif"/>
          <w:b w:val="false"/>
          <w:color w:val="000000"/>
          <w:sz w:val="22"/>
        </w:rPr>
        <w:t>Any compensation that is granted, earned or vested based in whole or in part upon the attainment of one or more Financial Reporting Measures.</w:t>
      </w:r>
    </w:p>
    <w:p>
      <w:pPr>
        <w:pStyle w:val="TextBody"/>
        <w:bidi w:val="0"/>
        <w:spacing w:lineRule="auto" w:line="288" w:before="200" w:after="283"/>
        <w:jc w:val="both"/>
        <w:rPr/>
      </w:pPr>
      <w:r>
        <w:rPr>
          <w:rFonts w:ascii="Calibri;sans-serif" w:hAnsi="Calibri;sans-serif"/>
          <w:b w:val="false"/>
          <w:i/>
          <w:color w:val="000000"/>
          <w:sz w:val="22"/>
        </w:rPr>
        <w:t xml:space="preserve">P&amp;C Committee </w:t>
      </w:r>
      <w:r>
        <w:rPr>
          <w:color w:val="000000"/>
        </w:rPr>
        <w:t xml:space="preserve">— </w:t>
      </w:r>
      <w:r>
        <w:rPr>
          <w:rFonts w:ascii="Calibri;sans-serif" w:hAnsi="Calibri;sans-serif"/>
          <w:b w:val="false"/>
          <w:color w:val="000000"/>
          <w:sz w:val="22"/>
        </w:rPr>
        <w:t>The People and Compensation Committee of the Board of Directors.</w:t>
      </w:r>
    </w:p>
    <w:p>
      <w:pPr>
        <w:pStyle w:val="TextBody"/>
        <w:bidi w:val="0"/>
        <w:spacing w:lineRule="auto" w:line="288" w:before="201" w:after="283"/>
        <w:jc w:val="both"/>
        <w:rPr/>
      </w:pPr>
      <w:r>
        <w:rPr>
          <w:rFonts w:ascii="Calibri;sans-serif" w:hAnsi="Calibri;sans-serif"/>
          <w:b w:val="false"/>
          <w:i/>
          <w:color w:val="000000"/>
          <w:sz w:val="22"/>
        </w:rPr>
        <w:t xml:space="preserve">Received </w:t>
      </w:r>
      <w:r>
        <w:rPr>
          <w:color w:val="000000"/>
        </w:rPr>
        <w:t xml:space="preserve">– </w:t>
      </w:r>
      <w:r>
        <w:rPr>
          <w:rFonts w:ascii="Calibri;sans-serif" w:hAnsi="Calibri;sans-serif"/>
          <w:b w:val="false"/>
          <w:color w:val="000000"/>
          <w:sz w:val="22"/>
        </w:rPr>
        <w:t>Incentive Compensation is deemed “Received” in any fiscal period during which the Financial Reporting Measure specified in the Incentive Compensation award is attained, even if the payment or grant of the Incentive Compensation occurs after the end of that period.</w:t>
      </w:r>
    </w:p>
    <w:p>
      <w:pPr>
        <w:pStyle w:val="TextBody"/>
        <w:bidi w:val="0"/>
        <w:spacing w:lineRule="auto" w:line="288" w:before="200" w:after="283"/>
        <w:ind w:left="0" w:right="0" w:hanging="1"/>
        <w:jc w:val="both"/>
        <w:rPr/>
      </w:pPr>
      <w:r>
        <w:rPr>
          <w:rFonts w:ascii="Calibri;sans-serif" w:hAnsi="Calibri;sans-serif"/>
          <w:b w:val="false"/>
          <w:i/>
          <w:color w:val="000000"/>
          <w:sz w:val="22"/>
        </w:rPr>
        <w:t xml:space="preserve">Recovery Period </w:t>
      </w:r>
      <w:r>
        <w:rPr>
          <w:color w:val="000000"/>
        </w:rPr>
        <w:t xml:space="preserve">— </w:t>
      </w:r>
      <w:r>
        <w:rPr>
          <w:rFonts w:ascii="Calibri;sans-serif" w:hAnsi="Calibri;sans-serif"/>
          <w:b w:val="false"/>
          <w:color w:val="000000"/>
          <w:sz w:val="22"/>
        </w:rPr>
        <w:t>The three completed fiscal years immediately preceding the earlier of (a) the date the Board or the Audit Committee concludes, or reasonably should have concluded, that the Company is required to prepare an Accounting Restatement or (b) the date a court, regulator or other legally authorized body directs the Company to prepare an Accounting Restatement. The Recovery Period shall also include transition periods that result from a change in the Company’s fiscal year, as described in Listing Rule 5608(b)(1)(i)(D). Notwithstanding the above, the Recovery Period applicable to any Covered Person shall not include any period during which such person was not a Covered Person.</w:t>
      </w:r>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38835"/>
                <wp:effectExtent l="0" t="0" r="0" b="0"/>
                <wp:wrapNone/>
                <wp:docPr id="133" name="Frame123"/>
                <a:graphic xmlns:a="http://schemas.openxmlformats.org/drawingml/2006/main">
                  <a:graphicData uri="http://schemas.microsoft.com/office/word/2010/wordprocessingShape">
                    <wps:wsp>
                      <wps:cNvSpPr txBox="1"/>
                      <wps:spPr>
                        <a:xfrm>
                          <a:off x="0" y="0"/>
                          <a:ext cx="6480175" cy="838835"/>
                        </a:xfrm>
                        <a:prstGeom prst="rect"/>
                        <a:solidFill>
                          <a:srgbClr val="FFFFFF"/>
                        </a:solidFill>
                      </wps:spPr>
                      <wps:txb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r>
                                    <w:br w:type="page"/>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05pt;mso-wrap-distance-left:0pt;mso-wrap-distance-right:0pt;mso-wrap-distance-top:0pt;mso-wrap-distance-bottom:0pt;margin-top:0pt;mso-position-vertical:top;mso-position-vertical-relative:text;margin-left:0pt;mso-position-horizontal:left;mso-position-horizontal-relative:text">
                <v:textbox>
                  <w:txbxContent>
                    <w:tbl>
                      <w:tblPr>
                        <w:tblW w:w="2490" w:type="dxa"/>
                        <w:jc w:val="right"/>
                        <w:tblInd w:w="0" w:type="dxa"/>
                        <w:tblLayout w:type="fixed"/>
                        <w:tblCellMar>
                          <w:top w:w="28" w:type="dxa"/>
                          <w:left w:w="28" w:type="dxa"/>
                          <w:bottom w:w="28" w:type="dxa"/>
                          <w:right w:w="28" w:type="dxa"/>
                        </w:tblCellMar>
                      </w:tblPr>
                      <w:tblGrid>
                        <w:gridCol w:w="798"/>
                        <w:gridCol w:w="701"/>
                        <w:gridCol w:w="99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tLeast" w:line="183" w:before="0" w:after="0"/>
                              <w:jc w:val="right"/>
                              <w:rPr>
                                <w:rFonts w:ascii="Calibri;sans-serif" w:hAnsi="Calibri;sans-serif"/>
                                <w:b w:val="false"/>
                                <w:color w:val="000000"/>
                                <w:sz w:val="16"/>
                              </w:rPr>
                            </w:pPr>
                            <w:r>
                              <w:rPr>
                                <w:rFonts w:ascii="Calibri;sans-serif" w:hAnsi="Calibri;sans-serif"/>
                                <w:b w:val="false"/>
                                <w:color w:val="000000"/>
                                <w:sz w:val="16"/>
                              </w:rPr>
                              <w:t>COMPENSATION RECOVERY POLICY</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ADOPTION DATE: AUGUST 1, 2023</w:t>
                            </w:r>
                          </w:p>
                          <w:p>
                            <w:pPr>
                              <w:pStyle w:val="TableContents"/>
                              <w:bidi w:val="0"/>
                              <w:spacing w:lineRule="auto" w:line="288" w:before="0" w:after="0"/>
                              <w:jc w:val="right"/>
                              <w:rPr>
                                <w:rFonts w:ascii="Calibri;sans-serif" w:hAnsi="Calibri;sans-serif"/>
                                <w:b w:val="false"/>
                                <w:color w:val="000000"/>
                                <w:sz w:val="16"/>
                              </w:rPr>
                            </w:pPr>
                            <w:r>
                              <w:rPr>
                                <w:rFonts w:ascii="Calibri;sans-serif" w:hAnsi="Calibri;sans-serif"/>
                                <w:b w:val="false"/>
                                <w:color w:val="000000"/>
                                <w:sz w:val="16"/>
                              </w:rPr>
                              <w:t>PAGE 4</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Times New Roman">
    <w:altName w:val="sans-serif"/>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www.sec.gov/Archives/edgar/data/876523/000087652313000045/a31ezmergecoincarcertifica.htm" TargetMode="External"/><Relationship Id="rId11" Type="http://schemas.openxmlformats.org/officeDocument/2006/relationships/hyperlink" Target="http://www.sec.gov/Archives/edgar/data/876523/000087652314000035/certificateofamendmentdate.htm" TargetMode="External"/><Relationship Id="rId12" Type="http://schemas.openxmlformats.org/officeDocument/2006/relationships/hyperlink" Target="http://www.sec.gov/Archives/edgar/data/876523/000087652314000072/ex32-amendedandrestatedbyl.htm" TargetMode="External"/><Relationship Id="rId13" Type="http://schemas.openxmlformats.org/officeDocument/2006/relationships/hyperlink" Target="http://www.sec.gov/Archives/edgar/data/876523/000087652313000045/a41descriptionofcapitalsto.htm" TargetMode="External"/><Relationship Id="rId14" Type="http://schemas.openxmlformats.org/officeDocument/2006/relationships/hyperlink" Target="http://www.sec.gov/Archives/edgar/data/876523/000087652317000082/a2017-q4projecteaglexinden.htm" TargetMode="External"/><Relationship Id="rId15" Type="http://schemas.openxmlformats.org/officeDocument/2006/relationships/hyperlink" Target="http://www.sec.gov/Archives/edgar/data/876523/000087652318000033/a2018-q3projectcowboyxinde.htm" TargetMode="External"/><Relationship Id="rId16" Type="http://schemas.openxmlformats.org/officeDocument/2006/relationships/hyperlink" Target="http://www.sec.gov/Archives/edgar/data/876523/000087652319000055/a2020-q1successortrusteeag.htm" TargetMode="External"/><Relationship Id="rId17" Type="http://schemas.openxmlformats.org/officeDocument/2006/relationships/hyperlink" Target="https://www.sec.gov/Archives/edgar/data/876523/000087652322000090/ex_41ezpwconvert-indenture.htm" TargetMode="External"/><Relationship Id="rId18" Type="http://schemas.openxmlformats.org/officeDocument/2006/relationships/hyperlink" Target="http://www.sec.gov/Archives/edgar/data/876523/000095013405022476/d30926exv10w94.txt" TargetMode="External"/><Relationship Id="rId19" Type="http://schemas.openxmlformats.org/officeDocument/2006/relationships/hyperlink" Target="http://www.sec.gov/Archives/edgar/data/876523/000087652318000062/a2019-q1exx101ltipamendmen.htm" TargetMode="External"/><Relationship Id="rId20" Type="http://schemas.openxmlformats.org/officeDocument/2006/relationships/hyperlink" Target="http://www.sec.gov/Archives/edgar/data/876523/000095012310108591/d77971exv10w15.htm" TargetMode="External"/><Relationship Id="rId21" Type="http://schemas.openxmlformats.org/officeDocument/2006/relationships/hyperlink" Target="http://www.sec.gov/Archives/edgar/data/876523/000095012310108591/d77971exv10w17.htm" TargetMode="External"/><Relationship Id="rId22" Type="http://schemas.openxmlformats.org/officeDocument/2006/relationships/hyperlink" Target="https://www.sec.gov/Archives/edgar/data/876523/000087652322000071/a2022-q410xkex10506x2b2022.htm" TargetMode="External"/><Relationship Id="rId23" Type="http://schemas.openxmlformats.org/officeDocument/2006/relationships/hyperlink" Target="https://www.sec.gov/Archives/edgar/data/876523/000087652322000071/a2022-q410xkex10606x2achan.htm" TargetMode="External"/><Relationship Id="rId24" Type="http://schemas.openxmlformats.org/officeDocument/2006/relationships/hyperlink" Target="https://www.sec.gov/Archives/edgar/data/876523/000087652322000071/a2022-q410xkex10706x2c2010.htm" TargetMode="External"/><Relationship Id="rId25" Type="http://schemas.openxmlformats.org/officeDocument/2006/relationships/hyperlink" Target="https://www.sec.gov/ix?doc=/Archives/edgar/data/0000876523/000087652323000045/ezpw-20230930.htm" TargetMode="External"/><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66382</Words>
  <Characters>370340</Characters>
  <CharactersWithSpaces>433084</CharactersWithSpaces>
  <Paragraphs>6775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