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Revenue, Operations Off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88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58,846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58,846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89,877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in whole or in part on September 30, 2023, subject to the attainment of specified performance goals.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2020. However, no consideration was paid for the award other than services rendered and to be rendered by the Reporting Person.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Carrie Putnam, attorney-in-fact 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4292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2021-02-24T07:36:35Z</dcterms:created>
  <dcterms:modified xsi:type="dcterms:W3CDTF">2021-02-24T07:36:35Z</dcterms:modified>
</cp:coreProperties>
</file>