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94" w:lineRule="exact"/>
        <w:rPr>
          <w:sz w:val="24"/>
          <w:szCs w:val="24"/>
          <w:color w:val="auto"/>
        </w:rPr>
      </w:pPr>
    </w:p>
    <w:p>
      <w:pPr>
        <w:ind w:left="4260" w:right="1900" w:hanging="4056"/>
        <w:spacing w:after="0" w:line="283" w:lineRule="auto"/>
        <w:tabs>
          <w:tab w:leader="none" w:pos="72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2014</w:t>
      </w:r>
    </w:p>
    <w:p>
      <w:pPr>
        <w:spacing w:after="0" w:line="1" w:lineRule="exact"/>
        <w:rPr>
          <w:rFonts w:ascii="MS PGothic" w:cs="MS PGothic" w:eastAsia="MS PGothic" w:hAnsi="MS PGothic"/>
          <w:sz w:val="22"/>
          <w:szCs w:val="22"/>
          <w:color w:val="auto"/>
        </w:rPr>
      </w:pPr>
    </w:p>
    <w:p>
      <w:pPr>
        <w:ind w:left="56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or</w:t>
      </w:r>
    </w:p>
    <w:p>
      <w:pPr>
        <w:spacing w:after="0" w:line="191" w:lineRule="exact"/>
        <w:rPr>
          <w:sz w:val="24"/>
          <w:szCs w:val="24"/>
          <w:color w:val="auto"/>
        </w:rPr>
      </w:pPr>
    </w:p>
    <w:p>
      <w:pPr>
        <w:ind w:left="720" w:hanging="476"/>
        <w:spacing w:after="0"/>
        <w:tabs>
          <w:tab w:leader="none" w:pos="720" w:val="left"/>
        </w:tabs>
        <w:numPr>
          <w:ilvl w:val="0"/>
          <w:numId w:val="2"/>
        </w:numPr>
        <w:rPr>
          <w:rFonts w:ascii="Arial" w:cs="Arial" w:eastAsia="Arial" w:hAnsi="Arial"/>
          <w:sz w:val="21"/>
          <w:szCs w:val="21"/>
          <w:color w:val="auto"/>
        </w:rPr>
      </w:pPr>
      <w:r>
        <w:rPr>
          <w:rFonts w:ascii="Arial" w:cs="Arial" w:eastAsia="Arial" w:hAnsi="Arial"/>
          <w:sz w:val="17"/>
          <w:szCs w:val="17"/>
          <w:b w:val="1"/>
          <w:bCs w:val="1"/>
          <w:color w:val="auto"/>
        </w:rPr>
        <w:t>TRANSITION REPORT PURSUANT TO SECTION 13 OR 15(d) OF THE SECURITIES EXCHANGE ACT OF 1934</w:t>
      </w:r>
    </w:p>
    <w:tbl>
      <w:tblPr>
        <w:tblLayout w:type="fixed"/>
        <w:tblInd w:w="760" w:type="dxa"/>
        <w:tblCellMar>
          <w:top w:w="0" w:type="dxa"/>
          <w:left w:w="0" w:type="dxa"/>
          <w:bottom w:w="0" w:type="dxa"/>
          <w:right w:w="0" w:type="dxa"/>
        </w:tblCellMar>
      </w:tblPr>
      <w:tr>
        <w:trPr>
          <w:trHeight w:val="203"/>
        </w:trPr>
        <w:tc>
          <w:tcPr>
            <w:tcW w:w="5440" w:type="dxa"/>
            <w:vAlign w:val="bottom"/>
          </w:tcPr>
          <w:p>
            <w:pPr>
              <w:ind w:left="3080"/>
              <w:spacing w:after="0" w:line="202" w:lineRule="exact"/>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99"/>
        </w:trPr>
        <w:tc>
          <w:tcPr>
            <w:tcW w:w="6340" w:type="dxa"/>
            <w:vAlign w:val="bottom"/>
            <w:gridSpan w:val="2"/>
          </w:tcPr>
          <w:p>
            <w:pPr>
              <w:jc w:val="center"/>
              <w:ind w:left="3465"/>
              <w:spacing w:after="0"/>
              <w:rPr>
                <w:sz w:val="20"/>
                <w:szCs w:val="20"/>
                <w:color w:val="auto"/>
              </w:rPr>
            </w:pPr>
            <w:r>
              <w:rPr>
                <w:rFonts w:ascii="Arial" w:cs="Arial" w:eastAsia="Arial" w:hAnsi="Arial"/>
                <w:sz w:val="18"/>
                <w:szCs w:val="18"/>
                <w:b w:val="1"/>
                <w:bCs w:val="1"/>
                <w:color w:val="auto"/>
                <w:w w:val="89"/>
              </w:rPr>
              <w:t>Commission File No. 000-19424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2"/>
        </w:trPr>
        <w:tc>
          <w:tcPr>
            <w:tcW w:w="6340" w:type="dxa"/>
            <w:vAlign w:val="bottom"/>
            <w:gridSpan w:val="2"/>
          </w:tcPr>
          <w:p>
            <w:pPr>
              <w:jc w:val="center"/>
              <w:ind w:left="3485"/>
              <w:spacing w:after="0"/>
              <w:rPr>
                <w:sz w:val="20"/>
                <w:szCs w:val="20"/>
                <w:color w:val="auto"/>
              </w:rPr>
            </w:pPr>
            <w:r>
              <w:rPr>
                <w:rFonts w:ascii="Arial" w:cs="Arial" w:eastAsia="Arial" w:hAnsi="Arial"/>
                <w:sz w:val="29"/>
                <w:szCs w:val="29"/>
                <w:b w:val="1"/>
                <w:bCs w:val="1"/>
                <w:color w:val="auto"/>
                <w:w w:val="98"/>
              </w:rPr>
              <w:t>EZCORP,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6"/>
        </w:trPr>
        <w:tc>
          <w:tcPr>
            <w:tcW w:w="9100" w:type="dxa"/>
            <w:vAlign w:val="bottom"/>
            <w:gridSpan w:val="5"/>
          </w:tcPr>
          <w:p>
            <w:pPr>
              <w:jc w:val="center"/>
              <w:ind w:left="705"/>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51"/>
        </w:trPr>
        <w:tc>
          <w:tcPr>
            <w:tcW w:w="6340" w:type="dxa"/>
            <w:vAlign w:val="bottom"/>
            <w:gridSpan w:val="2"/>
          </w:tcPr>
          <w:p>
            <w:pPr>
              <w:jc w:val="center"/>
              <w:ind w:right="2480"/>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74-2540145</w:t>
            </w:r>
          </w:p>
        </w:tc>
      </w:tr>
      <w:tr>
        <w:trPr>
          <w:trHeight w:val="257"/>
        </w:trPr>
        <w:tc>
          <w:tcPr>
            <w:tcW w:w="6340" w:type="dxa"/>
            <w:vAlign w:val="bottom"/>
            <w:gridSpan w:val="2"/>
          </w:tcPr>
          <w:p>
            <w:pPr>
              <w:jc w:val="center"/>
              <w:ind w:right="246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0" w:type="dxa"/>
            <w:vAlign w:val="bottom"/>
          </w:tcPr>
          <w:p>
            <w:pPr>
              <w:spacing w:after="0"/>
              <w:rPr>
                <w:sz w:val="22"/>
                <w:szCs w:val="22"/>
                <w:color w:val="auto"/>
              </w:rPr>
            </w:pPr>
          </w:p>
        </w:tc>
        <w:tc>
          <w:tcPr>
            <w:tcW w:w="2520" w:type="dxa"/>
            <w:vAlign w:val="bottom"/>
            <w:gridSpan w:val="2"/>
          </w:tcPr>
          <w:p>
            <w:pPr>
              <w:jc w:val="center"/>
              <w:ind w:left="79"/>
              <w:spacing w:after="0"/>
              <w:rPr>
                <w:sz w:val="20"/>
                <w:szCs w:val="20"/>
                <w:color w:val="auto"/>
              </w:rPr>
            </w:pPr>
            <w:r>
              <w:rPr>
                <w:rFonts w:ascii="Arial" w:cs="Arial" w:eastAsia="Arial" w:hAnsi="Arial"/>
                <w:sz w:val="16"/>
                <w:szCs w:val="16"/>
                <w:color w:val="auto"/>
                <w:w w:val="95"/>
              </w:rPr>
              <w:t>(I.R.S. Employer Identification No.)</w:t>
            </w:r>
          </w:p>
        </w:tc>
      </w:tr>
    </w:tbl>
    <w:p>
      <w:pPr>
        <w:spacing w:after="0" w:line="200" w:lineRule="exact"/>
        <w:rPr>
          <w:sz w:val="24"/>
          <w:szCs w:val="24"/>
          <w:color w:val="auto"/>
        </w:rPr>
      </w:pPr>
    </w:p>
    <w:p>
      <w:pPr>
        <w:sectPr>
          <w:pgSz w:w="11900" w:h="16838" w:orient="portrait"/>
          <w:cols w:equalWidth="0" w:num="1">
            <w:col w:w="11420"/>
          </w:cols>
          <w:pgMar w:left="240" w:top="233" w:right="239" w:bottom="1440" w:gutter="0" w:footer="0" w:header="0"/>
        </w:sectPr>
      </w:pPr>
    </w:p>
    <w:p>
      <w:pPr>
        <w:spacing w:after="0" w:line="31"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1901 Capital Parkway, Austin, Texas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78746</w:t>
      </w:r>
    </w:p>
    <w:p>
      <w:pPr>
        <w:spacing w:after="0" w:line="106" w:lineRule="exact"/>
        <w:rPr>
          <w:sz w:val="24"/>
          <w:szCs w:val="24"/>
          <w:color w:val="auto"/>
        </w:rPr>
      </w:pPr>
    </w:p>
    <w:p>
      <w:pPr>
        <w:sectPr>
          <w:pgSz w:w="11900" w:h="16838" w:orient="portrait"/>
          <w:cols w:equalWidth="0" w:num="2">
            <w:col w:w="7720" w:space="720"/>
            <w:col w:w="2980"/>
          </w:cols>
          <w:pgMar w:left="240" w:top="233" w:right="239" w:bottom="1440" w:gutter="0" w:footer="0" w:header="0"/>
          <w:type w:val="continuous"/>
        </w:sectPr>
      </w:pPr>
    </w:p>
    <w:p>
      <w:pPr>
        <w:ind w:left="14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103" w:lineRule="exact"/>
        <w:rPr>
          <w:sz w:val="24"/>
          <w:szCs w:val="24"/>
          <w:color w:val="auto"/>
        </w:rPr>
      </w:pPr>
    </w:p>
    <w:p>
      <w:pPr>
        <w:sectPr>
          <w:pgSz w:w="11900" w:h="16838" w:orient="portrait"/>
          <w:cols w:equalWidth="0" w:num="2">
            <w:col w:w="7600" w:space="720"/>
            <w:col w:w="31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512) 314-3400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280" w:type="dxa"/>
            <w:vAlign w:val="bottom"/>
            <w:gridSpan w:val="2"/>
          </w:tcPr>
          <w:p>
            <w:pPr>
              <w:ind w:left="2420"/>
              <w:spacing w:after="0"/>
              <w:rPr>
                <w:sz w:val="20"/>
                <w:szCs w:val="20"/>
                <w:color w:val="auto"/>
              </w:rPr>
            </w:pPr>
            <w:r>
              <w:rPr>
                <w:rFonts w:ascii="Arial" w:cs="Arial" w:eastAsia="Arial" w:hAnsi="Arial"/>
                <w:sz w:val="16"/>
                <w:szCs w:val="16"/>
                <w:color w:val="auto"/>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6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 A Non-voting Common Stock, $.01 par value per share</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w:t>
            </w:r>
          </w:p>
        </w:tc>
      </w:tr>
      <w:tr>
        <w:trPr>
          <w:trHeight w:val="257"/>
        </w:trPr>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60"/>
        <w:spacing w:after="0" w:line="261" w:lineRule="auto"/>
        <w:rPr>
          <w:sz w:val="20"/>
          <w:szCs w:val="20"/>
          <w:color w:val="auto"/>
        </w:rPr>
      </w:pPr>
      <w:r>
        <w:rPr>
          <w:rFonts w:ascii="Arial" w:cs="Arial" w:eastAsia="Arial" w:hAnsi="Arial"/>
          <w:sz w:val="16"/>
          <w:szCs w:val="16"/>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p>
      <w:pPr>
        <w:ind w:left="2840" w:right="720" w:hanging="4495"/>
        <w:spacing w:after="0" w:line="231" w:lineRule="exact"/>
        <w:tabs>
          <w:tab w:leader="none" w:pos="28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9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$554 million, based on the closing price on the NASDAQ Stock Market on March 31, 2014.</w:t>
      </w:r>
    </w:p>
    <w:p>
      <w:pPr>
        <w:spacing w:after="0" w:line="21" w:lineRule="exact"/>
        <w:rPr>
          <w:sz w:val="24"/>
          <w:szCs w:val="24"/>
          <w:color w:val="auto"/>
        </w:rPr>
      </w:pPr>
    </w:p>
    <w:p>
      <w:pPr>
        <w:ind w:right="280"/>
        <w:spacing w:after="0" w:line="275" w:lineRule="auto"/>
        <w:rPr>
          <w:sz w:val="20"/>
          <w:szCs w:val="20"/>
          <w:color w:val="auto"/>
        </w:rPr>
      </w:pPr>
      <w:r>
        <w:rPr>
          <w:rFonts w:ascii="Arial" w:cs="Arial" w:eastAsia="Arial" w:hAnsi="Arial"/>
          <w:sz w:val="16"/>
          <w:szCs w:val="16"/>
          <w:color w:val="auto"/>
        </w:rPr>
        <w:t>As of October 31, 2014, 50,613,341 shares of the registrant’s Class A Non-voting Common Stock, par value $.01 per share, and 2,970,171 shares of the registrant’s Class B Voting Common Stock, par value $.01 per share, were outstanding.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2014</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2"/>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2"/>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8"/>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gridSpan w:val="7"/>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1A. Risk Factors</w:t>
              </w:r>
            </w:hyperlink>
          </w:p>
        </w:tc>
        <w:tc>
          <w:tcPr>
            <w:tcW w:w="8320" w:type="dxa"/>
            <w:vAlign w:val="bottom"/>
            <w:gridSpan w:val="25"/>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54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2.</w:t>
              </w:r>
            </w:hyperlink>
          </w:p>
        </w:tc>
        <w:tc>
          <w:tcPr>
            <w:tcW w:w="2180" w:type="dxa"/>
            <w:vAlign w:val="bottom"/>
            <w:gridSpan w:val="13"/>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3.</w:t>
              </w:r>
            </w:hyperlink>
          </w:p>
        </w:tc>
        <w:tc>
          <w:tcPr>
            <w:tcW w:w="9380" w:type="dxa"/>
            <w:vAlign w:val="bottom"/>
            <w:gridSpan w:val="3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28">
              <w:r>
                <w:rPr>
                  <w:rFonts w:ascii="Arial" w:cs="Arial" w:eastAsia="Arial" w:hAnsi="Arial"/>
                  <w:sz w:val="18"/>
                  <w:szCs w:val="18"/>
                  <w:color w:val="0033FF"/>
                  <w:w w:val="92"/>
                </w:rPr>
                <w:t>4.</w:t>
              </w:r>
            </w:hyperlink>
          </w:p>
        </w:tc>
        <w:tc>
          <w:tcPr>
            <w:tcW w:w="9380" w:type="dxa"/>
            <w:vAlign w:val="bottom"/>
            <w:gridSpan w:val="31"/>
          </w:tcPr>
          <w:p>
            <w:pPr>
              <w:ind w:left="20"/>
              <w:spacing w:after="0"/>
              <w:rPr>
                <w:rFonts w:ascii="Arial" w:cs="Arial" w:eastAsia="Arial" w:hAnsi="Arial"/>
                <w:sz w:val="18"/>
                <w:szCs w:val="18"/>
                <w:color w:val="0033FF"/>
              </w:rPr>
            </w:pPr>
            <w:hyperlink w:anchor="page28">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24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5.</w:t>
              </w:r>
            </w:hyperlink>
          </w:p>
        </w:tc>
        <w:tc>
          <w:tcPr>
            <w:tcW w:w="8100" w:type="dxa"/>
            <w:vAlign w:val="bottom"/>
            <w:gridSpan w:val="30"/>
          </w:tcPr>
          <w:p>
            <w:pPr>
              <w:ind w:left="20"/>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6.</w:t>
              </w:r>
            </w:hyperlink>
          </w:p>
        </w:tc>
        <w:tc>
          <w:tcPr>
            <w:tcW w:w="8100" w:type="dxa"/>
            <w:vAlign w:val="bottom"/>
            <w:gridSpan w:val="30"/>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7.</w:t>
              </w:r>
            </w:hyperlink>
          </w:p>
        </w:tc>
        <w:tc>
          <w:tcPr>
            <w:tcW w:w="6480" w:type="dxa"/>
            <w:vAlign w:val="bottom"/>
            <w:gridSpan w:val="27"/>
          </w:tcPr>
          <w:p>
            <w:pPr>
              <w:ind w:left="20"/>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8.</w:t>
              </w:r>
            </w:hyperlink>
          </w:p>
        </w:tc>
        <w:tc>
          <w:tcPr>
            <w:tcW w:w="4500" w:type="dxa"/>
            <w:vAlign w:val="bottom"/>
            <w:gridSpan w:val="18"/>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9.</w:t>
              </w:r>
            </w:hyperlink>
          </w:p>
        </w:tc>
        <w:tc>
          <w:tcPr>
            <w:tcW w:w="6500" w:type="dxa"/>
            <w:vAlign w:val="bottom"/>
            <w:tcBorders>
              <w:bottom w:val="single" w:sz="8" w:color="0000EE"/>
            </w:tcBorders>
            <w:gridSpan w:val="28"/>
          </w:tcPr>
          <w:p>
            <w:pPr>
              <w:ind w:left="20"/>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123</w:t>
              </w:r>
            </w:hyperlink>
          </w:p>
        </w:tc>
      </w:tr>
      <w:tr>
        <w:trPr>
          <w:trHeight w:val="250"/>
        </w:trPr>
        <w:tc>
          <w:tcPr>
            <w:tcW w:w="20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9A. Controls and Procedures</w:t>
              </w:r>
            </w:hyperlink>
          </w:p>
        </w:tc>
        <w:tc>
          <w:tcPr>
            <w:tcW w:w="7460" w:type="dxa"/>
            <w:vAlign w:val="bottom"/>
            <w:gridSpan w:val="19"/>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123</w:t>
              </w:r>
            </w:hyperlink>
          </w:p>
        </w:tc>
      </w:tr>
      <w:tr>
        <w:trPr>
          <w:trHeight w:val="250"/>
        </w:trPr>
        <w:tc>
          <w:tcPr>
            <w:tcW w:w="9540" w:type="dxa"/>
            <w:vAlign w:val="bottom"/>
            <w:gridSpan w:val="3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9B. Other Information</w:t>
              </w:r>
            </w:hyperlink>
          </w:p>
        </w:tc>
        <w:tc>
          <w:tcPr>
            <w:tcW w:w="1820" w:type="dxa"/>
            <w:vAlign w:val="bottom"/>
            <w:gridSpan w:val="6"/>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126</w:t>
              </w:r>
            </w:hyperlink>
          </w:p>
        </w:tc>
      </w:tr>
      <w:tr>
        <w:trPr>
          <w:trHeight w:val="250"/>
        </w:trPr>
        <w:tc>
          <w:tcPr>
            <w:tcW w:w="9540" w:type="dxa"/>
            <w:vAlign w:val="bottom"/>
            <w:gridSpan w:val="3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11. Executive Compensation</w:t>
              </w:r>
            </w:hyperlink>
          </w:p>
        </w:tc>
        <w:tc>
          <w:tcPr>
            <w:tcW w:w="1820" w:type="dxa"/>
            <w:vAlign w:val="bottom"/>
            <w:gridSpan w:val="6"/>
          </w:tcPr>
          <w:p>
            <w:pPr>
              <w:jc w:val="right"/>
              <w:spacing w:after="0"/>
              <w:rPr>
                <w:rFonts w:ascii="Arial" w:cs="Arial" w:eastAsia="Arial" w:hAnsi="Arial"/>
                <w:sz w:val="18"/>
                <w:szCs w:val="18"/>
                <w:color w:val="0000EE"/>
              </w:rPr>
            </w:pPr>
            <w:hyperlink w:anchor="page135">
              <w:r>
                <w:rPr>
                  <w:rFonts w:ascii="Arial" w:cs="Arial" w:eastAsia="Arial" w:hAnsi="Arial"/>
                  <w:sz w:val="18"/>
                  <w:szCs w:val="18"/>
                  <w:color w:val="0000EE"/>
                </w:rPr>
                <w:t>133</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157</w:t>
              </w:r>
            </w:hyperlink>
          </w:p>
        </w:tc>
      </w:tr>
      <w:tr>
        <w:trPr>
          <w:trHeight w:val="250"/>
        </w:trPr>
        <w:tc>
          <w:tcPr>
            <w:tcW w:w="572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159</w:t>
              </w:r>
            </w:hyperlink>
          </w:p>
        </w:tc>
      </w:tr>
      <w:tr>
        <w:trPr>
          <w:trHeight w:val="250"/>
        </w:trPr>
        <w:tc>
          <w:tcPr>
            <w:tcW w:w="9540" w:type="dxa"/>
            <w:vAlign w:val="bottom"/>
            <w:gridSpan w:val="32"/>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64">
              <w:r>
                <w:rPr>
                  <w:rFonts w:ascii="Arial" w:cs="Arial" w:eastAsia="Arial" w:hAnsi="Arial"/>
                  <w:sz w:val="18"/>
                  <w:szCs w:val="18"/>
                  <w:color w:val="0000EE"/>
                </w:rPr>
                <w:t>161</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65">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2"/>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66">
              <w:r>
                <w:rPr>
                  <w:rFonts w:ascii="Arial" w:cs="Arial" w:eastAsia="Arial" w:hAnsi="Arial"/>
                  <w:sz w:val="18"/>
                  <w:szCs w:val="18"/>
                  <w:color w:val="0000EE"/>
                </w:rPr>
                <w:t>163</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69">
              <w:r>
                <w:rPr>
                  <w:rFonts w:ascii="Arial" w:cs="Arial" w:eastAsia="Arial" w:hAnsi="Arial"/>
                  <w:sz w:val="18"/>
                  <w:szCs w:val="18"/>
                  <w:color w:val="0000EE"/>
                  <w:w w:val="85"/>
                </w:rPr>
                <w:t>Signatures</w:t>
              </w:r>
            </w:hyperlink>
          </w:p>
        </w:tc>
        <w:tc>
          <w:tcPr>
            <w:tcW w:w="2660" w:type="dxa"/>
            <w:vAlign w:val="bottom"/>
            <w:tcBorders>
              <w:top w:val="single" w:sz="8" w:color="0000EE"/>
            </w:tcBorders>
            <w:gridSpan w:val="13"/>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69">
              <w:r>
                <w:rPr>
                  <w:rFonts w:ascii="Arial" w:cs="Arial" w:eastAsia="Arial" w:hAnsi="Arial"/>
                  <w:sz w:val="18"/>
                  <w:szCs w:val="18"/>
                  <w:color w:val="0000EE"/>
                  <w:w w:val="86"/>
                </w:rPr>
                <w:t>167</w:t>
              </w:r>
            </w:hyperlink>
          </w:p>
        </w:tc>
      </w:tr>
      <w:tr>
        <w:trPr>
          <w:trHeight w:val="250"/>
        </w:trPr>
        <w:tc>
          <w:tcPr>
            <w:tcW w:w="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Exhibit Index</w:t>
              </w:r>
            </w:hyperlink>
          </w:p>
        </w:tc>
        <w:tc>
          <w:tcPr>
            <w:tcW w:w="8560" w:type="dxa"/>
            <w:vAlign w:val="bottom"/>
            <w:gridSpan w:val="26"/>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168</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 Item 1A — Risk Factors.” We caution that assumptions, expectations, projections, intentions or beliefs about future events may, and often do, vary from actual results, and the differences can be material. See also “Part II —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Unless otherwise specified, references to the “company,” “we,” "our" and "us" refer to EZCORP, Inc. and its consolidated subsidiaries. References to a “fiscal” year refer to our fiscal year ended September 30 of the specified year. For example, “fiscal 2014” refers to the fiscal year ended September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EZCORP, Inc. is a Delaware corporation headquartered in Austin, Texas. We are a leader in delivering instant cash solutions to our customers across products, services and markets. With approximately 7,300 team members and approximately 1,400 locations, we offer our customers multiple ways to access instant cash, including pawn loans and consumer loans in the United States, Mexico and Canada. At our pawn and buy/sell stores, we also sell merchandise, primarily collateral forfeited from pawn lending operations and used merchandise purchased from customers.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our Texas locations, we do not offer or fund loan products themselves, but rather offer credit services to help customers obtain loans from independent third-party lenders.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own a 76% interest in Prestaciones Finmart, S.A.P.I. de C.V., SOFOM, E.N.R. ("Grupo Finmart," doing business under the names “Crediamigo” and “Adex”), a leading consumer loan provider headquartered in Mexico City; and a 59% interest in Renueva Commercial S.A.P.I. de C.V. ("TUYO"), a company headquartered in Mexico City that owns and operates buy/sell stores in Mexico City and the surrounding metropolitan area.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we operated a total of 1,358 locations, consisting of:</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497 U.S. pawn stores (operating primarily as EZPAWN or Value Pawn &amp; Jewelry);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242 Mexico pawn stores (operating as Empeño Fácil);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 Mexico buy/sell stores (operating as TUYO or Cash Converters);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501 U.S. financial services stores (operating primarily as EZMONEY);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 financial services stores in Canada (operating as CASHMAX);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 buy/sell and financial services stores in Canada (operating as Cash Converters);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53 Grupo Finmart locations in Mexico (operating as Crediamigo or Adex).</w:t>
      </w:r>
    </w:p>
    <w:p>
      <w:pPr>
        <w:spacing w:after="0" w:line="15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own approximately 32% of Cash Converters International Limited (“Cash Converters International”), which is based in Australia and franchises and operates a worldwide network of over 750 locations that provide financial services and buy and sell second-hand goods. We also own the Cash Converters master franchise rights in Canada and are the franchisor of five stores there.</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We also buy and sell second-hand goods. At our financial services stores and at some of our pawn and buy/sell stores, we offer a variety of consumer loan products, including single-payment, unsecured loans with maturity dates typically ranging from seven to 23 days; multiple-payment unsecured loans that may be repaid over extended periods of up to seven months; single-payment 30-day loans secured by automobile titles; multiple-payment auto title loans that carry terms of two to four months; and revolving lines of credit, both unsecured and secured by auto titles. In Texas, our financial services stores and our pawn stores that also offer financial services do not offer loan products themselves, but rather offer credit services to help customers obtain loans from independent third-party lenders.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business consists of three reportable segments: “U.S. &amp; Canada,” which includes all business activities in the United States and Canada; “Latin America,” which includes our Empeño Fácil pawn operations, TUYO buy/sell operations and Grupo Finmart financial services operations in Mexico; and “Other International,” which includes our equity interest in the net income of Cash Converters International.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16"/>
          </w:tcPr>
          <w:p>
            <w:pPr>
              <w:jc w:val="center"/>
              <w:ind w:right="340"/>
              <w:spacing w:after="0"/>
              <w:rPr>
                <w:sz w:val="20"/>
                <w:szCs w:val="20"/>
                <w:color w:val="auto"/>
              </w:rPr>
            </w:pPr>
            <w:r>
              <w:rPr>
                <w:rFonts w:ascii="Arial" w:cs="Arial" w:eastAsia="Arial" w:hAnsi="Arial"/>
                <w:sz w:val="14"/>
                <w:szCs w:val="14"/>
                <w:b w:val="1"/>
                <w:bCs w:val="1"/>
                <w:color w:val="auto"/>
                <w:w w:val="92"/>
              </w:rPr>
              <w:t>Fiscal Year Ended September 30, 2014</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11"/>
          </w:tcPr>
          <w:p>
            <w:pPr>
              <w:ind w:left="58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4"/>
          </w:tcPr>
          <w:p>
            <w:pPr>
              <w:ind w:left="440"/>
              <w:spacing w:after="0" w:line="153" w:lineRule="exact"/>
              <w:rPr>
                <w:sz w:val="20"/>
                <w:szCs w:val="20"/>
                <w:color w:val="auto"/>
              </w:rPr>
            </w:pPr>
            <w:r>
              <w:rPr>
                <w:rFonts w:ascii="Arial" w:cs="Arial" w:eastAsia="Arial" w:hAnsi="Arial"/>
                <w:sz w:val="14"/>
                <w:szCs w:val="14"/>
                <w:b w:val="1"/>
                <w:bCs w:val="1"/>
                <w:color w:val="auto"/>
              </w:rPr>
              <w:t>Other</w:t>
            </w:r>
          </w:p>
        </w:tc>
        <w:tc>
          <w:tcPr>
            <w:tcW w:w="16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4"/>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0" w:type="dxa"/>
            <w:vAlign w:val="bottom"/>
            <w:gridSpan w:val="7"/>
            <w:vMerge w:val="continue"/>
          </w:tcPr>
          <w:p>
            <w:pPr>
              <w:spacing w:after="0"/>
              <w:rPr>
                <w:sz w:val="16"/>
                <w:szCs w:val="16"/>
                <w:color w:val="auto"/>
              </w:rPr>
            </w:pP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International</w:t>
            </w:r>
          </w:p>
        </w:tc>
        <w:tc>
          <w:tcPr>
            <w:tcW w:w="1600" w:type="dxa"/>
            <w:vAlign w:val="bottom"/>
            <w:gridSpan w:val="5"/>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1,044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6"/>
          </w:tcPr>
          <w:p>
            <w:pPr>
              <w:jc w:val="center"/>
              <w:ind w:right="380"/>
              <w:spacing w:after="0"/>
              <w:rPr>
                <w:sz w:val="20"/>
                <w:szCs w:val="20"/>
                <w:color w:val="auto"/>
              </w:rPr>
            </w:pPr>
            <w:r>
              <w:rPr>
                <w:rFonts w:ascii="Arial" w:cs="Arial" w:eastAsia="Arial" w:hAnsi="Arial"/>
                <w:sz w:val="14"/>
                <w:szCs w:val="14"/>
                <w:b w:val="1"/>
                <w:bCs w:val="1"/>
                <w:color w:val="auto"/>
                <w:w w:val="92"/>
              </w:rPr>
              <w:t>Fiscal Year Ended September 30, 2013</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7"/>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Other</w:t>
            </w:r>
          </w:p>
        </w:tc>
        <w:tc>
          <w:tcPr>
            <w:tcW w:w="16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4"/>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0" w:type="dxa"/>
            <w:vAlign w:val="bottom"/>
            <w:gridSpan w:val="7"/>
            <w:vMerge w:val="continue"/>
          </w:tcPr>
          <w:p>
            <w:pPr>
              <w:spacing w:after="0"/>
              <w:rPr>
                <w:sz w:val="16"/>
                <w:szCs w:val="16"/>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600" w:type="dxa"/>
            <w:vAlign w:val="bottom"/>
            <w:gridSpan w:val="5"/>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6"/>
          </w:tcPr>
          <w:p>
            <w:pPr>
              <w:jc w:val="center"/>
              <w:ind w:right="380"/>
              <w:spacing w:after="0"/>
              <w:rPr>
                <w:sz w:val="20"/>
                <w:szCs w:val="20"/>
                <w:color w:val="auto"/>
              </w:rPr>
            </w:pPr>
            <w:r>
              <w:rPr>
                <w:rFonts w:ascii="Arial" w:cs="Arial" w:eastAsia="Arial" w:hAnsi="Arial"/>
                <w:sz w:val="14"/>
                <w:szCs w:val="14"/>
                <w:b w:val="1"/>
                <w:bCs w:val="1"/>
                <w:color w:val="auto"/>
                <w:w w:val="92"/>
              </w:rPr>
              <w:t>Fiscal Year Ended September 30, 2012</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7"/>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rPr>
              <w:t>Other</w:t>
            </w:r>
          </w:p>
        </w:tc>
        <w:tc>
          <w:tcPr>
            <w:tcW w:w="16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4"/>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0" w:type="dxa"/>
            <w:vAlign w:val="bottom"/>
            <w:gridSpan w:val="7"/>
            <w:vMerge w:val="continue"/>
          </w:tcPr>
          <w:p>
            <w:pPr>
              <w:spacing w:after="0"/>
              <w:rPr>
                <w:sz w:val="16"/>
                <w:szCs w:val="16"/>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600" w:type="dxa"/>
            <w:vAlign w:val="bottom"/>
            <w:gridSpan w:val="5"/>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4"/>
          </w:tcPr>
          <w:p>
            <w:pPr>
              <w:ind w:left="9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4"/>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Stores in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80" w:type="dxa"/>
            <w:vAlign w:val="bottom"/>
            <w:gridSpan w:val="11"/>
          </w:tcPr>
          <w:p>
            <w:pPr>
              <w:spacing w:after="0"/>
              <w:rPr>
                <w:sz w:val="20"/>
                <w:szCs w:val="20"/>
                <w:color w:val="auto"/>
              </w:rPr>
            </w:pPr>
            <w:r>
              <w:rPr>
                <w:rFonts w:ascii="Arial" w:cs="Arial" w:eastAsia="Arial" w:hAnsi="Arial"/>
                <w:sz w:val="18"/>
                <w:szCs w:val="18"/>
                <w:color w:val="auto"/>
              </w:rPr>
              <w:t>The following components comprised our total revenues for each of the last three fiscal years: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ind w:left="860"/>
              <w:spacing w:after="0"/>
              <w:rPr>
                <w:sz w:val="20"/>
                <w:szCs w:val="20"/>
                <w:color w:val="auto"/>
              </w:rPr>
            </w:pPr>
            <w:r>
              <w:rPr>
                <w:rFonts w:ascii="Arial" w:cs="Arial" w:eastAsia="Arial" w:hAnsi="Arial"/>
                <w:sz w:val="14"/>
                <w:szCs w:val="14"/>
                <w:b w:val="1"/>
                <w:bCs w:val="1"/>
                <w:color w:val="auto"/>
                <w:w w:val="93"/>
              </w:rPr>
              <w:t>Fiscal Year Ended September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sales</w:t>
            </w: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Jewelry scrapping sales</w:t>
            </w: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w:t>
            </w: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Consumer loan fees and interest</w:t>
            </w: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sales and other revenues</w:t>
            </w: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At our pawn stores, we offer secured loans, which are typically small, non-recourse loans collateralized by tangible personal property. At September 30, 2014, we had an aggregate pawn loan principal balance of $162.4 million, and the average pawn loan was approximately $123. We earn pawn service charge revenue on our pawn loans. In fiscal 2014, pawn service charges accounted for approximately 25% of our total revenues and 40% of our net revenues.</w:t>
      </w:r>
    </w:p>
    <w:p>
      <w:pPr>
        <w:spacing w:after="0" w:line="14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While allowable service charges vary by state and loan size, most of our U.S. pawn loans earn 20% per month. Our average U.S. pawn loan amount typically ranges between $130 and $135, but varies depending on the valuation of each item pawned. The total U.S. pawn loan term ranges between 60 and 120 days, consisting of the primary term and grace period. In Mexico, pawn service charges range from 14% to 21% per month, including applicable taxes, with the majority of loans earning 21%. The maximum Mexico pawn loan term is 40 days, consisting of the primary term and grace period. Individual loans are made in Mexican pesos and vary depending on the valuation of each item pawned, but typically average U.S. $65. In fiscal 2014, 2013 and 2012, and on a consolidated basis, approximately 83%, 82% and 82%, respectively, of our pawn loans were redeemed in full or were renewed or extended.</w:t>
      </w:r>
    </w:p>
    <w:p>
      <w:pPr>
        <w:spacing w:after="0" w:line="16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Collateral for our pawn loans consists of tangible personal property, generally jewelry, consumer electronics, tools, sporting goods and musical instruments. Approximately 53% of our pawn loan collateral is jewelry, and the majority of that is gold jewelry. We do not evaluate the creditworthiness of a pawn customer but rely on the estimated resale value of the collateral and the perceived probability of the loan’s redemption. We generally lend from 25% to 65% of the collateral’s estimated resale value depending on an evaluation of these factors, and up to 85% based on scrap value.</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Through our lending guidelines, we targeted an annual redemption rate (the percentage of loans made that are repaid, renewed or extended) between 80% and 86% over the last three fiscal years.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dollar amount of our pawn loan activity for fiscal 2014, 2013 and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made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repaid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forfeited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acquired in business acquisitions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sold in sale of pawn stores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increase (decrease) in pawn loans outstanding at the end of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renewed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Loans extended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1,407.4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1,234.2</w:t>
            </w:r>
          </w:p>
        </w:tc>
      </w:tr>
    </w:tbl>
    <w:p>
      <w:pPr>
        <w:spacing w:after="0" w:line="17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redemption rate of pawn loans and the gross profit realized on the sale of forfeited collateral are dependent on the loan value of customer merchandise. Jewelry can be appraised based on weight, gold content, style and value of gemstones. Other items pawned typically consist of consumer electronics, tools, sporting goods and musical instruments. These are evaluated based on recent sales experience and the selling price of similar new merchandise, adjusted for age, wear and obsolescence.</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the time a pawn loan is made, the customer is given a pawn ticket, which shows the name and address of the pawn store and the customer, the customer’s identification information, the date of the loan, a detailed description of the pledged goods, the amount financed, the pawn service charge, the maturity date of the loan, the total amount that must be paid to redeem the loan and the annual percentage rate.</w:t>
      </w:r>
    </w:p>
    <w:p>
      <w:pPr>
        <w:spacing w:after="0" w:line="1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pawn stores and buy/sell stores, we acquire inventory for retail sales through pawn loan forfeitures and through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lending or purchasing process can result in lower margins or reduced marketability of the merchandise. During fiscal 2014, 2013 and 2012, we realized gross margins on retail sales of 36%, 41% and 43%,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most recent fiscal years, sources of inventory additions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7"/>
              </w:rPr>
              <w:t>Fiscal Year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pawn loan collateral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Purchases</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in business acquisitions</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2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For fiscal 2014, 2013 and 2012, retail activities and jewelry scrapping (sales of precious metals and gemstones to refiners and gemstone wholesalers) accounted for approximately 49%, 51% and 55%, respectively, of our total revenues, or 27%, 30% and 35%, respectively, of net revenues. As a significant portion of our inventory and sales involve gold and jewelry, our results can be heavily influenced by the market price of gold.</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Customers may purchase a product protection plan that allows them to return or exchange certain general merchandise (non-jewelry) sold through our retail pawn operations within three to six months of purchase. We recognize the fees for this service as revenue ratably over the three to six month period of the plan.</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Customers may also purchase an item on layaway by paying a minimum layaway deposit, typically 10% to 20% of the item’s sale price, in addition to an upfront nonrefundable fee. We hold the item for a 60 to 180-day period, during which the customer is required to pay the balance of the sales price. The initial deposit and subsequent payments are recorded as customer layaway deposits. Layaways are recorded as sales when paid in full. At September 30, 2014, we held $8.1 million in customer layaway deposits. We record layaway fees as sales revenue upon collection, as they are incidental to sales of merchandise.</w:t>
      </w:r>
    </w:p>
    <w:p>
      <w:pPr>
        <w:spacing w:after="0" w:line="10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9.6% of gross inventory at September 30, 2014 compared to 2.8% at September 30, 2013. The increase in valuation allowance from the prior year is reflective of periodic analyses conducted to value the inventory based on aging, profitability, sell-through rates and shrink in each classification, including jewelry and general merchandise.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offer a variety of financial services to customers who have limited access to other sources of credit. Many customers find our financial services a more attractive alternative than borrowing from friends or family or incurring insufficient funds fees, overdraft protection fees, utility reconnect fees and other charges imposed when they have insufficient cash to meet their needs. By utilizing our financial services, customers can exercise greater control of their personal finances without damaging the relationships they have with their merchants, service providers and family members.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Texas, we do not offer consumer loans, but offer fee-based credit services to customers seeking loans. In these locations, we act as a credit services organization (or “CSO”) on behalf of customers in accordance with applicable state and local laws, and offer advice and assistance to customers in obtaining loans from unaffiliated lenders. Our services include arranging consumer loans with independent third-party lenders, assisting in the preparation of loan applications and loan documents and accepting loan payments for the lenders. We do not make, fund or participate in the consumer loans made by the lenders, but we assist customers in obtaining credit and enhance their creditworthiness by issuing letters of credit to guarantee customers’ payment obligations to the independent third-party lenders.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specific financial services offered varies by location, but generally include some or all of the following:</w:t>
      </w:r>
    </w:p>
    <w:p>
      <w:pPr>
        <w:spacing w:after="0" w:line="171"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i w:val="1"/>
          <w:iCs w:val="1"/>
          <w:color w:val="auto"/>
        </w:rPr>
        <w:t xml:space="preserve">Unsecured consumer loans </w:t>
      </w:r>
      <w:r>
        <w:rPr>
          <w:rFonts w:ascii="Arial" w:cs="Arial" w:eastAsia="Arial" w:hAnsi="Arial"/>
          <w:sz w:val="18"/>
          <w:szCs w:val="18"/>
          <w:color w:val="auto"/>
        </w:rPr>
        <w:t>— We offer a variety of unsecured consumer loans, including single-payment loans, multiple-payment loans, lines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and payroll withholding loans:</w:t>
      </w:r>
    </w:p>
    <w:p>
      <w:pPr>
        <w:spacing w:after="0" w:line="116" w:lineRule="exact"/>
        <w:rPr>
          <w:sz w:val="20"/>
          <w:szCs w:val="20"/>
          <w:color w:val="auto"/>
        </w:rPr>
      </w:pPr>
    </w:p>
    <w:p>
      <w:pPr>
        <w:ind w:left="820" w:right="420" w:hanging="326"/>
        <w:spacing w:after="0" w:line="286"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Single-payment loans — Single-payment loans are short-term loans (generally less than 30 days and averaging about 18 days) with due dates corresponding to the customer’s next payday. Principal amounts of single-payment unsecured loans can be up to $2,500, but average approximately $450. In the U.S. we typically charge a fee of 15% to 22% of the loan amount for a seven to 23-day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right="60" w:hanging="326"/>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Multiple-payment loans — Multiple-payment loans typically carry a term of three to seven months, with a series of equal installment payments due monthly, semi-monthly or on the customer’s paydays. Total interest and fees on these loans vary in accordance with state law and loan terms, but over the entire loan term, total approximately 45% to 175% of the original principal amount of the loan. Principal amounts range from $100 to $3,500, but average approximately $600.</w:t>
      </w:r>
    </w:p>
    <w:p>
      <w:pPr>
        <w:spacing w:after="0" w:line="132" w:lineRule="exact"/>
        <w:rPr>
          <w:rFonts w:ascii="Arial" w:cs="Arial" w:eastAsia="Arial" w:hAnsi="Arial"/>
          <w:sz w:val="18"/>
          <w:szCs w:val="18"/>
          <w:color w:val="auto"/>
        </w:rPr>
      </w:pPr>
    </w:p>
    <w:p>
      <w:pPr>
        <w:ind w:left="820" w:right="80" w:hanging="326"/>
        <w:spacing w:after="0" w:line="276"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Lines of credit — Revolving lines of credit operate similarly to a typical credit card. Customers may borrow as needed, may fully repay borrowed amounts at any point and are billed at regular intervals with certain minimum principal and fee payment requirements due in each billing cycle. Billing cycle due dates range from two weeks to a month and generally correspond with the customer’s paydays. Customers may borrow up to their approved credit line, and may re-borrow any repaid amounts. We provide lines of credit ranging from $100 to $2,000 and typically charge an annual fee of $30 per account and a monthly fee approximating 43% of the amount borrowed.</w:t>
      </w:r>
    </w:p>
    <w:p>
      <w:pPr>
        <w:spacing w:after="0" w:line="118" w:lineRule="exact"/>
        <w:rPr>
          <w:rFonts w:ascii="Arial" w:cs="Arial" w:eastAsia="Arial" w:hAnsi="Arial"/>
          <w:sz w:val="17"/>
          <w:szCs w:val="17"/>
          <w:color w:val="auto"/>
        </w:rPr>
      </w:pPr>
    </w:p>
    <w:p>
      <w:pPr>
        <w:ind w:left="820" w:right="160" w:hanging="326"/>
        <w:spacing w:after="0" w:line="25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Payroll withholding loans — In Mexico, Grupo Finmart has over 100 active payroll withholding agreements with Mexican employers, primarily federal, state and local governments and agencies, and provides unsecured multiple-payment consumer loans to the employees of the various employers. Interest and principal payments are collected through payroll deductions. The average loan is approximately U.S. $1,600, with a term of 31 months and annual yields of approximately 72%.</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Secured consumer loans </w:t>
      </w:r>
      <w:r>
        <w:rPr>
          <w:rFonts w:ascii="Arial" w:cs="Arial" w:eastAsia="Arial" w:hAnsi="Arial"/>
          <w:sz w:val="18"/>
          <w:szCs w:val="18"/>
          <w:color w:val="auto"/>
        </w:rPr>
        <w:t>— We offer three principal types of secured consumer loans:</w:t>
      </w:r>
    </w:p>
    <w:p>
      <w:pPr>
        <w:spacing w:after="0" w:line="171" w:lineRule="exact"/>
        <w:rPr>
          <w:sz w:val="20"/>
          <w:szCs w:val="20"/>
          <w:color w:val="auto"/>
        </w:rPr>
      </w:pPr>
    </w:p>
    <w:p>
      <w:pPr>
        <w:jc w:val="both"/>
        <w:ind w:left="820" w:right="40" w:hanging="326"/>
        <w:spacing w:after="0" w:line="312"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Single-payment auto title loans — Single-payment auto title loans are 30-day loans secured by the titles to customers’ automobiles. Loan principal amounts range from $50 to $20,000, but average about $1,200. Loan amounts are established based on customers’ income levels, an inspection of the automobile and title and reference to market values of used automobiles. We earn a fee of 9% to 30% of the initial loan amount.</w:t>
      </w:r>
    </w:p>
    <w:p>
      <w:pPr>
        <w:spacing w:after="0" w:line="92" w:lineRule="exact"/>
        <w:rPr>
          <w:rFonts w:ascii="Arial" w:cs="Arial" w:eastAsia="Arial" w:hAnsi="Arial"/>
          <w:sz w:val="16"/>
          <w:szCs w:val="16"/>
          <w:color w:val="auto"/>
        </w:rPr>
      </w:pPr>
    </w:p>
    <w:p>
      <w:pPr>
        <w:ind w:left="8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Multi-payment auto title loans — In Texas, we assist customers in obtaining multiple-payment auto title loans from unaffiliated lenders. Multiple-payment auto title loans primarily carry a term of five months with principal amounts ranging from $150 to $10,000, but average about $1,200. We earn a fee of 45% to 150% of the initial loan amount.</w:t>
      </w:r>
    </w:p>
    <w:p>
      <w:pPr>
        <w:spacing w:after="0" w:line="127" w:lineRule="exact"/>
        <w:rPr>
          <w:rFonts w:ascii="Arial" w:cs="Arial" w:eastAsia="Arial" w:hAnsi="Arial"/>
          <w:sz w:val="18"/>
          <w:szCs w:val="18"/>
          <w:color w:val="auto"/>
        </w:rPr>
      </w:pPr>
    </w:p>
    <w:p>
      <w:pPr>
        <w:jc w:val="both"/>
        <w:ind w:left="820" w:right="10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 title lines of credit —The terms and fee structure of auto title lines of credit are similar to those of unsecured lines of credit described above, except that they are secured by the titles to customers’ automobiles. We provide lines of credit ranging from $100 to $10,000 and typically charge an initial lien fee per account and a monthly fee approximating 25% of the amount borrowed.</w:t>
      </w:r>
    </w:p>
    <w:p>
      <w:pPr>
        <w:spacing w:after="0" w:line="12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Single-payment consumer loans are considered defaulted if they are not repaid or renewed by the maturity date. Outstanding amounts on unsecured lines of credit are considered defaulted if customers do not timely make one required scheduled payment. Multiple-payment loans are considered defaulted if the customer has failed to make two consecutive installment payments.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consumer loan balance represents the principal amount of all active (non-defaulted) loans, net of this valuation allowance.</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 credit service customer defaults on a loan, we pay the lender the principal and accrued interest due under the loan and an insufficient funds fee and charge those amounts to bad debt expense. We then attempt to collect those amounts from the customer. Subsequent recoveries are recorded as a reduction of bad debt at the time of collection. We also record as bad debt expense an accrual of expected losses for principal, interest and insufficient fund fees we expect to pay the lenders on default of the lenders’ current loans. This estimate is based on recent default and collection experience and the amount of loans the lenders have outstanding.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table below shows the dollar amount of our consumer loan activity for the three most recent fiscal years. For purposes of this table, consumer loan balances include the principal portion of loans (net of valuation allowance) recorded in our consolidated balance sheets and the principal portion of active brokered loans outstanding from unaffiliated lenders, which is not included in our 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consumer loans: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made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366.4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repaid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of loan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Loans acquired in business acquisition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consumer loans outstanding at the end of the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loans made by unaffiliated lenders (credit services only):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made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135.6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repaid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increase in consumer loans outstanding at the end of the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loans made by us: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made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Loans repaid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forfeited, net of collections on bad debt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Sales of loan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Loans acquired in business acquisition</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Change due to foreign currency exchange fluctuations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increase in consumer loans outstanding at the end of the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profitability of unsecured consumer loans is highly dependent on our ability to manage the default rate and collect defaulted loan principal, interest and insufficient fund fees. In determining whether to lend or provide credit services, we perform a review of customer information, such as making a credit reporting agency inquiry, evaluating and verifying income sources and levels, verifying employment and verifying a telephone number where the customers may be contacted.</w:t>
      </w:r>
    </w:p>
    <w:p>
      <w:pPr>
        <w:spacing w:after="0" w:line="13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Auto title loans are secured by the titles to customers’ automobiles. Lending decisions and loan amounts are determined on the basis of customers’ income levels, an inspection of the automobile and title and reference to market values of used automobiles. Through charges to bad debt expense, we provide a bad debt allowance on the current and delinquent balances of auto title loans and auto title lines of credit, and increase the allowance as the loans age or in response to other potential indicators of loss. Auction proceeds from repossessed automobiles are recorded as an offset to bad debt.</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the time a consumer loan is made, a loan agreement and credit services agreement, when applicable, are given to the customer. It presents the name and address of the lender, the customer and the credit services company when applicable, the customer’s identification information, the date of the loan, the amount financed, the interest or service charges due on maturity, the maturity date of the loan, the total amount that must be paid and the annual percentage rate. At the time a line of credit is granted, customers receive a similar agreement specifying the terms of the credit line, fees and annual percentage rate and repayment terms.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sales.</w:t>
      </w:r>
    </w:p>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typical company pawn store employs six full-time team members, consisting of a store manager, an assistant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Managers and regional directors receive incentive compensation based on their performance in comparison to an operating budget. Our U.S. pawnbrokers are also eligible to receive incentive compensation based on the store’s performance and their individual productivity performance. The incentive compensation for our pawn employees typically ranges between 5% to 30% of their total compensation.</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Financial services stores typically employ two to three team members per location, consisting of a store manager and one or two customer service representatives. Each store manager is responsible for ensuring that the store is run in accordance with our policies, procedures and operating guidelines, and reports to an area manager, who is responsible for the stores within a specific operating area and reports to a regional director. Managers and regional directors receive incentive compensation based on their performance in comparison to an operating budget.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majority of our financial services stores, store employees attempt to collect defaulted consumer loans in the first 30 days after default. After the initial 30 days, our centralized collection center assumes collection responsibility for these loans. The centralized collection center also collects defaulted consumer loans for all other locations from the date of default. After attempting to collect for approximately 90 days, we generally sell the remaining defaulted consumer loans to a third party or refer them to an outside collection agency for a contingency fee.</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payroll withholding lending business in Mexico operates using a network of low-cost branch offices dedicated to making loans to employees of government agencies and other employers with whom Grupo Finmart has processing and withholding agreements in place. A centralized corporate office provides the lending approval function, processing of loans and repayments, collections, sales support and other administrative functions. Each branch location is headed by a sales manager and, depending upon size of the region, may have between eight and fifteen sales professionals reporting through the branch. Sales professionals are commission-based, with earnings tied to loans originated. All loan requests are approved or declined through the centralized credit process. Grupo Finmart also utilizes a network of brokers to augment the sales force.</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internally developed store level point of sale system that automates the recording of pawn, merchandise purchase and sale transactions. We also have a separate loan management computer system specifically designed to handle consumer loan transactions. We have redundant backup systems in the event of a system failure or natural disaster. Financial data from stores owned by our wholly owned subsidiaries is processed at the corporate office each day and the preceding day’s data are available for management review via our internal network. For stores and operations owned by majority-owned subsidiaries, weekly financial data is provided to the corporate office. Our communications network provides information access between the stores and the corporate office.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 protection and compliance departments monitor the perpetual inventory system, lending practices, regulatory compliance and compliance with our policies and procedures. We perform full physical audits of active inventory and pawn collateral at each store on an annual basis. Cycle counts are completed daily for jewelry and firearms, and targeted high risk inventory categories are cycle counted multiple times annually. We record shrink adjustments for known losses at the conclusion of the annual full physical audit, and as discovered during cycle counts. Asset protection monitors all shrink adjustments for exceptions.</w:t>
      </w:r>
    </w:p>
    <w:p>
      <w:pPr>
        <w:spacing w:after="0" w:line="13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September 30, 2014, we employed approximately 7,300 team members. We believe that our success is dependent upon our team members’ ability to provide prompt and courteous customer service and to execute our operating procedures and standards. We seek to hire people who will become long-term, career team members. To achieve our long-range personnel goals, we offer a structured career development program for all of our field team members. This program includes computer-based training, formal structured classroom training and supervised on-the-job training. All store team members, including managers, must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operate our U.S. pawn stores principally under the names “EZPAWN” or “Value Pawn” and the Mexico pawn stores under the name “EMPEÑO FÁCIL.” Our U.S. financial services stores operate under a variety of names, including “EZMONEY Payday Loans,” “EZ Loan Services,” “EZ Payday Advance” and “EZPAWN Payday Loans,” and our CSO stores operate under the name “EZMONEY Loan Services.” Our financial services and buy/sell stores in Canada operate under the names “CASHMAX” or “Cash Converters.” In Mexico, we offer payroll withholding loans under the names “Crediamigo” and “Adex." In Mexico our buy/sell stores operate under the names “TUYO” or “Cash Converters.” We have registered with the United States Patent and Trademark Office the names EZPAWN, EZMONEY and EZCORP, among others. We hold a trademark in Mexico for the name “EMPEÑO FÁCIL” and are the master franchisee in Canada for the “Cash Converters” brand.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plan to expand the number of locations we operate through opening de novo locations and through acquisitions. We believe that the largest growth opportunities are with de novo stores in Mexico and the U.S. and pawn store acquisitions in the U.S. We continually evaluate and test new products and formats, which may result in expansion opportunities or strategic investments.</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cost of opening de novo stores varies based on the size, type and location of stores opened. During fiscal 2014, we opened 9 de novo pawn locations in the U.S., each requiring an average property and equipment investment of approximately $370,000. We also opened 16 financial services stores in the U.S., each requiring an average property and equipment investment of approximately $90,000. In Mexico, we opened 6 de novo pawn stores, each requiring an average property and equipment investment of approximately $200,000.</w:t>
      </w:r>
    </w:p>
    <w:p>
      <w:pPr>
        <w:spacing w:after="0" w:line="13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Our ability to add new stores is dependent on several variables, such as the availability of acceptable sites or acquisition candidates, the regulatory environment, local zoning ordinances, access to capital and the availability of qualified personnel.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7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Within our Mexican consumer loan business, we anticipate Grupo Finmart will continue to sign new contracts with federal, state and local governments as well as further penetrate the existing contracts. As of September 30, 2014,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we anticipate this financing will continue to be non-recourse to EZCORP.</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continue to open new stores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 to secure local financing for our Mexican pawn growth.</w:t>
      </w:r>
    </w:p>
    <w:p>
      <w:pPr>
        <w:spacing w:after="0" w:line="1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also plan to open more buy/sell stores in Mexico over time. As of September 30, 2014, we operated 19 buy/sell stores within the Mexico market. We intend to finance this planned growth using cash flow generated from our Mexican operations, as well as local financing.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fiscal 2014, as part of our new strategy to concentrate on an integrated, customer-centric financial services model that is focused on our core businesses of pawn and unsecured lending we implemented a plan to exit our online lending businesses in the United States and the United Kingdom. As a result of this plan, our online lending operations in the United Kingdom (Cash Genie) and in the United States (EZOnline) have been included as discontinued operations.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additional information about our discontinued operations, see Note 2 to the Consolidated Financial Statements included in “Part II —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adversely affect our revenues, profitability and ability to expand. In our lending businesses, we compete with other pawn stores, payday lenders, credit service organizations, banks, credit unions and other financial institutions, such as consumer finance companies. Other lenders may lend money on an unsecured basis, at interest rates that may be lower than our service charges, and on other terms that may be more favorable than ours or through other market channels, such as online, which some customers may prefer. We believe that the primary elements of competition are the quality of customer service and relationship management, convenience, store location, a customer friendly environment and the ability to loan competitive amounts at competitive rates. In addition, we believe the ability to compete effectively will be based increasingly on strong general management, regional focus, automated management information systems, access to capital and superior customer service.</w:t>
      </w:r>
    </w:p>
    <w:p>
      <w:pPr>
        <w:spacing w:after="0" w:line="1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and convenience.</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pawn industry in the United States is large and highly fragmented. The industry consists of approximately 11,500 pawn stores owned primarily by independent operators who own one to three locations, and we consider the industry relatively mature. We are the second largest public operator of pawn stores in the United States, with 497 locations at September 30, 2014. The three largest pawn store operators account for approximately 13% of the total estimated pawn stores in the United States.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pawn industry in Mexico is also fragmented, but less so than in the United States. The industry consists of approximately 5,000 pawn stores owned by independent operators and chains, including some not-for-profit organizations. The pawn industry, particularly full-line stores offering general merchandise and jewelry loans and resale, remains in more of an expansion stage in Mexico than in the United States. The market for gold-only pawn stores is mature. We exited the gold-only pawn store format in Mexico during fiscal 2013.</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specialty financial services industry in the United States is mature and is larger and more concentrated than the pawn industry. The industry consists of a number of online lenders and approximately 20,000 locations that are either mono-line stores offering only short-term consumer loans or businesses offering short-term consumer loans in addition to other products and services, such as check cashing stores, auto title loan stores, pawn stores and stores offering reloadable debit cards.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specialty financial services industry in Canada consists of approximately 1,500 locations that are either single-line stores offering only short-term consumer loans or businesses offering short-term consumer loans in addition to other products and services, such as check cashing stores and stores offering reloadable debit cards or bank accounts. The Canadian short-term consumer loan industry is highly concentrated, with the three largest companies operating approximately 81% of the total number of locations.</w:t>
      </w:r>
    </w:p>
    <w:p>
      <w:pPr>
        <w:spacing w:after="0" w:line="13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unsecured payroll lending industry in Mexico is less developed than other Latin American countries. Payroll lending in Mexico is generally marketed to public sector employees, who on average earn more and rotate less frequently than their private sector peers. Additionally, government entities tend to be more stable and on average have more employees than private companies. It is estimated that less than 15% of the market potential is being serviced. Grupo Finmart is the fifth largest vertically integrated payroll lender in Mexico with 53 branch offices located in 24 of the 32 states in the country.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Cash Converters International </w:t>
      </w:r>
      <w:r>
        <w:rPr>
          <w:rFonts w:ascii="Arial" w:cs="Arial" w:eastAsia="Arial" w:hAnsi="Arial"/>
          <w:sz w:val="17"/>
          <w:szCs w:val="17"/>
          <w:color w:val="auto"/>
        </w:rPr>
        <w:t>— At September 30, 2014, we owned approximately 32% of the total ordinary shares of Cash Converters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(“CCV”), a company headquartered in Perth, Australia, publicly traded on the Australian Stock Exchange. We acquired the shares between November 2009 and November 2012 for approximately $68.8 million. Pursuant to a shareholders agreement, we hold two of the five seats on CCV’s board of directors. CCV franchises and operates a worldwide network of over 750 specialty financial services and retail stores that provide pawn loans, short-term unsecured loans and other consumer finance products, and buy and sell second-hand goods. CCV has significant store concentrations in Australia and the United Kingdom. In the short-term, we expect CCV will continue buying back franchised locations and converting them into company operated stores as well as increasing its portfolio of short-term consumer loans in Australia and the U.K.</w:t>
      </w:r>
    </w:p>
    <w:p>
      <w:pPr>
        <w:spacing w:after="0" w:line="12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Consumer Credit and Corporations Legislation Amendment (Enhancements) Bill 2011 was passed by the Australian Parliament in August 2012. This law, which went into effect on July 1, 2013, imposes certain limitations and restrictions on short-term consumer loans in Australia, including interest limitations and restrictions on extensions and refinancings. These limitations and restrictions, however, are more favorable to the industry than previous proposals, and the passage of these rules should stabilize the Australian regulatory environment related to short-term consumer loans for the foreseeable future.</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its fiscal year ended June 30, 2014, CCV’s gross revenues increased 22% to AUS $331.7 million (U.S. $304.4 million), net income attributable to owners of the company decreased 26% to AUS $24.2 million (U.S. $22.2 million) and diluted earnings per share decreased 30% to AUS $0.0556 (U.S. $0.0510). For the year, CCV declared dividends of AUS $0.04 (U.S. $0.0367) per share. We account for our investment in CCV under the equity method. In fiscal 2014, our interest in CCV’s income was $7.1 million and we received dividends of $5.1 million. Based on the closing price and exchange rates on September 30, 2014, the market value of our investment in CCV was approximately $129 million compared to its book value of $91.1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operations are subject to extensive regulation under various federal, state and local laws and regulations, and we believe that we conduct our business in material compliance with all of these rules. The following is a general description of significant regulations affecting our business. For a geographic breakdown of our operating locations, see “Part I — Item 2 — Properties.”</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general, the regulatory burden on our business, particularly our short-term consumer lending business, has increased significantly in the last few years at the national, state and local levels. For example, some aspects of our business have been specifically prohibited in certain jurisdictions; the economic terms of our products and services have been restricted in some jurisdictions; and new regulatory oversight bodies have been created or assumed jurisdiction, which in some cases have taken a more active and stringent regulatory approach to our industry. As a result, our compliance costs have increased; the risk of regulatory inquiries, audits and fines or other penalties have increased; and we have chosen to exit some of our business activities because the regulatory burden makes them unprofitable or insufficiently profitable. See “Part I — Item 1A —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Regulations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Federal Regulations” below.</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Most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Historically, we have not experienced a material number of claims of this nature.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Mexico regulates various aspects of the pawn industry at the federal, state and local level. Regulations issued by the federal consumer protection agency, Procuraduría Federal del Consumidor (PROFECO), govern the form of pawn loan contracts and consumer disclosures, but the regulations do not impose interest rate or service charge limitations on pawn loans. Pawn stores, like other businesses in Mexico, are also subject to a variety of regulations in such areas as tax compliance, customs, consumer protection and employment.</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Canada, and in Virginia and Pennsylvania in the U.S., we operate stores that buy and sell secondhand merchandise, as opposed to offering pawn loans. These stores are regulated by local municipalities or other local authorities. The applicable ordinances vary from location to location and include licensing for secondhand dealing or precious metal purchasing, law enforcement reporting requirements, and the imposition of holding periods before a purchased item can be offered for resale. Failure to observe these regulations could result in a revocation or suspension of licenses, the imposition of fines, and other civil or criminal penalties. Our Canadian buy/sell stores also offer short-term consumer loans.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Consumer Loan Regulations</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Each state in which we offer short-term consumer loan products has specific laws and regulations dealing with the conduct of this business. These laws and regulations vary in scope, but generally require licensing of locations, establish loan terms, provide for consumer protections and disclosures and permit periodic regulatory examinations. In the case of single-payment loans, most applicable laws and regulations limit the amount of fees that may be charged, establish maximum loan amounts and duration, and restrict the customer’s ability to renew or extend the loan. Some states require reporting of customers’ loan activities to a state-wide database, and prohibit the making of loans to customers who have loans outstanding with other lenders. Some municipalities in which we operate also impose various rules and regulations, primarily related to zoning and licensing requirements, but in some cases, related to loan terms (such as maximum loan amounts, maximum number of renewals or extensions and mandatory principal paydowns). Failure to observe applicable legal requirements could result in a loss of license, the imposition of fines or customer refunds, and other civil or criminal penalties.</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must also comply with various federal requirements (including the Truth in Lending Act and Regulation Z) regarding the disclosure of annual percentage rate, finance charge, amount financed, total of payments and payment schedule related to each loan transaction. With respect to our debt collection activities, we are required to comply with the provisions governing “creditors” under the federal Fair Debt Collection Practices Act and similar state laws regulating debt collection practices. Additional federal regulations applicable to our short-term consumer loan business are described in “Other Federal Regulations” below.</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Texas, we do not make loans to customers, but rather offer fee-based credit services, including assistance in arranging loans with independent third-party lenders. As required by state law, we are registered as a CSO and as a Credit Access Business (“CAB”) in order to provide such services. The applicable CSO law requires us to provide each customer with an upfront disclosure statement describing, among other things, the services to be provided and the fees to be charged and, upon entering into a transaction, with a written contract fully describing the services provided. The law prohibits us from receiving compensation solely for referring a customer to a lender and also provides for other disclosure requirements, cancellation rights for customers and prohibitions on fraudulent or deceptive conduct. The law governing CABs requires us to provide conspicuous notices regarding fees and certain other disclosures and requires us to report certain information regarding customer transactions to the Texas Office of the Consumer Credit Commissioner. Violations of these laws could subject us to criminal and civil liability. The independent lenders are not required to be licensed and are not regulated by any state agency so long as the interest rate charged on the loan does not exceed 10% per annum. The lenders are also permitted to charge late fees and insufficient funds fees. The lenders are subject to the federal regulations described below with regard to their lending activities. Many cities in Texas, including Austin, Dallas, Houston, San Antonio and El Paso, have enacted municipal regulation of CAB products and the payday loans and auto title loans to which they provide access.</w:t>
      </w:r>
    </w:p>
    <w:p>
      <w:pPr>
        <w:spacing w:after="0" w:line="12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Legislators and regulators frequently scrutinize the legislative and regulatory environment for short-term lending, often proposing additional legislative and regulatory restrictions ranging from additional disclosure requirements to limits on rates and fees. In some cases, rate and fee limits would effectively prohibit certain short-term lending products, such as payday loans, because it would no longer be economically feasible for most lenders to offer such products.</w:t>
      </w:r>
    </w:p>
    <w:p>
      <w:pPr>
        <w:spacing w:after="0" w:line="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Dodd-Frank Wall Street Reform and Consumer Protection Act of 2010 (“Dodd-Frank”) established the Consumer Financial Protection Bureau (the “CFPB”), which has the power to, among other things regulate companies that offer or supply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payday loans and other products and services we offer. The CFPB now exercises its supervisory and regulatory authority over non-depository companies providing consumer financial products and services.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its supervisory and examination powers, the CFPB has authority to inspect short-term lenders’ books and records and lending practices, including marketing, underwriting, loan application and processing and collections. The CFPB has published its Short-Term, Small-Dollar Lending Examination Procedures, outlining the guidelines and CFPB examiners will use in examining short-term lenders. The CFPB has begun to conduct examinations of payday loan companies to assess companies’ compliance with federal consumer financial services laws, obtain information on the activities and procedures of short-term lenders and detect risks to consumers. Should the CFPB determine that a financial service provider is in violation of federal law, it has broad authority to initiate administrative actions or litigation, in which it may seek cease and desist orders for the provider’s activities and rescission of loan contracts and may impose civil administrative fines and penalties ranging from $5,000 per day for violations of federal consumer financial laws (including the CFPB’s own rules) to $25,000 per day for reckless violations and $1 million per day for knowing violations.</w:t>
      </w:r>
    </w:p>
    <w:p>
      <w:pPr>
        <w:spacing w:after="0" w:line="11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CFPB also has rule-making authority over short-term lenders. While it does not have authority to regulate fees, it could adopt rules that could impair the viability or financial performance of products and services. In April 2013, the CFPB issued a report, entitled "Payday Loans and Deposit Advance Products</w:t>
      </w:r>
    </w:p>
    <w:p>
      <w:pPr>
        <w:ind w:right="40"/>
        <w:spacing w:after="0" w:line="253" w:lineRule="auto"/>
        <w:rPr>
          <w:sz w:val="20"/>
          <w:szCs w:val="20"/>
          <w:color w:val="auto"/>
        </w:rPr>
      </w:pPr>
      <w:r>
        <w:rPr>
          <w:rFonts w:ascii="Arial" w:cs="Arial" w:eastAsia="Arial" w:hAnsi="Arial"/>
          <w:sz w:val="18"/>
          <w:szCs w:val="18"/>
          <w:color w:val="auto"/>
        </w:rPr>
        <w:t>— A White Paper of Initial Data Findings," following an in-depth review of short-term small dollar loans, including payday loans, and concluded in part with respect to payday loans: “The CFPB recognizes its responsibility to implement Federal consumer financial laws to ensure that ‘markets for consumer financial products and services are fair, transparent and competitive.’ The potential consumer harm and the data gathered to date are persuasive that further attention is warranted to protect consumers. Based upon the facts uncovered through our ongoing work in this area, the CFPB expects to use its authorities to provide such protections.”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this time it is not possible to accurately predict what rules the CFPB will propose.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can be no assurance that legislative or regulatory efforts to eliminate or restrict the availability of certain short-term loan products, including payday loans and auto title loans, will not be successful, despite significant customer demand. To the extent such efforts are successful, our short-term consumer loan business could be adversely affected. See “Part I — Item 1A —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Regulations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of our lending activities, both pawn loans and short-term consumer loans, are subject to other state and federal statutes and regulations, including the following:</w:t>
      </w:r>
    </w:p>
    <w:p>
      <w:pPr>
        <w:spacing w:after="0" w:line="116" w:lineRule="exact"/>
        <w:rPr>
          <w:sz w:val="20"/>
          <w:szCs w:val="20"/>
          <w:color w:val="auto"/>
        </w:rPr>
      </w:pPr>
    </w:p>
    <w:p>
      <w:pPr>
        <w:ind w:left="340" w:right="20" w:hanging="332"/>
        <w:spacing w:after="0" w:line="289"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employee training) that address and aid in detecting and responding to suspicious activity or identify theft “red flags.”</w:t>
      </w:r>
    </w:p>
    <w:p>
      <w:pPr>
        <w:spacing w:after="0" w:line="112" w:lineRule="exact"/>
        <w:rPr>
          <w:rFonts w:ascii="Arial" w:cs="Arial" w:eastAsia="Arial" w:hAnsi="Arial"/>
          <w:sz w:val="16"/>
          <w:szCs w:val="16"/>
          <w:color w:val="auto"/>
        </w:rPr>
      </w:pPr>
    </w:p>
    <w:p>
      <w:pPr>
        <w:ind w:left="340" w:hanging="332"/>
        <w:spacing w:after="0" w:line="284"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Equal Credit Opportunity Act prohibits discrimination against any credit applicant on the basis of any protected category such as race, color, religion, national origin, sex, marital status or age (provided the applicant has the capacity to enter into a binding contract), because all or part of the applicant's income derives from any public assistance program, or because the applicant has in good faith exercised any right under the Consumer Protection Act. Under the Equal Credit Opportunity Act and the Fair Credit Reporting Act, if we deny an application for credit, we are required to provide the applicant with a Notice of Adverse Action, informing the applicant of (a) the action taken regarding the credit application, (b) a statement of the prohibition on discrimination, (c) the name and address of both the creditor and the federal agency that monitors compliance, (d) the applicant’s right to learn the specific reasons for the denial, (e) whether the credit decision was based on in whole or in part on information obtained from the credit report,</w:t>
      </w:r>
    </w:p>
    <w:p>
      <w:pPr>
        <w:spacing w:after="0" w:line="2" w:lineRule="exact"/>
        <w:rPr>
          <w:rFonts w:ascii="Arial" w:cs="Arial" w:eastAsia="Arial" w:hAnsi="Arial"/>
          <w:sz w:val="16"/>
          <w:szCs w:val="16"/>
          <w:color w:val="auto"/>
        </w:rPr>
      </w:pPr>
    </w:p>
    <w:p>
      <w:pPr>
        <w:ind w:left="340" w:right="260"/>
        <w:spacing w:after="0" w:line="255" w:lineRule="auto"/>
        <w:rPr>
          <w:rFonts w:ascii="Arial" w:cs="Arial" w:eastAsia="Arial" w:hAnsi="Arial"/>
          <w:sz w:val="16"/>
          <w:szCs w:val="16"/>
          <w:color w:val="auto"/>
        </w:rPr>
      </w:pPr>
      <w:r>
        <w:rPr>
          <w:rFonts w:ascii="Arial" w:cs="Arial" w:eastAsia="Arial" w:hAnsi="Arial"/>
          <w:sz w:val="18"/>
          <w:szCs w:val="18"/>
          <w:color w:val="auto"/>
        </w:rPr>
        <w:t>(f) a consumer's right to a free copy of the credit report from the reporting agency, (g) the consumer's right to dispute inaccurate information with the reporting agency and (h) whether our credit decision was based in whole or in part on information obtained from an affiliate or from an outside source other than a customer reporting agency and the right to know the nature of such information.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2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p>
      <w:pPr>
        <w:spacing w:after="0" w:line="127" w:lineRule="exact"/>
        <w:rPr>
          <w:rFonts w:ascii="Arial" w:cs="Arial" w:eastAsia="Arial" w:hAnsi="Arial"/>
          <w:sz w:val="18"/>
          <w:szCs w:val="18"/>
          <w:color w:val="auto"/>
        </w:rPr>
      </w:pPr>
    </w:p>
    <w:p>
      <w:pPr>
        <w:ind w:left="340" w:right="18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also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 Certain of our subsidiaries are registered with FinCen as money services businesses by virtue of the check cashing or money transmission services they provide.</w:t>
      </w:r>
    </w:p>
    <w:p>
      <w:pPr>
        <w:spacing w:after="0" w:line="135"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law limits the annual percentage rate that may be charged on loans made to active duty military personnel and their immediate families at 36%. This 36% annual percentage rate cap applies to a variety of loan products, including consumer loans, though it currently does not apply to pawn loans. We do not make consumer loans to active duty military personnel or their immediate families because it is not economically feasible for us to do so at these rates.</w:t>
      </w:r>
    </w:p>
    <w:p>
      <w:pPr>
        <w:spacing w:after="0" w:line="146" w:lineRule="exact"/>
        <w:rPr>
          <w:rFonts w:ascii="Arial" w:cs="Arial" w:eastAsia="Arial" w:hAnsi="Arial"/>
          <w:sz w:val="18"/>
          <w:szCs w:val="18"/>
          <w:color w:val="auto"/>
        </w:rPr>
      </w:pPr>
    </w:p>
    <w:p>
      <w:pPr>
        <w:ind w:left="340" w:right="260" w:hanging="332"/>
        <w:spacing w:after="0" w:line="24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the Electronic Funds Transfer Act and its underlying regulations, which govern our ability to credit our customers' bank accounts electronically with loan proceeds and to accept electronic payments from our customers by debiting our customers' bank accounts through various electronic card payment networks, such as VISA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MasterCard</w:t>
      </w:r>
      <w:r>
        <w:rPr>
          <w:rFonts w:ascii="Arial" w:cs="Arial" w:eastAsia="Arial" w:hAnsi="Arial"/>
          <w:sz w:val="25"/>
          <w:szCs w:val="25"/>
          <w:color w:val="auto"/>
          <w:vertAlign w:val="superscript"/>
        </w:rPr>
        <w:t>®</w:t>
      </w:r>
      <w:r>
        <w:rPr>
          <w:rFonts w:ascii="Arial" w:cs="Arial" w:eastAsia="Arial" w:hAnsi="Arial"/>
          <w:sz w:val="19"/>
          <w:szCs w:val="19"/>
          <w:color w:val="auto"/>
        </w:rPr>
        <w:t>,</w:t>
      </w:r>
      <w:r>
        <w:rPr>
          <w:rFonts w:ascii="Arial" w:cs="Arial" w:eastAsia="Arial" w:hAnsi="Arial"/>
          <w:sz w:val="18"/>
          <w:szCs w:val="18"/>
          <w:color w:val="auto"/>
        </w:rPr>
        <w:t xml:space="preserve"> and other clearing house associations, such as NACHA, the Electronic Payments Association.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affecting our financial services and products could have a material adverse effect on our operations and financial performance.</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 short-term financial services and products we offer, particularly payday loans and auto title loans.</w:t>
      </w:r>
    </w:p>
    <w:p>
      <w:pPr>
        <w:spacing w:after="0" w:line="1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Adverse legislation could be enacted in any country,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stores, resulting in decreased revenues, earnings and assets.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example, in recent years, many cities in Texas (including Austin, Dallas, Houston, San Antonio and El Paso) have adopted municipal ordinances imposing restrictions on certain financial services products we can offer as a credit services organization or credit access business in those cities. Specifically, the ordinances require municipal registrations, limit the amount borrowers can borrow and require principal paydowns on refinancing or with each installment payment. These limitations and restrictions make the products less attractive to our customers, thus lessening demand, and severely impair the financial viability of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financial services business in those cities. In fiscal 2013 we closed 20 financial services stores in Dallas and the State of Florida primarily due to the onerous regulatory requirements.</w:t>
      </w:r>
    </w:p>
    <w:p>
      <w:pPr>
        <w:spacing w:after="0" w:line="11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next biennial session of the Texas legislature begins in January 2015 and is scheduled to adjourn in May 2015. In connection with the upcoming legislative session, several bills affecting the short-term consumer loan business in Texas have already been filed. These bills contain provisions that would, among other things, impose rate caps (36% annual percentage rate), mandate reporting to a state-wide database and enact the requirements of the municipal ordinances discussed above on a state-wide basis subject to the regulatory enforcement and supervision authority of the Office of the Consumer Credit Commissioner. It is not possible to say with any certainty what will happen with any of these bills or any other bill that may be introduced.</w:t>
      </w:r>
    </w:p>
    <w:p>
      <w:pPr>
        <w:spacing w:after="0" w:line="10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any financial services business that we undertake directly in international jurisdictions, as well as the financial services businesses conducted by our strategic affiliate,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Financial Conduct Authority (“FCA”), which on April 1, 2014, assumed primary regulatory authority over short-term consumer lending in the U.K., has issued guidance and rules that focus on the affordability of the credit extended (i.e., the customer’s ability to repay), the use of continuous payment authority to collect repayments and sustained use of short-term credit products. These rules became effective July 1, 2014. In addition, the FCA issued proposed rules in July 2014 that would significantly limit the amount of interest and fees that could be charged on “high cost short-term credit” products, including the loans we have been offering online through our Cash Genie operations. These new limitations are expected to become effective January 1, 2015. The FCA’s guidance, new rules and proposed rules contributed to our decision to exit the online lending market in the U.K. and discontinue our Cash Genie operations. See “Part I — Item 1 — Business — Growth and Expansion — Discontinued Operations.”</w:t>
      </w:r>
    </w:p>
    <w:p>
      <w:pPr>
        <w:spacing w:after="0" w:line="11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Consumer Financial Protection Bureau has begun exercising its supervisory role over short-term, small-dollar lenders, which could result in a material adverse effect on our operations and financial performance.</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discussed under “Part 1 — Item 1 — Business — Regulation — Short-Term Consumer Loan Regulations,” the CFPB now exercises its supervisory and regulatory authority over non-depository companies providing consumer financial services products and services, including payday loans and other products and services we offer. The CFPB has cited several short-term lenders with violations of Dodd-Frank’s prohibition on “unfair, deceptive or abusive acts or practices” (“UDAAP”). It is not possible to accurately predict what affect the CFPB will have on our business. The CFPB, through its supervisory or enforcement role or through its rule-making authority, could take actions that would have a material adverse effect on our operations and financial performance. For a description of a current regulatory investigation being conducted by the CFPB, see the following risk factor.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currently subject to various litigation and regulatory actions. In addition to the matters described in “Part I — Item 3 — Legal Proceedings,” we are from time to time subject to other legal and regulatory actions, including the following:</w:t>
      </w:r>
    </w:p>
    <w:p>
      <w:pPr>
        <w:spacing w:after="0" w:line="116" w:lineRule="exact"/>
        <w:rPr>
          <w:sz w:val="20"/>
          <w:szCs w:val="20"/>
          <w:color w:val="auto"/>
        </w:rPr>
      </w:pPr>
    </w:p>
    <w:p>
      <w:pPr>
        <w:ind w:left="660" w:hanging="328"/>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CFPB </w:t>
      </w:r>
      <w:r>
        <w:rPr>
          <w:rFonts w:ascii="Arial" w:cs="Arial" w:eastAsia="Arial" w:hAnsi="Arial"/>
          <w:sz w:val="16"/>
          <w:szCs w:val="16"/>
          <w:color w:val="auto"/>
        </w:rPr>
        <w:t>— In February 2014, we received a Civil Investigative Demand (“CID”) from the CFPB. The CID requested us to produce documents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answers to written questions. We submitted all information requested by this CID. In October 2014, we received a follow-up CID requesting additional information regarding certain of the matters addressed in the initial CID, and in November 2014, the CFPB requested oral testimony from Company representatives. We are the process of submitting the information requested by the follow-up CID and continue to cooperate fully with the CFPB in its investigation. To date, no claims have been asserted by the CFPB as a result of our responses, although there can be no assurance that the CFPB will not assert claims, including that one or more of our historical practices constitute UDAAP violations. Any such claim could require us to pay fines, penalties and/or customer restitution, or could result in changes to our business practices to address the claims asserted.</w:t>
      </w:r>
    </w:p>
    <w:p>
      <w:pPr>
        <w:spacing w:after="0" w:line="113"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FCA </w:t>
      </w:r>
      <w:r>
        <w:rPr>
          <w:rFonts w:ascii="Arial" w:cs="Arial" w:eastAsia="Arial" w:hAnsi="Arial"/>
          <w:sz w:val="18"/>
          <w:szCs w:val="18"/>
          <w:color w:val="auto"/>
        </w:rPr>
        <w:t>— In the course of evaluating and preparing our Cash Genie business for compliance with the new FCA guidelines and rules, we noted three</w:t>
      </w:r>
      <w:r>
        <w:rPr>
          <w:rFonts w:ascii="Arial" w:cs="Arial" w:eastAsia="Arial" w:hAnsi="Arial"/>
          <w:sz w:val="18"/>
          <w:szCs w:val="18"/>
          <w:i w:val="1"/>
          <w:iCs w:val="1"/>
          <w:color w:val="auto"/>
        </w:rPr>
        <w:t xml:space="preserve"> </w:t>
      </w:r>
      <w:r>
        <w:rPr>
          <w:rFonts w:ascii="Arial" w:cs="Arial" w:eastAsia="Arial" w:hAnsi="Arial"/>
          <w:sz w:val="18"/>
          <w:szCs w:val="18"/>
          <w:color w:val="auto"/>
        </w:rPr>
        <w:t>issues primarily related to our legacy business and self-reported those to the FCA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80"/>
        <w:spacing w:after="0" w:line="349" w:lineRule="auto"/>
        <w:rPr>
          <w:sz w:val="20"/>
          <w:szCs w:val="20"/>
          <w:color w:val="auto"/>
        </w:rPr>
      </w:pPr>
      <w:r>
        <w:rPr>
          <w:rFonts w:ascii="Arial" w:cs="Arial" w:eastAsia="Arial" w:hAnsi="Arial"/>
          <w:sz w:val="16"/>
          <w:szCs w:val="16"/>
          <w:color w:val="auto"/>
        </w:rPr>
        <w:t>in June 2014 and have been in regular dialog with the FCA regarding those issues since. In July,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was selected as the skilled person to oversee the process (referred to as a “section 166 process”) and that process is currently underway. At this point, it cannot be determined whether resolution of this matter will have a material adverse effect on our results of operations.</w:t>
      </w:r>
    </w:p>
    <w:p>
      <w:pPr>
        <w:spacing w:after="0" w:line="8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cannot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procured management liability insurance policies that should protect us from much of the potential exposure related to the shareholder derivative litigation and the federal securities litigation described under “Part I — Item 3 — Legal Proceedings.” However, under the terms of those policies, we bear the first $1 million of costs or liability associated with those actions. Consequently, we expect that our results of operations will be adversely affected by the current litigation until we exhaust the $1 million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 traded non-voting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who control our policies and operations. All of our publicly 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 traded Class A Non-Voting Common Stock.</w:t>
      </w:r>
    </w:p>
    <w:p>
      <w:pPr>
        <w:spacing w:after="0" w:line="13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 July 2014, the sole voting stockholder made changes to the Company’s Bylaws that generally restructure certain aspects of the Company’s corporate governance. See “Part III — Item 10 — Directors, Executive Officers and Corporate Governance — Corporate Governance — Board of Directors and Governance Changes.”</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the past several years, we have entered into advisory services agreements with Madison Park, LLC, a financial advisory firm wholly owned by Mr. Cohen. The agreement for fiscal 2014 called for the payment of a retainer fee of $600,000 per month plus the reimbursement of out-of-pocket expenses incurred in connection with the engagement. On May 20, 2014, we provided Madison Park with a 30-day notice of termination pursuant to the terms of the agreement, and the agreement terminated effective June 19, 2014. See “Part III — Item 13 — Certain Relationships and Related Transactions, and Director Independence — Related Party Transactions — Agreement with Madison Park.”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September 30, 2014, over half of our financial services stores and almost half of our domestic pawn stores were located in Texas, and those stores account for a significant portion of our revenues and profitability. With the exception of activity at the municipal level that has negatively impacted (or may negatively impact) our financial services business,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w:t>
      </w:r>
    </w:p>
    <w:p>
      <w:pPr>
        <w:spacing w:after="0" w:line="11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negative legislative or regulatory change in Texas could have a material adverse effect on our overall operations and financial performance. We offer short-term consumer loans in Texas through our credit services organization program. If new adverse legislation is enacted in Texas, it could require us to alter or discontinue some or all of our consumer loan business in Texas. As noted above, bills that could potentially have an adverse impact on our consumer loan business in Texas have already been filed in connection with the upcoming Texas legislative session (which starts in January 2015). There can be no assurance that adverse legislation will not be considered, or possibly enacted, during the upcoming legislative session.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or sudden decrease in gold values or the volume of gold transactions may have a material impact on our earnings and financial position.</w:t>
      </w:r>
    </w:p>
    <w:p>
      <w:pPr>
        <w:spacing w:after="0" w:line="20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Gold jewelry comprises a significant portion of the collateral security for our pawn loans and our inventory, and gold scrapping accounts for a significant portion of our revenues and gross profit.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significantly impact our business. During fiscal 2014, 2013 and 2012, we experienced a significant softening of gold prices and volumes, which had a significant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change in foreign currency exchange rates could have a material adverse impact on our earnings and financial position.</w:t>
      </w:r>
    </w:p>
    <w:p>
      <w:pPr>
        <w:spacing w:after="0" w:line="18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have foreign operations in Mexico and Canada and equity investments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material adverse impact on our financial position, results of operations and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periods of economic recession and unemployment could adversely affect our lending and retail businesses.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businesses, like other businesses, are subject to fluctuations based on varying economic conditions. Economic conditions and general consumer confidence affect the demand for our retail products and the ability and willingness of our customers to utilize our loan products and services. Our consumer loan products and services require the customer to have a verifiable recurring source of income. Consequently, we may experience reduced demand for our consumer loan products during prolonged periods of high unemployment. Weakened economic conditions may also result in an increase in loan defaults and loan losses. Even in the current economic environment, we have been able to efficiently manage our bad debt through our underwriting and collection efforts. There can be no assurance that we will be able to sustain our current bad debt rates or that we will not experience increasing difficulty in collecting defaulted loans.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portion of our short-term consumer loan revenues and profitability is dependent upon the ability and willingness of unaffiliated lenders to make loans to our customers.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Texas, where over half of our financial services stores are located, we do not make consumer loans to customers, but assist customers in arranging loans with unaffiliated lenders. Our credit services organization or credit access business could be adversely affected if (a) we were to lose our current relationships with unaffiliated lenders and were unable to establish a relationship with another unaffiliated lender who was willing and able to make short-term loans to our Texas customers or (b) the unaffiliated lenders are unable to obtain capital or other sources of funding at appropriate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expansion strategy includes opening de novo store locations and acquiring existing stores.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In addition, our acquisition strategy is dependent upon the availability of attractive acquisition candidates. The achievement of our growth objectives is also subject to our ability to attract, train and retain qualified team members. Failure to achieve our expansion goals would adversely affect our prospects and future results of operations.</w:t>
      </w:r>
    </w:p>
    <w:p>
      <w:pPr>
        <w:spacing w:after="0" w:line="1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in those countries, which could adversely affect our growth plans.</w:t>
      </w:r>
    </w:p>
    <w:p>
      <w:pPr>
        <w:spacing w:after="0" w:line="11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growth plans include significant expansion in Mexico.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Fluctuations in our sales, pawn loan balances, sales margins, pawn redemption rates and loan default and collection rates could have a material adverse impact on our operating results.</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liquidity and capital requirements or in banks’ abilities or willingness to lend to us could limit our ability to achieve our plans.</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require continued access to capital. 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Our ability to obtain additional credit or alternative financing, if needed, will depend upon market conditions, our financial condition and banks’ or other lenders’ willingness to lend capital at acceptable rates. The inability to access capital at acceptable rates and terms could impair our ability to achieve our growth objectives, which could adversely affect our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encounter significant competition from other pawn stores, cash advance companies, credit service organizations, credit access businesses, online lenders, consumer finance companies and other forms of financial institutions and other retailers, many of which have significantly greater financial resources than we do. Significant increases in the number or size of competitors or other changes in competitive influences could adversely affect our operations through a decrease in the number or quality of loan products and services we are able to provide or our ability to liquidate forfeited collateral at acceptable margins.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currently have a significant investment in Cash Converters International Limited, which is a publicly 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Any realized investment loss would adversely affect our results of operations. We previously had an investment in Albemarle &amp; Bond. Based on our review of Albemarle &amp; Bond and its business as of September 30, 2013, we wrote down a significant portion of our investment, and recognized an investment loss, in the fourth quarter of fiscal 2013. Due to a continued deterioration in Albemarle &amp; Bond’s business and prospects, we wrote down the remainder of our investment, and recognized an additional investment loss, in the second quarter of fiscal 2014.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decrease in demand for our products and specialty financial services and our failure to adapt to such decrease could result in a loss of revenue and could have a material adverse effect on us.</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our products and services are a staple of our customer base, the demand for a particular product or service may decrease due to a variety of factors, such as regulatory restrictions that reduce customer access to particular products, the availability of competing products or changes in customers' financial conditions. Should we fail to adapt to a significant change in our customers' demand for, or access to, our products, our revenues could decrease significantly. Even if we make adaptations or introduce new products to fulfill customer demand, customers may resist or may reject products whose adaptations make them less attractive or less available. In any event, the effect of any product change on the results of our business may not be fully ascertainable until the change has been in effect for some time. In particular, we have changed, and will continue to change, some of our consumer loan operations and the products we offer. Any of these events could result in a loss of revenue and could have a material adverse effect on our business, prospectus, results of operations and financial condition.</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Mexican payroll withholding business is highly dependent on the relationships that we build and sustain with state and local governments and labor unions.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Grupo Finmart and its brokers promote our payroll loan products through public-sector employers in governmental agencies across Mexico. If we are not able to maintain relationships with these entities or increase our distribution network through new relationships with other federal, state and local governments or labor unions, our ability to originate new payroll loans could be diminished, which would reduce the size of our payroll withholding lending loan portfolio. In addition, despite contractual arrangements which provide that the payroll counterparty will continue to deduct payments even if our relationship with that entity is terminated, the credit risk of our existing payroll loan portfolio could increase because payroll deduction payments on existing payroll loans could be disrupted, whether due to our severing a relationship with a broker or otherwise.</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The carrying value of our goodwill was $347 million, or approximately 25% of our total assets, as of September 30, 2014. In accordance with Financial Accounting Standards Board ("FASB") Accounting Standards Codification ("ASC")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2014 (following the impairment or write-down of goodwill associated with discontinued operations in our two online lending business units) and determined that no material impairment existed at that date, other than an amount for internally developed software.</w:t>
      </w:r>
    </w:p>
    <w:p>
      <w:pPr>
        <w:spacing w:after="0" w:line="12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estimates of allowance for loan losses are not adequate to absorb losses, our results of operations and financial condition may be negatively affected.</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maintain an allowance for loan losses for estimated probable losses on company-funded loans and loans in default. See "Part II — Item 7 — Management's Discussion and Analysis of Financial Conditions and Results of Operations — Critical Accounting Policies and Estimates" for factors considered by management in estimating the allowance for loan losses. We also maintain a reserve for loan losses for estimated probable losses on loans funded by our CSO partners, but for which we are responsible. At September 30, 2014, our aggregate reserve and allowance for losses on loans not in default (including loans funded by our CSO partners) was $27.6 million. The amount of reserves and allowances is based on our current assessment of and expectations concerning various factors affecting the quality of our loan portfolio. These factors include, among other things, our borrowers’ financial condition, repayment abilities and repayment intentions. This reserve, however, is an estimate, and if actual losses are greater than our reserve and allowance, our results of operations and financial condition could be adversely affected.</w:t>
      </w:r>
    </w:p>
    <w:p>
      <w:pPr>
        <w:spacing w:after="0" w:line="1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Judicial decisions, CFPB rule-making or amendments to the Federal Arbitration Act could render the arbitration agreements we use illegal or unenforceable.</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include arbitration provisions in our consumer loan agreements. These provisions are designed to allow us to resolve any customer disputes through individual arbitration rather than in court and explicitly provide that all arbitrations will be conducted on an individual and not on a class basis. Thus, our arbitration agreements, if enforced, have the effect of shielding us from class action liability. Our arbitration agreements do not generally have any impact on regulatory enforcement proceedings.</w:t>
      </w:r>
    </w:p>
    <w:p>
      <w:pPr>
        <w:spacing w:after="0" w:line="13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take the position that the arbitration provisions in our consumer loan agreements, including class action waivers, are valid and enforceable. However, the enforceability of arbitration provisions is often challenged in court. If those challenges are successful, our arbitration and class action waiver provisions could be unenforceable, which could subject us to additional litigation, including class action litigation.</w:t>
      </w:r>
    </w:p>
    <w:p>
      <w:pPr>
        <w:spacing w:after="0" w:line="12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 addition, the U.S. Congress has considered legislation that would generally limit or prohibit mandatory arbitration agreements in consumer contracts and has enacted legislation with such a prohibition with respect to certain mortgage loan agreements and certain consumer loan agreements to members of the military on active duty and their dependents. Further, the Dodd-Frank Act directs the CFPB to study consumer arbitration and report to the U.S. Congress, and it authorized the CFPB to adopt rules limiting or prohibiting consumer arbitration, consistent with the results of its study. Any such rule would apply to arbitration agreements entered into more than six months after the final rule becomes effective (and not to prior arbitration agreements).</w:t>
      </w:r>
    </w:p>
    <w:p>
      <w:pPr>
        <w:spacing w:after="0" w:line="10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Any judicial decision, legislation or other rules or regulations that impair our ability to enter into and enforce consumer arbitration agreements and class action waivers could significantly increase our exposure to class action litigation as well as litigation in plaintiff-friendly jurisdictions. Such litigation would be costly and could have a material adverse effect on our business, results of operations and financial condition.</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face other risks discussed under "Part II — Item 7A —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Our typical pawn store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w:t>
      </w:r>
    </w:p>
    <w:p>
      <w:pPr>
        <w:ind w:right="100"/>
        <w:spacing w:after="0" w:line="273" w:lineRule="auto"/>
        <w:rPr>
          <w:sz w:val="20"/>
          <w:szCs w:val="20"/>
          <w:color w:val="auto"/>
        </w:rPr>
      </w:pPr>
      <w:r>
        <w:rPr>
          <w:rFonts w:ascii="Arial" w:cs="Arial" w:eastAsia="Arial" w:hAnsi="Arial"/>
          <w:sz w:val="17"/>
          <w:szCs w:val="17"/>
          <w:color w:val="auto"/>
        </w:rPr>
        <w:t>Financial services stores are designed to resemble a bank interior. The typical financial services store is approximately 1,000 to 1,500 square feet and is located in a retail strip center. Some of our financial services stores adjoin a pawn location and occupy approximately 300 to 500 square feet, with a different entrance, signage, décor and staffing. From the customers’ perspective, these are viewed as a separate business, but they are covered by the same lease agreement. We maintain property and general liability insurance for each of our stores. Our stores are open six or seven days a week.</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lease substantially all of our locations, and generally lease facilities for a term of three to ten years with one or more renewal options. Our existing leases expire on dates ranging between October 2014 and September 2022,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changes in the number of store locations during fiscal 2014, 2013 and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1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6"/>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 count at beginning of fiscal year</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 novo stores opened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stores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Stores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Pr>
          <w:p>
            <w:pPr>
              <w:ind w:left="40"/>
              <w:spacing w:after="0"/>
              <w:rPr>
                <w:sz w:val="20"/>
                <w:szCs w:val="20"/>
                <w:color w:val="auto"/>
              </w:rPr>
            </w:pPr>
            <w:r>
              <w:rPr>
                <w:rFonts w:ascii="Arial" w:cs="Arial" w:eastAsia="Arial" w:hAnsi="Arial"/>
                <w:sz w:val="18"/>
                <w:szCs w:val="18"/>
                <w:color w:val="auto"/>
              </w:rPr>
              <w:t>Store count at end of fiscal year*</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8890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Fiscal 2012 includes 102 stores that were closed as part of discontinued operations during 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-98425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2014, we opened nine pawn and 16 financial services stores in the U.S. In Mexico, we opened three Empeño Fácil pawn stores and three Grupo Finmart / Crediamigo financial services locations in Mexico.</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an ongoing basis, we may close or consolidate under-performing store locations. In fiscal 2014, we closed or consolidated eight pawn and four financial services stores in the U.S. In Mexico, we closed or consolidated four Grupo Finmart / Crediamigo financial services locations in Mexico. These closings are in addition to our third quarter fiscal 2013 discontinued operations plan.</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 We will continue to execute our growth plan by opening stores that are in-line with our growth strategy, broadening our online selling, and adding numerous new products across the portfolio of companies in order to better serve our customers in the formats they desire and with the products and services they want.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store closings related to discontinued operations included:</w:t>
      </w:r>
    </w:p>
    <w:p>
      <w:pPr>
        <w:spacing w:after="0" w:line="171" w:lineRule="exact"/>
        <w:rPr>
          <w:sz w:val="20"/>
          <w:szCs w:val="20"/>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57 stores in Mexico, 52 of which were small, jewelry-only asset group formats. We continue to operate 239 full-service ‘‘store-within-a-store,’’ or SWS, locations under the Empeño Fácil brand.</w:t>
      </w:r>
    </w:p>
    <w:p>
      <w:pPr>
        <w:spacing w:after="0" w:line="116" w:lineRule="exact"/>
        <w:rPr>
          <w:rFonts w:ascii="Arial" w:cs="Arial" w:eastAsia="Arial" w:hAnsi="Arial"/>
          <w:sz w:val="18"/>
          <w:szCs w:val="18"/>
          <w:color w:val="auto"/>
        </w:rPr>
      </w:pPr>
    </w:p>
    <w:p>
      <w:pPr>
        <w:ind w:left="660" w:right="28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29 stores in Canada, where we were transitioning to an integrated buy/sell and financial services model under the Cash Converters brand. The affected asset group consists of stores that were not optimal for that model because of location or size. We will continue to operate 46 full-service buy/sell and financial services center stores under the Cash Converters and CASHMAX brands in Canada and the United States.</w:t>
      </w:r>
    </w:p>
    <w:p>
      <w:pPr>
        <w:spacing w:after="0" w:line="92" w:lineRule="exact"/>
        <w:rPr>
          <w:rFonts w:ascii="Arial" w:cs="Arial" w:eastAsia="Arial" w:hAnsi="Arial"/>
          <w:sz w:val="16"/>
          <w:szCs w:val="16"/>
          <w:color w:val="auto"/>
        </w:rPr>
      </w:pPr>
    </w:p>
    <w:p>
      <w:pPr>
        <w:ind w:left="660" w:right="9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 financial services stores in Dallas, Texas and the State of Florida, where we exited both locations primarily due to onerous regulatory requirements. We will continue to operate 489 financial services stores in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jewelry-only concept store, which was our only jewelry-only store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our 501 U.S. financial services stores, 214 adjoin a pawn store and are covered by the same lease agreement. The lease agreements at approximately 95% of the remaining 287 free-standing U.S. financial services stores contain provisions that limit our exposure for additional rent at these stores to only a few months if laws are enacted that have a significant negative effect on our operations at these stores. If such laws were passed, the space currently utilized by stores adjoining pawn stores could be re-incorporated into the pawn operations.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25" w:right="359" w:bottom="1440" w:gutter="0" w:footer="0" w:header="0"/>
        </w:sectPr>
      </w:pPr>
    </w:p>
    <w:bookmarkStart w:id="24" w:name="page25"/>
    <w:bookmarkEnd w:id="2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 locations by state or province as of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Pawn/Retail</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Financial Services</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192"/>
        </w:trPr>
        <w:tc>
          <w:tcPr>
            <w:tcW w:w="744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Locations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Locations</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Locations</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Texas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490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Florida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Wisconsin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Oklahoma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Nevada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Illinois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Utah</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Iowa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Idaho</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Georgia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Indiana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Tennessee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Hawaii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Alabama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Missouri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Kansas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Arizona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South Dakota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Minnesota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Virginia (1)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New York</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Pennsylvania (1)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Mississippi</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Arkansas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United States Locations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1,005</w:t>
            </w:r>
          </w:p>
        </w:tc>
      </w:tr>
      <w:tr>
        <w:trPr>
          <w:trHeight w:val="122"/>
        </w:trPr>
        <w:tc>
          <w:tcPr>
            <w:tcW w:w="7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Estado de Mexico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Distrito Federal (3)</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Veracruz</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Jalisco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Guanajuato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Nuevo León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Puebla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Guerrero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Chiapas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Tabasco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Tamaulipas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Coahuila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Quintana Roo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Michoacán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Hidalgo</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Queretaro</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Baja California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Oaxaca</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Campeche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Morelos</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Aguascalientes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Sinaloa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Tlaxcala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Sonora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Morelia</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Chihuahua</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Durango</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65"/>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Nayarit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bl>
    <w:p>
      <w:pPr>
        <w:sectPr>
          <w:pgSz w:w="11900" w:h="16900" w:orient="portrait"/>
          <w:cols w:equalWidth="0" w:num="1">
            <w:col w:w="11420"/>
          </w:cols>
          <w:pgMar w:left="240" w:top="125"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San Luis Potosí</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Yucatán</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Zacatecas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Mexico Locations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Canada:</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Ontario (1) (2)</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Canada Locations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Company</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Buy/sell locations. (2) The Canada locations exclude 5 stores that are franchised by the company to third parties. (3) Includes buy/sell and pawn locations.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1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addition to our store locations, we lease corporate office space in Austin, Texas (79,100 square feet), Miami, Florida (14,200 square feet), Dallas, Texas (5,900 square feet), Querétaro, Mexico (10,600 square feet), Mexico City (11,300 square feet), Ontario, Canada (8,400 square feet) and Ipswich, United Kingdom (4,700 square feet). Grupo Finmart leases corporate office space in Mexico City (14,000 square feet).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 as of September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Company-owned Stores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1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Latin America</w:t>
            </w:r>
          </w:p>
        </w:tc>
        <w:tc>
          <w:tcPr>
            <w:tcW w:w="100" w:type="dxa"/>
            <w:vAlign w:val="bottom"/>
            <w:vMerge w:val="restart"/>
          </w:tcPr>
          <w:p>
            <w:pPr>
              <w:spacing w:after="0"/>
              <w:rPr>
                <w:sz w:val="13"/>
                <w:szCs w:val="13"/>
                <w:color w:val="auto"/>
              </w:rPr>
            </w:pPr>
          </w:p>
        </w:tc>
        <w:tc>
          <w:tcPr>
            <w:tcW w:w="12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Consolidated</w:t>
            </w: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Pawn/retail stores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Financial services stores adjoining U.S. pawn stores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services stores — free standing</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stores in operation</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The following is a description of significant proceedings.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 (C.A. No. 9962-VCP)</w:t>
      </w:r>
      <w:r>
        <w:rPr>
          <w:rFonts w:ascii="Arial" w:cs="Arial" w:eastAsia="Arial" w:hAnsi="Arial"/>
          <w:sz w:val="18"/>
          <w:szCs w:val="18"/>
          <w:color w:val="auto"/>
        </w:rPr>
        <w:t>.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On October 13, 2014, motions to dismiss were filed on behalf of each defendant, and on November 12, 2014, the defendants filed their opening briefs in support of the motions to dismiss. Reply and follow-up briefs on the motions to dismiss are expected to be filed by early January 2015. On November 13, 2014, pursuant to the parties’ stipulation, the Court dismissed the action as to Mr. Brinkley, Mr. Rothamel and Mr. Lagos.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On August 22, 2014, Jason Close, a purported holder of Class A Non-voting Common Stock, for himself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 (</w:t>
      </w:r>
      <w:r>
        <w:rPr>
          <w:rFonts w:ascii="Arial" w:cs="Arial" w:eastAsia="Arial" w:hAnsi="Arial"/>
          <w:sz w:val="18"/>
          <w:szCs w:val="18"/>
          <w:color w:val="auto"/>
        </w:rPr>
        <w:t>Case No. 1:14-cv-06834-ALC). The complaint names as defendants EZCORP, Inc., Paul E. Rothamel (our former chief executive officer)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 Kuchenrither (our current chief financial officer and our chief executive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On October 21, 2014, the plaintiff in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filed a motion to consolidate the </w:t>
      </w:r>
      <w:r>
        <w:rPr>
          <w:rFonts w:ascii="Arial" w:cs="Arial" w:eastAsia="Arial" w:hAnsi="Arial"/>
          <w:sz w:val="18"/>
          <w:szCs w:val="18"/>
          <w:i w:val="1"/>
          <w:iCs w:val="1"/>
          <w:color w:val="auto"/>
        </w:rPr>
        <w:t>Close</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Automotive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Machinists Pension Plan </w:t>
      </w:r>
      <w:r>
        <w:rPr>
          <w:rFonts w:ascii="Arial" w:cs="Arial" w:eastAsia="Arial" w:hAnsi="Arial"/>
          <w:sz w:val="18"/>
          <w:szCs w:val="18"/>
          <w:color w:val="auto"/>
        </w:rPr>
        <w:t>action and to appoint the Automotive Machinists Pension Plan as the lead plaintiff. On November 18, 2014, the court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set a deadline for December 9, 2014 for interested parties to move to be appointed lead plaintiff and lead counsel.</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consolidated case is at a very early procedural stage. We cannot predict the outcome of the litigation, but we intend to defend vigorously against all allegations and claims.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Vice Chairman and a current member of our Board of Directors). The SEC has also issued subpoenas to current and former members of our Board of Directors requesting production of similar documents. We have provided a number of documents in response to the subpoena and are cooperating fully with the SEC in its investigation.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6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October 31, 2014, there were 85 stockholders of record of our Class A Common Stock. There is no trading market for our Class B Voting Common Stock (“Class B Common Stock”), which was held by one stockholder as of October 31, 2014.</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high and low per share sales price for our Class A Common Stock for the past two fiscal years, as reported by the NASDAQ Stock Market,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Fourth quarter ended September 30, 2014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 ended June 30, 2014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Second quarter ended March 31, 2014</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 ended December 31, 2013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Fiscal 2013</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 ended September 30,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Third quarter ended June 30, 2013</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 ended March 31, 2013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First quarter ended December 31, 2012</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September 30, 2014, the closing sales price of our Class A Common Stock, as reported by the NASDAQ Stock Market, was $9.91 per share.</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not declared or paid any dividends during the past two fiscal years and currently do not anticipate paying any dividends in the immediate future. Under the terms of our Convertible Notes due 2019, further described in Note 9 to the Consolidated Financial Statements included in “Part II — Item 8 — Financial Statements and Supplementary Data,” payment of dividends requires a conversion rate adjustment equal to the conversion rate in effect immediately prior to the open of business on the ex-dividend date for such dividend multiplied by the last reported sale price of the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2009.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information with respect to purchases made by us for shares of our Class A Common Stock during fiscal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 Shares</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Fiscal 2014 total</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Comprised of 1,000,000 shares of our Class A Common Stock repurchased through privately negotiated transactions for an aggregate purchase price of $11.9 million in connection with our issuance of our Convertible Notes due 2019, further described in Note 9 to the Consolidated Financial Statements included in “Part II — Item 8 — Financial Statements and Supplementary Data,”</w:t>
      </w:r>
    </w:p>
    <w:p>
      <w:pPr>
        <w:spacing w:after="0" w:line="12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 publicly announced repurchase plans or programs.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8"/>
          </w:tcPr>
          <w:p>
            <w:pPr>
              <w:jc w:val="center"/>
              <w:ind w:right="460"/>
              <w:spacing w:after="0"/>
              <w:rPr>
                <w:sz w:val="20"/>
                <w:szCs w:val="20"/>
                <w:color w:val="auto"/>
              </w:rPr>
            </w:pPr>
            <w:r>
              <w:rPr>
                <w:rFonts w:ascii="Arial" w:cs="Arial" w:eastAsia="Arial" w:hAnsi="Arial"/>
                <w:sz w:val="14"/>
                <w:szCs w:val="14"/>
                <w:i w:val="1"/>
                <w:iCs w:val="1"/>
                <w:color w:val="auto"/>
                <w:w w:val="91"/>
              </w:rPr>
              <w:t>(in thousands, except per share and store figures)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988,532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980,121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964,502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852,798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725,168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615,097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526,303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72,877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155,920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123,717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98,643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38,425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122,159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97,294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income from continuing operations attributable to redeemable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Net (loss) from discontinued operations attributable to redeemable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143,708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122,159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97,294</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 Inc.:</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r>
      <w:tr>
        <w:trPr>
          <w:trHeight w:val="311"/>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 Inc.:</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54,148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53,657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49,917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49,033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49,576</w:t>
            </w:r>
          </w:p>
        </w:tc>
      </w:tr>
      <w:tr>
        <w:trPr>
          <w:trHeight w:val="32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r>
      <w:tr>
        <w:trPr>
          <w:trHeight w:val="218"/>
        </w:trPr>
        <w:tc>
          <w:tcPr>
            <w:tcW w:w="9040" w:type="dxa"/>
            <w:vAlign w:val="bottom"/>
            <w:gridSpan w:val="10"/>
          </w:tcPr>
          <w:p>
            <w:pPr>
              <w:spacing w:after="0"/>
              <w:rPr>
                <w:sz w:val="20"/>
                <w:szCs w:val="20"/>
                <w:color w:val="auto"/>
              </w:rPr>
            </w:pPr>
            <w:r>
              <w:rPr>
                <w:rFonts w:ascii="Arial" w:cs="Arial" w:eastAsia="Arial" w:hAnsi="Arial"/>
                <w:sz w:val="14"/>
                <w:szCs w:val="14"/>
                <w:color w:val="auto"/>
              </w:rPr>
              <w:t>* Fiscal 2012, 2011 and 2010 include 102, 94 and 72 stores, respectively, that were closed as part of discontinued operations during fiscal 2013.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5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5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196"/>
        </w:trPr>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i w:val="1"/>
                <w:iCs w:val="1"/>
                <w:color w:val="auto"/>
                <w:w w:val="92"/>
              </w:rPr>
              <w:t>(in thousands)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Pawn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162,444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156,637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157,648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145,318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121,201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67,594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64,683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34,152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14,611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139,419</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145,200</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109,214</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90,373</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71,502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551,365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395,049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373,557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291,968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1,403,471</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1,352,190</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1,218,007</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756,450</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606,412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40,442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70,294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61,997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356,430</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215,939</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198,836</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17,500</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35,498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55,393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53,681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875,188</w:t>
            </w:r>
          </w:p>
        </w:tc>
        <w:tc>
          <w:tcPr>
            <w:tcW w:w="3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914,526</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834,828</w:t>
            </w: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664,248</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519,428</w:t>
            </w:r>
          </w:p>
        </w:tc>
      </w:tr>
      <w:tr>
        <w:trPr>
          <w:trHeight w:val="486"/>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 Item 1A — Risk Factors.” See also “Cautionary Statement Regarding Risks and Uncertainties That May Affect Future Results”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EZCORP, Inc. is a Delaware corporation headquartered in Austin, Texas. We are a leader in delivering easy cash solutions to our customers across channels, products, services and markets. With approximately 7,300 team members and approximately 1,400 locations, we give our customers multiple ways to access instant cash, including pawn loans and consumer loans in the United States, Mexico and Canada, and fee-based credit services to customers seeking loans. At our pawn and buy/sell stores, we also sell merchandise, primarily collateral forfeited from pawn lending operations and used merchandise purchased from customers.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Texas, we do not offer loan products, but rather offer credit services to help customers obtain loans from independent third-party lenders.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own a 76% interest in Prestaciones Finmart, S.A.P.I. de C.V., SOFOM, E.N.R. ("Grupo Finmart" doing business under the names “Crediamigo” and “Adex”), a leading payroll withholding lender headquartered in Mexico City. As of September 30, 2014, Grupo Finmart had over 100 payroll withholding master agreements with Mexican employers, primarily federal, state and local governments and agencies, and provided consumer loans to the agencies' employees. We also own a 59% interest in Renueva Commercial S.A.P.I. de C.V. ("TUYO"), a company headquartered in Mexico City that owns and operates buy/sell stores in Mexico City and the surrounding metropolitan area.</w:t>
      </w:r>
    </w:p>
    <w:p>
      <w:pPr>
        <w:spacing w:after="0" w:line="13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At September 30, 2014, we operated a total of 1,358 locations, consisting of 497 U.S. pawn stores (operating primarily as EZPAWN or Value Pawn &amp; Jewelry), seven U.S. buy/sell stores (operating as Cash Converters), 242 pawn stores in Mexico (operating as Empeño Fácil), 501 U.S. financial services stores (operating primarily as EZMONEY), 24 financial services stores in Canada (operating as CASHMAX), 15 buy/sell and financial services stores in Canada (operating as Cash Converters); and 19 buy/sell stores in Mexico (operating as TUYO or Cash Converters) and 53 financial services branches in Mexico (operating as Crediamigo or Adex).</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own approximately 32% of Cash Converters International Limited, which is based in Australia and franchises and operates a worldwide network of over 750 locations that provide financial services and buy and sell second-hand goods. We also own the Cash Converters master franchise rights in Canada and are the franchisor of five stores there.</w:t>
      </w:r>
    </w:p>
    <w:p>
      <w:pPr>
        <w:spacing w:after="0" w:line="12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In our Cash Converters stores, we also buy and sell second-hand goods. At our financial services stores and at some of our pawn and buy/sell stores, we offer a variety of consumer loan products, including single-payment, unsecured loans with maturity dates typically ranging from seven to 30 days; multiple-payment unsecured loans that may be repaid over extended periods of up to seven months; single-payment 30-day loans secured by automobile titles; multiple-payment auto title loans that carry terms of two to five months; and revolving lines of credit, both unsecured and secured by automobile titles. In Texas, our financial services stores and our pawn stores that also offer financial services do not offer loan products themselves, but rather offer credit services to help customers obtain loans from independent third-party lenders.</w:t>
      </w:r>
    </w:p>
    <w:p>
      <w:pPr>
        <w:spacing w:after="0" w:line="11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business consists of three reportable segments: The U.S. &amp; Canada segment, which includes all business activities in the United States and Canada; the Latin America segment, which includes our Empeño Fácil pawn operations, the TUYO buy/sell operations and Grupo Finmart financial services operations in Mexico; and the Other International segment, which includes our equity interest in the net income of Cash Converters International.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Fiscal Year Ended September 30, 2014</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6"/>
            <w:vMerge w:val="continue"/>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2"/>
              </w:rPr>
              <w:t>Fiscal Year Ended September 30, 2013</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6"/>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2"/>
              </w:rPr>
              <w:t>Fiscal Year Ended September 30, 2012</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Company-owned Stores</w:t>
            </w:r>
          </w:p>
        </w:tc>
        <w:tc>
          <w:tcPr>
            <w:tcW w:w="12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U.S. &amp; Canada</w:t>
            </w:r>
          </w:p>
        </w:tc>
        <w:tc>
          <w:tcPr>
            <w:tcW w:w="140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Latin America</w:t>
            </w: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6"/>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 novo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Acquired</w:t>
            </w: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Sold, combined or closed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Stores in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218</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 For additional information, see Note 2 to the Consolidated Financial Statements included in “Part II — Item 8 — Financial Statements and Supplementary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Activities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earn pawn service charge revenues on our pawn lending. While allowable service charges vary by state and loan size, a majority of our U.S. pawn loans earn 20% per month. Our average U.S. pawn loan amount typically ranges between $130 and $135, but varies depending on the valuation of each item pawned. The total U.S. pawn loan term ranges between 60 and 120 days, consisting of the primary term and grace period. In Mexico, pawn service charges range from 14%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U.S. $65.</w:t>
      </w:r>
    </w:p>
    <w:p>
      <w:pPr>
        <w:spacing w:after="0" w:line="13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our pawn stores, buy/sell stores in Mexico and certain financial services stores in Canada, we acquire inventory for retail sales through pawn loan forfeitures, purchases of customers’ second hand merchandise or purchases of new or refurbished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merchandise from third party vendors. The gross profit on sales of inventory depends primarily on our assessment of the loan or purchase value at the time the property is either accepted as loan collateral or purchased. Margins achieved on sale of inventory are a function of the assessment of value at the time the pawn loan was originated or, in the case of purchased merchandise, the purchase price.</w:t>
      </w:r>
    </w:p>
    <w:p>
      <w:pPr>
        <w:spacing w:after="0" w:line="12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September 30, 2014, our total allowance was 9.6% of gross inventory, compared to 2.8% at September 30, 2013. The increase in valuation allowance from the prior year is reflective of periodic analyses conducted to value the inventory based on aging, profitability, sell-through rates and shrink in each classification, including jewelry and general merchandise.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 Activities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At September 30, 2014, 287 of our U.S. financial services stores and two of our U.S. pawn stores in Texas offered credit services to customers seeking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$450), our fee is approximately 15% to 22% of the loan amount. For credit services in connection with arranging an unsecured multiple-payment loan (average loan amount of about $550), our fee is 10% of the initial loan amount with each semi-monthly or bi-weekly installment payment. Low dollar installment loan principal amounts range from $100 to $2,000, but average about $550. With each semi-monthly or bi-weekly installment payment, we earn a fee of 13% to 14% of the initial loan amount. For credit services in connection with arranging single-payment auto title loans (average loan amount of about $1,200), the fee is up to 30% of the loan amount. In fiscal 2012, we began assisting customers in obtaining longer-term multiple-payment auto title loans from unaffiliated lenders. Multiple-payment auto title loans primarily carry terms of five months with ten equal installments. Multiple-payment auto title loan principal amounts range from $150 to $10,000, but average about $1,200; and we earn a fee of 45% to 150% of the initial loan amount. At September 30, 2014, single-payment loans comprised 81% of the balance of consumer loans brokered through our credit services, and multiple-payment loans comprised the remaining 19%.</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Outside of Texas, we earn loan fee revenue on our consumer loans. In two U.S. pawn stores, 117 U.S. financial services stores and 39 Canadian financial services stores, we offer single-payment unsecured consumer loans. The average single-payment loan amount is approximately $435 and the term is generally less than 30 days, averaging about 21 days. We typically charge a fee of 15% to 22% of the loan amount. In 123 of our U.S. financial services stores, we offer multiple-payment unsecured consumer loans. These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175% of the original principal amount of the loan. Multiple-payment loan principal amounts range from $100 to $3,500, but average approximately $550.</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September 30, 2014, 437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$1,200. We earn a fee of 9% to 30% of auto title loan amounts. In Texas, we assist customers in obtaining multiple-payment auto title loans from unaffiliated lenders. These loans typically carry terms of five months with up to ten equal installments. Principal amounts range from $150 to $10,000, but average about $1,200; and we earn a fee of 45% to 150% of the initial loan amount.</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Mexico, Grupo Finmart offers multiple-payment consumer loans with typical annual yields of approximately 72% and collects interest and principal through payroll deductions. The average loan is approximately $1,600 with a term of 31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7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Within our Mexican consumer loan business, we anticipate Grupo Finmart will continue to sign new contracts with federal, state and local governments as well as further penetrate the existing contracts. As of September 30, 2014,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expect that financing will continue to be non-recourse to EZCORP.</w:t>
      </w:r>
    </w:p>
    <w:p>
      <w:pPr>
        <w:spacing w:after="0" w:line="1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intend to continue to open new stores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secure local financing for our Mexican pawn growth.</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also plan to open more buy/sell stores in Mexico over time. As of September 30, 2014, we operated 19 buy/sell stores within the Mexico market. We intend to finance this planned growth using cash flow generated from our Mexican operations, as well as local financing.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1, 2012, we acquired a 51% interest in Renueva Comercial S.A.P. I. de C.V., a company headquartered in Mexico City and doing business under the name “TUYO,” for approximately $1.1 million. On January 1, 2014, we acquired an additional 8% interest in TUYO for $1.1 million, increasing our ownership percentage to 59%. As of September 30, 2014, TUYO owned and operated 19 buy/sell stores in Mexico City and the surrounding metropolitan area.</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20, 2012, we entered into a definitive agreement with Go Cash, LLC and certain of its affiliates ("Go Cash") to acquire substantially all the assets of Go Cash's online lending business. This acquisition of assets was completed on December 20, 2012. The total purchase price was performance-based, to be determined over a period of four years following the closing. A total consideration of $55.6 million will be paid. On September 30, 2014, our Board of Directors, on management’s recommendation, approved a plan to exit the Company’s online lending business in the U.S. The plan includes discontinuing the Company’s online lending business in the U.S. (referred to as “EZOnline”) and terminating the employment of the employees related to that business.</w:t>
      </w:r>
    </w:p>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April 26, 2013, Grupo Finmart, our majority owned subsidiary, purchased 100% of the outstanding shares of Fondo ACH, S.A. de C.V., a specialty consumer finance company. The total purchase price is performance-based and will be determined over a period of four years. A minimum of $3.5 million will be paid.</w:t>
      </w:r>
    </w:p>
    <w:p>
      <w:pPr>
        <w:spacing w:after="0" w:line="12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June 30, 2013 and November 29, 2013, Grupo Finmart purchased consumer loan portfolios for total consideration of approximately $1.3 million and $15.9 million, respectively. The total purchase prices are performance-based and will be determined over the life of the loan portfolios.</w:t>
      </w:r>
    </w:p>
    <w:p>
      <w:pPr>
        <w:spacing w:after="0" w:line="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fiscal 2013, we acquired 12 pawn locations in Arizona, which was a new state of operation for us. The results of all acquired stores and businesses have been consolidated with our results since their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results for the fiscal years ended September 30, 2014 and 2013 include pre-tax other-than-temporary impairment charges of $7.9 million and $42.5 million respectively, related to our investment in Albemarle &amp; Bond. The results for the fiscal year ended September 30, 2013 includes a pre-tax other-than-temporary impairment charge of $2.1 million related to available-for-sale securities. The income tax expense for the fiscal years ended September 30, 2014 and 2013 reflects a tax benefit of $2.5 million and $12.3 million, respectively, related to these charges.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discontinued operations and restructuring charges, see Note 2 to the Consolidated Financial Statements included in “Part II —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Management’s Discussion and Analysis of Financial Condition and Results of Operations is based on our consolidated financial statements, which have been prepared in accordance with accounting principles generally accepted in the United States (“GAAP”).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 We believe the following critical accounting policies and estimates could have a significant impact on our results of operations. Refer to Note 1 to our consolidated financial statements included in “Part II — Item 8 — Financial Statements and Supplemental Data” for a more complete review of other accounting policies and estimates used in the preparation of our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7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consolidated financial statements include the accounts of EZCORP, Inc. and our controlled subsidiaries. All significant inter-company accounts and transactions have been eliminated in consolidation. We own 76% of the outstanding equity interests in Grupo Finmart and 59% in TUYO and, therefore, include their results in our consolidated financial statements. We account for our investment in Cash Converters International Limited using the equity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Loan and Sales Revenue Recognition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property. We record sales revenue and the related cost when this inventory is sold, or when we receive the final payment on a layaway sale. Sales tax collected on the sale of inventory is excluded from the amount recognized as sales and instead recorded as a liability in “Accounts payable and other accrued expenses” in our consolidated balance sheets until remitted to the appropriate governmental authorities.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a variety of short-term consumer loans, including single-payment and multiple-payment unsecured loans and single-payment and multiple-payment auto title loans. In Texas, we provide fee-based credit services to customers seeking loans. In Mexico, Grupo Finmart enters into agreements with employers that permit it to market consumer loans to employees. Payments are withheld by the employers through payroll deductions and remitted to Grupo Finmart. For each of our loan products we estimate the fees we expect to be uncollectible.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left="340" w:right="200"/>
        <w:spacing w:after="0" w:line="302" w:lineRule="auto"/>
        <w:rPr>
          <w:sz w:val="20"/>
          <w:szCs w:val="20"/>
          <w:color w:val="auto"/>
        </w:rPr>
      </w:pPr>
      <w:r>
        <w:rPr>
          <w:rFonts w:ascii="Arial" w:cs="Arial" w:eastAsia="Arial" w:hAnsi="Arial"/>
          <w:sz w:val="16"/>
          <w:szCs w:val="16"/>
          <w:i w:val="1"/>
          <w:iCs w:val="1"/>
          <w:color w:val="auto"/>
        </w:rPr>
        <w:t xml:space="preserve">Unsecured Consumer Loan Credit Service Fees — </w:t>
      </w:r>
      <w:r>
        <w:rPr>
          <w:rFonts w:ascii="Arial" w:cs="Arial" w:eastAsia="Arial" w:hAnsi="Arial"/>
          <w:sz w:val="16"/>
          <w:szCs w:val="16"/>
          <w:color w:val="auto"/>
        </w:rPr>
        <w:t>We earn credit service fees when we assist customers in obtaining unsecured loans from unaffiliated</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We initially defer recognition of a portion of the fees we expect to collect and recognize that deferred net amount over the life of the related loans. We reserve the percentage of credit service fees we expect not to collect. Fees related to defaulted loans increase credit service fee revenue upon collection. Unsecured loan credit service fee revenue is included in “Consumer loan fees and interest” in our consolidated statements of operations.</w:t>
      </w:r>
    </w:p>
    <w:p>
      <w:pPr>
        <w:spacing w:after="0" w:line="100"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Unsecured Consumer Loan Revenue — </w:t>
      </w:r>
      <w:r>
        <w:rPr>
          <w:rFonts w:ascii="Arial" w:cs="Arial" w:eastAsia="Arial" w:hAnsi="Arial"/>
          <w:sz w:val="18"/>
          <w:szCs w:val="18"/>
          <w:color w:val="auto"/>
        </w:rPr>
        <w:t>We accrue fees and interest in accordance with state and Canadian provincial laws on the percentage of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(single-payment and multiple-payment) we have made that we believe to be collectible. Accrued fees related to defaulted loans reduce fee revenue upon loan default and increase fee revenue upon collection. Unsecured loan revenue is included in “Consumer loan fees and interest” in our consolidated statements of operations.</w:t>
      </w:r>
    </w:p>
    <w:p>
      <w:pPr>
        <w:spacing w:after="0" w:line="133" w:lineRule="exact"/>
        <w:rPr>
          <w:sz w:val="20"/>
          <w:szCs w:val="20"/>
          <w:color w:val="auto"/>
        </w:rPr>
      </w:pPr>
    </w:p>
    <w:p>
      <w:pPr>
        <w:ind w:left="340" w:right="180"/>
        <w:spacing w:after="0" w:line="293" w:lineRule="auto"/>
        <w:rPr>
          <w:sz w:val="20"/>
          <w:szCs w:val="20"/>
          <w:color w:val="auto"/>
        </w:rPr>
      </w:pPr>
      <w:r>
        <w:rPr>
          <w:rFonts w:ascii="Arial" w:cs="Arial" w:eastAsia="Arial" w:hAnsi="Arial"/>
          <w:sz w:val="16"/>
          <w:szCs w:val="16"/>
          <w:i w:val="1"/>
          <w:iCs w:val="1"/>
          <w:color w:val="auto"/>
        </w:rPr>
        <w:t xml:space="preserve">Long-term Unsecured Consumer Loan Revenue — </w:t>
      </w:r>
      <w:r>
        <w:rPr>
          <w:rFonts w:ascii="Arial" w:cs="Arial" w:eastAsia="Arial" w:hAnsi="Arial"/>
          <w:sz w:val="16"/>
          <w:szCs w:val="16"/>
          <w:color w:val="auto"/>
        </w:rPr>
        <w:t>Grupo Finmart customers obtain installment loans with a series of payments due over as long as a</w:t>
      </w:r>
      <w:r>
        <w:rPr>
          <w:rFonts w:ascii="Arial" w:cs="Arial" w:eastAsia="Arial" w:hAnsi="Arial"/>
          <w:sz w:val="16"/>
          <w:szCs w:val="16"/>
          <w:i w:val="1"/>
          <w:iCs w:val="1"/>
          <w:color w:val="auto"/>
        </w:rPr>
        <w:t xml:space="preserve"> </w:t>
      </w:r>
      <w:r>
        <w:rPr>
          <w:rFonts w:ascii="Arial" w:cs="Arial" w:eastAsia="Arial" w:hAnsi="Arial"/>
          <w:sz w:val="16"/>
          <w:szCs w:val="16"/>
          <w:color w:val="auto"/>
        </w:rPr>
        <w:t>four-year period. We recognize consumer loan interest related to loans we originate based on the percentage of consumer loans made that we believe to be collectible. We recognize interest revenue ratably over the life of the related loans. We reserve the percentage of interest we expect not to collect. Interest related to defaulted loans increase consumer loan fee revenue upon collection. Long-term unsecured consumer loan revenue is included in “Consumer loan fees and interest” in our consolidated statements of operations. Incremental direct costs incurred (commissions) are capitalized and deferred ratably over the life of the loans. Amortization of these costs is included in “Operations” expense in our consolidated statements of operations.</w:t>
      </w:r>
    </w:p>
    <w:p>
      <w:pPr>
        <w:spacing w:after="0" w:line="111"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i w:val="1"/>
          <w:iCs w:val="1"/>
          <w:color w:val="auto"/>
        </w:rPr>
        <w:t xml:space="preserve">Auto Title Loan Credit Service Fee Revenue — </w:t>
      </w:r>
      <w:r>
        <w:rPr>
          <w:rFonts w:ascii="Arial" w:cs="Arial" w:eastAsia="Arial" w:hAnsi="Arial"/>
          <w:sz w:val="17"/>
          <w:szCs w:val="17"/>
          <w:color w:val="auto"/>
        </w:rPr>
        <w:t>We earn auto title credit service fees when we assist customers in obtaining auto title loans from</w:t>
      </w:r>
      <w:r>
        <w:rPr>
          <w:rFonts w:ascii="Arial" w:cs="Arial" w:eastAsia="Arial" w:hAnsi="Arial"/>
          <w:sz w:val="17"/>
          <w:szCs w:val="17"/>
          <w:i w:val="1"/>
          <w:iCs w:val="1"/>
          <w:color w:val="auto"/>
        </w:rPr>
        <w:t xml:space="preserve"> </w:t>
      </w:r>
      <w:r>
        <w:rPr>
          <w:rFonts w:ascii="Arial" w:cs="Arial" w:eastAsia="Arial" w:hAnsi="Arial"/>
          <w:sz w:val="17"/>
          <w:szCs w:val="17"/>
          <w:color w:val="auto"/>
        </w:rPr>
        <w:t>unaffiliated lenders. We recognize the fee revenue ratably over the life of the loan, and reserve the percentage of fees we expect not to collect. Auto title loan credit service fee revenue is included in “Consumer loan fees and interest” in our consolidated statements of operations.</w:t>
      </w:r>
    </w:p>
    <w:p>
      <w:pPr>
        <w:spacing w:after="0" w:line="11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i w:val="1"/>
          <w:iCs w:val="1"/>
          <w:color w:val="auto"/>
        </w:rPr>
        <w:t xml:space="preserve">Auto Title Loan Revenue — </w:t>
      </w:r>
      <w:r>
        <w:rPr>
          <w:rFonts w:ascii="Arial" w:cs="Arial" w:eastAsia="Arial" w:hAnsi="Arial"/>
          <w:sz w:val="18"/>
          <w:szCs w:val="18"/>
          <w:color w:val="auto"/>
        </w:rPr>
        <w:t>We accrue fees in accordance with state laws on the percentage of auto title loans we have made that we believe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collectible. We recognize the fee revenue ratably over the life of the loan. Auto title loan revenue is included in “Consumer loan fees and interest” in our consolidated statements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 and Allowance for Losses</w:t>
      </w:r>
    </w:p>
    <w:p>
      <w:pPr>
        <w:spacing w:after="0" w:line="171"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Unsecured Consumer Loan Credit Service Bad Debt — </w:t>
      </w:r>
      <w:r>
        <w:rPr>
          <w:rFonts w:ascii="Arial" w:cs="Arial" w:eastAsia="Arial" w:hAnsi="Arial"/>
          <w:sz w:val="17"/>
          <w:szCs w:val="17"/>
          <w:color w:val="auto"/>
        </w:rPr>
        <w:t>We issue letters of credit to enhance the creditworthiness of our customers seeking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We record the proceeds from such sales as a reduction of bad debt at the time of the sale. Unsecured consumer loan credit service bad debt is included in "Consumer loan bad debt" in our consolidated statements of operations.</w:t>
      </w:r>
    </w:p>
    <w:p>
      <w:pPr>
        <w:spacing w:after="0" w:line="124"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The majority of our credit service customers obtain short-term unsecured loans with a single maturity date. These short-term loans, with terms averaging about 20 days, are considered defaulted if they have not been repaid or renewed by the maturity date. Other credit service customers obtain multiple-payment loans with a series of payments due over as much as a seven-month period. If one payment of a multiple-payment loan is delinquent, that one payment is considered defaulted. If more than one payment is delinquent at any time, the entire loan is considered defaulted.</w:t>
      </w:r>
    </w:p>
    <w:p>
      <w:pPr>
        <w:spacing w:after="0" w:line="117"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i w:val="1"/>
          <w:iCs w:val="1"/>
          <w:color w:val="auto"/>
        </w:rPr>
        <w:t xml:space="preserve">Allowance for Losses on Unsecured Consumer Loan Credit Services — </w:t>
      </w:r>
      <w:r>
        <w:rPr>
          <w:rFonts w:ascii="Arial" w:cs="Arial" w:eastAsia="Arial" w:hAnsi="Arial"/>
          <w:sz w:val="17"/>
          <w:szCs w:val="17"/>
          <w:color w:val="auto"/>
        </w:rPr>
        <w:t>We provide an allowance for losses we expect to incur under letters of credit for</w:t>
      </w:r>
      <w:r>
        <w:rPr>
          <w:rFonts w:ascii="Arial" w:cs="Arial" w:eastAsia="Arial" w:hAnsi="Arial"/>
          <w:sz w:val="17"/>
          <w:szCs w:val="17"/>
          <w:i w:val="1"/>
          <w:iCs w:val="1"/>
          <w:color w:val="auto"/>
        </w:rPr>
        <w:t xml:space="preserve"> </w:t>
      </w:r>
      <w:r>
        <w:rPr>
          <w:rFonts w:ascii="Arial" w:cs="Arial" w:eastAsia="Arial" w:hAnsi="Arial"/>
          <w:sz w:val="17"/>
          <w:szCs w:val="17"/>
          <w:color w:val="auto"/>
        </w:rPr>
        <w:t>brokered unsecured loans that have not yet matured. The allowance is based on recent loan default experience adjusted for seasonal variations. It includes all amounts we expect to pay to the unaffiliated lenders upon loan default, including loan principal, accrued interest, insufficient funds fees, net of the amounts we expect to collect from borrowers (collectively, “Expected LOC Losses”). Changes in the allowance are charged to consumer loan bad debt in our consolidated statements of operations. We include the balance of Expected LOC Losses in “Accounts payable and other accrued expenses” in our consolidated balance sheets. Based on the expected loss and collection percentages, we also provide an allowance for the unsecured loan credit service fees we expect not to collect, and charge changes in this allowance to consumer loan fee revenue, which is included in "Consumer loan fees and interest" in our consolidated statements of operations.</w:t>
      </w:r>
    </w:p>
    <w:p>
      <w:pPr>
        <w:spacing w:after="0" w:line="125" w:lineRule="exact"/>
        <w:rPr>
          <w:sz w:val="20"/>
          <w:szCs w:val="20"/>
          <w:color w:val="auto"/>
        </w:rPr>
      </w:pPr>
    </w:p>
    <w:p>
      <w:pPr>
        <w:ind w:left="340" w:right="120"/>
        <w:spacing w:after="0" w:line="272" w:lineRule="auto"/>
        <w:rPr>
          <w:sz w:val="20"/>
          <w:szCs w:val="20"/>
          <w:color w:val="auto"/>
        </w:rPr>
      </w:pPr>
      <w:r>
        <w:rPr>
          <w:rFonts w:ascii="Arial" w:cs="Arial" w:eastAsia="Arial" w:hAnsi="Arial"/>
          <w:sz w:val="17"/>
          <w:szCs w:val="17"/>
          <w:i w:val="1"/>
          <w:iCs w:val="1"/>
          <w:color w:val="auto"/>
        </w:rPr>
        <w:t xml:space="preserve">Unsecured Consumer Loan Bad Debt — </w:t>
      </w:r>
      <w:r>
        <w:rPr>
          <w:rFonts w:ascii="Arial" w:cs="Arial" w:eastAsia="Arial" w:hAnsi="Arial"/>
          <w:sz w:val="17"/>
          <w:szCs w:val="17"/>
          <w:color w:val="auto"/>
        </w:rPr>
        <w:t>In general, we consider a single-payment loan defaulted if it has not been repaid or renewed by the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 Unsecured consumer loan bad debt is included in "Consumer loan bad debt" in our consolidated statements of operations.</w:t>
      </w:r>
    </w:p>
    <w:p>
      <w:pPr>
        <w:spacing w:after="0" w:line="124" w:lineRule="exact"/>
        <w:rPr>
          <w:sz w:val="20"/>
          <w:szCs w:val="20"/>
          <w:color w:val="auto"/>
        </w:rPr>
      </w:pPr>
    </w:p>
    <w:p>
      <w:pPr>
        <w:jc w:val="both"/>
        <w:ind w:left="340" w:right="20"/>
        <w:spacing w:after="0" w:line="312" w:lineRule="auto"/>
        <w:rPr>
          <w:sz w:val="20"/>
          <w:szCs w:val="20"/>
          <w:color w:val="auto"/>
        </w:rPr>
      </w:pPr>
      <w:r>
        <w:rPr>
          <w:rFonts w:ascii="Arial" w:cs="Arial" w:eastAsia="Arial" w:hAnsi="Arial"/>
          <w:sz w:val="16"/>
          <w:szCs w:val="16"/>
          <w:color w:val="auto"/>
        </w:rPr>
        <w:t>Consumer loans made by EZCORP Online are considered delinquent if they are not repaid or renewed by the maturity date. We do not accrue additional revenues on delinquent loans. All outstanding principal balances and related fee receivables greater than 60 days past due are considered defaulted. Upon default, we charge consumer loan principal to consumer loan bad debt and reverse accrued unsecured consumer loan fee revenue.</w:t>
      </w:r>
    </w:p>
    <w:p>
      <w:pPr>
        <w:spacing w:after="0" w:line="93"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i w:val="1"/>
          <w:iCs w:val="1"/>
          <w:color w:val="auto"/>
        </w:rPr>
        <w:t xml:space="preserve">Unsecured Consumer Loan Allowance for Losses — </w:t>
      </w:r>
      <w:r>
        <w:rPr>
          <w:rFonts w:ascii="Arial" w:cs="Arial" w:eastAsia="Arial" w:hAnsi="Arial"/>
          <w:sz w:val="18"/>
          <w:szCs w:val="18"/>
          <w:color w:val="auto"/>
        </w:rPr>
        <w:t>We provide an allowance for losses on unsecured loans that have not yet matured and related fees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based on recent loan default experience adjusted for seasonal variations. We charge any changes in the principal valuation allowance to "Consumer loan bad debt" in our consolidated statements of operations. We record changes in the fee receivable valuation allowance to "Consumer loan fees and interest" in our consolidated statements of operations.</w:t>
      </w:r>
    </w:p>
    <w:p>
      <w:pPr>
        <w:spacing w:after="0" w:line="133"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i w:val="1"/>
          <w:iCs w:val="1"/>
          <w:color w:val="auto"/>
        </w:rPr>
        <w:t xml:space="preserve">Long-Term Unsecured Consumer Loan Bad Debt — </w:t>
      </w:r>
      <w:r>
        <w:rPr>
          <w:rFonts w:ascii="Arial" w:cs="Arial" w:eastAsia="Arial" w:hAnsi="Arial"/>
          <w:sz w:val="18"/>
          <w:szCs w:val="18"/>
          <w:color w:val="auto"/>
        </w:rPr>
        <w:t>Consumer loans made by Grupo Finmart are considered in current status as long as the customer 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and Grupo Finmart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Recoveries of written-off principal are recorded as a reduction of consumer loan bad debt when collected. Long-term unsecured consumer loan bad debt is included in "Consumer loan bad debt" in our consolidated statements of operations.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unsecured consumer loan bad debt is included in "Consumer loan bad debt" in our consolidated statements of operations.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i w:val="1"/>
          <w:iCs w:val="1"/>
          <w:color w:val="auto"/>
        </w:rPr>
        <w:t xml:space="preserve">Long-Term Unsecured Consumer Loan Allowance for Losses — </w:t>
      </w:r>
      <w:r>
        <w:rPr>
          <w:rFonts w:ascii="Arial" w:cs="Arial" w:eastAsia="Arial" w:hAnsi="Arial"/>
          <w:sz w:val="18"/>
          <w:szCs w:val="18"/>
          <w:color w:val="auto"/>
        </w:rPr>
        <w:t>Grupo Finmart provides an allowance for losses on consumer loans that have not yet</w:t>
      </w:r>
      <w:r>
        <w:rPr>
          <w:rFonts w:ascii="Arial" w:cs="Arial" w:eastAsia="Arial" w:hAnsi="Arial"/>
          <w:sz w:val="18"/>
          <w:szCs w:val="18"/>
          <w:i w:val="1"/>
          <w:iCs w:val="1"/>
          <w:color w:val="auto"/>
        </w:rPr>
        <w:t xml:space="preserve"> </w:t>
      </w:r>
      <w:r>
        <w:rPr>
          <w:rFonts w:ascii="Arial" w:cs="Arial" w:eastAsia="Arial" w:hAnsi="Arial"/>
          <w:sz w:val="18"/>
          <w:szCs w:val="18"/>
          <w:color w:val="auto"/>
        </w:rPr>
        <w:t>matured and related fees receivable based on recent loan default experience. Changes in the principal valuation allowance are charged to "Consumer loan bad debt" and changes in the interest receivable valuation allowance are charged to "Consumer loan fees and interest" in our consolidated statements of operations.</w:t>
      </w:r>
    </w:p>
    <w:p>
      <w:pPr>
        <w:spacing w:after="0" w:line="133"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Auto Title Loan Credit Services Bad Debt and Allowance for Losses — </w:t>
      </w:r>
      <w:r>
        <w:rPr>
          <w:rFonts w:ascii="Arial" w:cs="Arial" w:eastAsia="Arial" w:hAnsi="Arial"/>
          <w:sz w:val="17"/>
          <w:szCs w:val="17"/>
          <w:color w:val="auto"/>
        </w:rPr>
        <w:t>We issue letters of credit to enhance the creditworthiness of our customers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auto title loans from unaffiliated lenders. The letters of credit assure the lenders that if borrowers default on the loans, we will pay the lenders, upon demand, all amounts owed to the lenders by the borrowers, including loan principal, accrued interest and insufficient funds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net of the amounts we expect to collect from borrowers or through the sale of repossessed vehicles. We include the allowance for expected losses in “Accounts payable and other accrued expenses” in our consolidated balance sheets.</w:t>
      </w:r>
    </w:p>
    <w:p>
      <w:pPr>
        <w:spacing w:after="0" w:line="124"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i w:val="1"/>
          <w:iCs w:val="1"/>
          <w:color w:val="auto"/>
        </w:rPr>
        <w:t xml:space="preserve">Auto Title Loan Bad Debt and Allowance for Losses — </w:t>
      </w:r>
      <w:r>
        <w:rPr>
          <w:rFonts w:ascii="Arial" w:cs="Arial" w:eastAsia="Arial" w:hAnsi="Arial"/>
          <w:sz w:val="17"/>
          <w:szCs w:val="17"/>
          <w:color w:val="auto"/>
        </w:rPr>
        <w:t>Based on historical collection experience, the age of past-due loans and amounts we expect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fees and interest" in our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Financial Assets</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252525"/>
        </w:rPr>
        <w:t>In accordance with FASB ASC 860-10-40-5, 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 or the ability to unilaterally cause the holder to return specific assets.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52525"/>
        </w:rPr>
        <w:t>The sales price net of the carrying amount of the loan portfolio is recorded as revenue in “Consumer loan sales and other revenue” in our consolidated statements of operations. The accelerated commission and other related expenses are recorded in “Operations” expense in our consolidated statements of operations. The proceeds of the loan portfolio sales are reflected as investing activities in the Company's consolidated statements of cash flows, as they were not specifically originated for resale.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and Cost of Goods Sold</w:t>
      </w:r>
    </w:p>
    <w:p>
      <w:pPr>
        <w:spacing w:after="0" w:line="17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w:t>
      </w:r>
    </w:p>
    <w:p>
      <w:pPr>
        <w:spacing w:after="0" w:line="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order to state inventory at the lower of cost (specific identification) or market value, we record an allowance for excess, obsolete or slow moving inventory based on the type and age of merchandise. We include in "Merchandise cost of goods sold" in our consolidated statements of operations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Goodwill and other intangible assets having indefinite lives are not subject to amortization.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as of September 30, or more frequently if an event occurs or circumstances change that would more likely than not reduce the fair value of a reporting unit below its carrying amount. The impairment test consists of two steps: in step one, the carrying value of the reporting unit is compared with its fair value; in step two, which is applied when the carrying value is more than its fair value, the amount of goodwill impairment, if any, is derived by deducting the fair value of the reporting unit’s assets and liabilities from the fair value of its equity, and comparing that amount with the carrying amount of goodwill.</w:t>
      </w:r>
    </w:p>
    <w:p>
      <w:pPr>
        <w:spacing w:after="0" w:line="1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perform our impairment analysis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A reporting unit is the operating segment, or one level below that operating segment (the component level) if discrete financial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information is prepared and regularly reviewed by segment management. However, components are aggregated as a single reporting unit if they have similar economic characteristics. We have determined that our reporting units are the same as our operating segments.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 risks and uncertainty inherent in the respective businesses and in our internally developed forecasts. Discount rates used in our reporting unit valuations ranged from 16% to 21%. Changes in the economic conditions or regulatory environment could negatively affect our key assumptions.</w:t>
      </w:r>
    </w:p>
    <w:p>
      <w:pPr>
        <w:spacing w:after="0" w:line="1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completed our annual assessment of goodwill and indefinite lived intangible assets as of September 30, 2014 and determined that no material impairment existed at that date other than that due to discontinued operations and described below. In conjunction with discontinued operations, we recognized impairment of goodwill and other intangible assets for the U.S. &amp; Canada and Other International reporting units at September 30, 2014. For additional information, see Notes 2 and 7 to the Consolidated Financial Statements included in “Part II — Item 8 — Financial Statements and Supplementary Data.”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Tangible Long-Lived Assets</w:t>
      </w:r>
    </w:p>
    <w:p>
      <w:pPr>
        <w:spacing w:after="0" w:line="17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We adopted FASB ASC 805-10-65 </w:t>
      </w:r>
      <w:r>
        <w:rPr>
          <w:rFonts w:ascii="Arial" w:cs="Arial" w:eastAsia="Arial" w:hAnsi="Arial"/>
          <w:sz w:val="18"/>
          <w:szCs w:val="18"/>
          <w:i w:val="1"/>
          <w:iCs w:val="1"/>
          <w:color w:val="auto"/>
        </w:rPr>
        <w:t>Business Combinations — Revised</w:t>
      </w:r>
      <w:r>
        <w:rPr>
          <w:rFonts w:ascii="Arial" w:cs="Arial" w:eastAsia="Arial" w:hAnsi="Arial"/>
          <w:sz w:val="18"/>
          <w:szCs w:val="18"/>
          <w:color w:val="auto"/>
        </w:rPr>
        <w:t xml:space="preserve"> on October 1, 2009, and have applied it prospectively to all business acquisitions completed since that date. In accordance with FASB ASC 805-10-65 </w:t>
      </w:r>
      <w:r>
        <w:rPr>
          <w:rFonts w:ascii="Arial" w:cs="Arial" w:eastAsia="Arial" w:hAnsi="Arial"/>
          <w:sz w:val="18"/>
          <w:szCs w:val="18"/>
          <w:i w:val="1"/>
          <w:iCs w:val="1"/>
          <w:color w:val="auto"/>
        </w:rPr>
        <w:t>Business Combinations — Revised</w:t>
      </w:r>
      <w:r>
        <w:rPr>
          <w:rFonts w:ascii="Arial" w:cs="Arial" w:eastAsia="Arial" w:hAnsi="Arial"/>
          <w:sz w:val="18"/>
          <w:szCs w:val="18"/>
          <w:color w:val="auto"/>
        </w:rPr>
        <w:t>, we allocate the total acquisition price to the fair value of assets and liabilities acquired and immediately expense transaction costs that would have been included in the purchase price allocation under previous accounting standards.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U.S. dollars at the exchange rates as of the investee’s balance sheet date of June 30. The related interest in the investee’s net income is translated at the average exchange rate for each six-month period reported by the investee. The functional currency of Empeño Fácil, our wholly owned subsidiary, Grupo Finmart, our 76% owned subsidiary, and TUYO, our 59% owned subsidiary, is the Mexican peso. The functional currency of our wholly owned foreign subsidiary in Canada is the Canadian dollar.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expense” in our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We account for stock compensation in accordance with the fair value recognition provisions of FASB ASC 718-10-25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fair value of restricted shares is measured at the closing market price of our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 for both cliff vesting and pro-rata vesting grants.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account for treasury stock under the cost method. When treasury stock is re-issued, proceeds in excess of cost are recorded as a component of additional paid-in capital in our consolidated balance sheets. Any deficiency is recorded as a component of additional paid-in capital to the extent that there are previously recorded gains to offset the losses. If there are no treasury stock gains in additional paid-in capital, the losses upon re-issuance of treasury stock are recorded as a component of retained earnings in our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 to our consolidated financial statements included in “Part II — Item 8 — Financial Statements and Supplementary Data”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2014 Compared to Fiscal 2013</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compares our results of operations for the year ended September 30, 2014 to the year ended September 30, 2013. It should be read with the accompanying consolidated financial statements and related notes.</w:t>
      </w:r>
    </w:p>
    <w:p>
      <w:pPr>
        <w:spacing w:after="0" w:line="11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fiscal 2014, consolidated total revenues increased 1%, or $8.4 million, to $988.5 million, compared to the prior year. Same store total revenues decreased $17.1 million, or 2%, and new stores net of closed stores contributed $25.5 million. Income from continuing operations before taxes decreased 29% to $72.7 million from $102.5 million in the prior year. Loss from discontinued operations, net of tax, increased $59.0 million to $93.4 million. Excluding goodwill and termination costs, loss from discontinued operations before taxes decreased $1.9 million to $14.3 million. Net income attributable to noncontrolling interest decreased $0.1 million, or 3%. Net income attributable to EZCORP decreased $79.8 million, resulting in a loss of $45.7 million in fiscal 2014.</w:t>
      </w:r>
    </w:p>
    <w:p>
      <w:pPr>
        <w:spacing w:after="0" w:line="10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fourth quarter of fiscal 2014, as part of our new strategy to concentrate on an integrated, customer-centric financial services model that is focused on our core businesses of pawn and unsecured lending, we implemented a plan to exit our online lending businesses in the United States and the United Kingdom. During the fourth quarter of fiscal 2014, we conducted a company-wide operational review to realign our organization to streamline operations and create synergies and efficiencies. The operational review resulted in the reduction of non-customer-facing overhead. These organizational actions are expected to generate a sustainable improvement to net income of approximately $9.0 million annually, after the reinvestment of some of the savings in existing stores.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consolidated financial data for fiscal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264"/>
        </w:trPr>
        <w:tc>
          <w:tcPr>
            <w:tcW w:w="7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387,331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368,766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248,378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251,354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219,752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37,045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988,532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980,121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247,393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218,617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96,133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53,206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40,667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615,097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624,704</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51,894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72,877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(34,452)</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38,425</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loss from discontinued operations attributable to redeemable noncontrolling interest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34,077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156,637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64,683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139,419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145,200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70,294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Consumer loans outstanding with unaffiliated lenders (1)</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22,553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earning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432,452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465,985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CSO loans are not recorded in our consolidated balance sheets.</w:t>
      </w:r>
    </w:p>
    <w:p>
      <w:pPr>
        <w:spacing w:after="0" w:line="163" w:lineRule="exact"/>
        <w:rPr>
          <w:sz w:val="20"/>
          <w:szCs w:val="20"/>
          <w:color w:val="auto"/>
        </w:rPr>
      </w:pPr>
    </w:p>
    <w:p>
      <w:pPr>
        <w:ind w:left="60" w:right="280"/>
        <w:spacing w:after="0" w:line="279" w:lineRule="auto"/>
        <w:rPr>
          <w:sz w:val="20"/>
          <w:szCs w:val="20"/>
          <w:color w:val="auto"/>
        </w:rPr>
      </w:pPr>
      <w:r>
        <w:rPr>
          <w:rFonts w:ascii="Arial" w:cs="Arial" w:eastAsia="Arial" w:hAnsi="Arial"/>
          <w:sz w:val="17"/>
          <w:szCs w:val="17"/>
          <w:color w:val="auto"/>
        </w:rPr>
        <w:t>In fiscal 2014, net income from continuing operations attributable to EZCORP was $47.7 million compared to $68.5 million during prior year. This $20.8 million decrease is primarily due to a $9.6 million decrease in net revenues mostly due to a decrease in merchandise and scrap sales gross profit and an increase in consumer loan bad debt, offset by an increase in consumer loan sales and other revenues, and a $43.9 million increase in operating expenses, partially offset by a $23.8 million decrease in non-operating expenses and a $8.8 million decrease in income tax expense.</w:t>
      </w:r>
    </w:p>
    <w:p>
      <w:pPr>
        <w:spacing w:after="0" w:line="63"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Total revenues for fiscal 2014 were $988.5 million compared to $980.1 million in the prior year. Excluding jewelry scrapping sales, total revenues increased $43.9 million, or 5%, driven by increased merchandise sales and consumer loan fee growth in the United States and Latin America, and Grupo Finmart’s structured asset sales.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 increased by $43.9 million, or 9% from the prior year. This increase is due to:</w:t>
      </w:r>
    </w:p>
    <w:p>
      <w:pPr>
        <w:spacing w:after="0" w:line="63" w:lineRule="exact"/>
        <w:rPr>
          <w:sz w:val="20"/>
          <w:szCs w:val="20"/>
          <w:color w:val="auto"/>
        </w:rPr>
      </w:pPr>
    </w:p>
    <w:p>
      <w:pPr>
        <w:jc w:val="both"/>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$31.0 million increase in operations expense primarily due to a $19.8 million increase in labor, benefits and bonuses driven by commissions on new loan originations at Grupo Finmart, a $3.9 million increase in rent due primarily to operating costs at new and acquired stores opened during fiscal 2013 and 2014 and a $4.1 million increase in other and professional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$9.3 million increase in administrative expense primarily due to discretionary bonuses awarded in November 2013, the one-time retirement benefit for our long-time Executive Chairman of $8.0 million, and the one-time charges relating to reorganization and outsourcing of our internal audit department to a global advisory services firm;</w:t>
      </w:r>
    </w:p>
    <w:p>
      <w:pPr>
        <w:spacing w:after="0" w:line="19"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$3.9 million increase in depreciation and amortization expenses due to assets placed in service as we continue to invest in the infrastructure to support our growth;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$6.7 million one-time restructuring charge;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$7.0 million gain on sale or disposal of assets, primarily due to the sale of seven U.S. pawn stores.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decreased by $23.8 million, or 50% from the prior year. This decrease is primarily due to:</w:t>
      </w:r>
    </w:p>
    <w:p>
      <w:pPr>
        <w:spacing w:after="0" w:line="63" w:lineRule="exact"/>
        <w:rPr>
          <w:sz w:val="20"/>
          <w:szCs w:val="20"/>
          <w:color w:val="auto"/>
        </w:rPr>
      </w:pPr>
    </w:p>
    <w:p>
      <w:pPr>
        <w:ind w:left="660" w:right="3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less impairment of investment charges during the current fiscal year. During the current fiscal year, we adjusted our remaining investment in Albemarle &amp; Bond down to zero, resulting in a $7.9 million write-off before tax, compared to a $44.6 million write-off in the prior fiscal year; partially offset by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$7.7 million increase in interest expense, net primarily due to a higher weighted average debt outstanding as compared to the prior year; and</w:t>
      </w:r>
    </w:p>
    <w:p>
      <w:pPr>
        <w:spacing w:after="0" w:line="74" w:lineRule="exact"/>
        <w:rPr>
          <w:rFonts w:ascii="Arial" w:cs="Arial" w:eastAsia="Arial" w:hAnsi="Arial"/>
          <w:sz w:val="17"/>
          <w:szCs w:val="17"/>
          <w:color w:val="auto"/>
        </w:rPr>
      </w:pPr>
    </w:p>
    <w:p>
      <w:pPr>
        <w:ind w:left="660" w:right="8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$5.9 million decrease in our equity in the net income of unconsolidated affiliates primarily due to a profit decline at Cash Converters International attributable to an interest rate cap commencing in Australia on July 1, 2013, which impacted both margins and volumes. The decrease in Cash Converters International financial service operations was partially offset by increases in profitability of store and franchise operations. Income from unconsolidated affiliates was also impacted due to Albemarle &amp; Bond no longer reporting any earnings.</w:t>
      </w:r>
    </w:p>
    <w:p>
      <w:pPr>
        <w:spacing w:after="0" w:line="63" w:lineRule="exact"/>
        <w:rPr>
          <w:sz w:val="20"/>
          <w:szCs w:val="20"/>
          <w:color w:val="auto"/>
        </w:rPr>
      </w:pPr>
    </w:p>
    <w:p>
      <w:pPr>
        <w:ind w:left="60" w:right="100"/>
        <w:spacing w:after="0" w:line="302" w:lineRule="auto"/>
        <w:rPr>
          <w:sz w:val="20"/>
          <w:szCs w:val="20"/>
          <w:color w:val="auto"/>
        </w:rPr>
      </w:pPr>
      <w:r>
        <w:rPr>
          <w:rFonts w:ascii="Arial" w:cs="Arial" w:eastAsia="Arial" w:hAnsi="Arial"/>
          <w:sz w:val="16"/>
          <w:szCs w:val="16"/>
          <w:color w:val="auto"/>
        </w:rPr>
        <w:t>Net earning assets, including our CSO loans, were $432.5 million at year-end, an overall decrease of 7% from the prior year. This was primarily a result of a 42% and 23% decrease in net non-current consumer loans and consumer loans outstanding with unaffiliated lenders, respectively, as a result of the sale of Grupo Finmart portfolios during fiscal 2014 and regulatory changes in Texas. Furthermore, inventory decreased by 4% from the prior year due to our efforts to drive increased turnover. These decreases were partially offset by a 4% and 5% increase in pawn loans and net consumer loans,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from continuing operations for the U.S. &amp; Canada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327,720</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310,521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89,941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123,162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217,891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221,775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165,397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169,291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803,031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828,560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Merchandise cost of goods sold</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205,349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183,147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67,029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88,637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bad debt</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46,339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40,780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484,314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515,996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335,881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325,795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17,265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(Gain) loss on sale or disposal of assets</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137,410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173,772</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308,117</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315,086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&amp; Canada segment total revenues decreased $25.5 million, or 3%, from the prior year to $803.0 million. Same store total revenues decreased $43.4 million, or 5%, and new stores net of closed stores contributed $17.9 million. The overall decrease in total revenues was primarily due to a $33.2 million decrease in jewelry scrapping sales. Excluding jewelry scrapping sales, total revenues increased $7.7 million, or 1%. The increase consisted of a $17.2 million increase in merchandise sales, offset by a $3.9 million decrease in pawn service charges and a $5.6 million decrease in consumer loan fees and interest and consumer loan sales and other revenues. In fiscal 2014, we opened 25 de novo locations bringing our total number of stores in the U.S. &amp; Canada segment to 1,044.</w:t>
      </w:r>
    </w:p>
    <w:p>
      <w:pPr>
        <w:spacing w:after="0" w:line="13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Fiscal 2014 pawn service charge revenue decreased $3.9 million, or 2%, from the prior year to $217.9 million. The overall decrease in pawn service charge revenue was primarily due to an average pawn loan balance decrease of 2% from the prior year, while the average yield remained flat at 161%.</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Fiscal 2014 merchandise sales increased $17.1 million, or 6%, primarily due to an increase in jewelry sales. The increase in jewelry sales was due to a shift in strategy to retailing jewelry rather than scrapping it. Merchandise sales gross profit decreased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$5.0 million, or 4%, from the prior year to $122.4 million. The decrease in gross profit was primarily due to an increase in cost of goods sold as a result of an increase in online sales fees and an increase in our inventory reserve due to declining gold prices. Inventory turned 2.3 times as compared to 2.6 times for the prior fiscal year.</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on jewelry scrapping sales decreased $11.6 million, or 34%, from the prior year to $22.9 million. Jewelry scrapping revenues decreased $33.2 million, or 27%, primarily due to a 17% decrease in proceeds realized per gram of gold jewelry scrapped, coupled with a 17% decrease in gold volume. Same store jewelry scrapping sales decreased $38.6 million, or 31%, and new and acquired stores contributed $5.4 million. Jewelry scrapping sales include the sale of approximately $12.1 million of loose diamonds removed from scrap jewelry in fiscal 2014 and $11.3 million in the prior year. As a result of the decrease in volume, scrap cost of goods decreased $21.6 million, or 24%.</w:t>
      </w:r>
    </w:p>
    <w:p>
      <w:pPr>
        <w:spacing w:after="0" w:line="1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Fiscal 2014 consumer loan fees and interest decreased $3.9 million, or 2%, from the prior year to $165.4 million, despite a 5% increase in the average consumer loans outstanding during the period to $46.3 million. Total consumer loan bad debt increased $5.6 million, or 14%, from the prior year to $46.3 million. The overall decrease in consumer loan fees was primarily due to the introduction of lower-yielding products in Texas ordinance cities and higher duration products attributable to new customers acquired which generated higher-than-anticipated bad debt. Total U.S. &amp; Canada segment expenses increased to $346.9 million (43% of revenues) in fiscal 2014 from $342.2 million (41% of revenues) in the prior year. Operations expense increased $10.1 million, or 3%, primarily due to a $7.0 million increase in labor and benefits, and a $3.2 million increase in rent, partially offset by a slight decrease in other operating expenses. Depreciation and amortization increased $1.5 million, or 9%, from the prior year to $17.7 million, primarily due to assets placed in service at new stores. (Gain) or loss on sale of disposal of assets was $6.6 million in fiscal 2014, an increase of $6.8 million from the prior year due primarily to the gain realized on sale of seven U.S. pawn stores (three in Louisiana, two in Mississippi, one in Alabama and one in Florida).</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2014, the U.S. &amp; Canada segment delivered a contribution of $137.4 million, a $36.4 million, or 21%, decrease compared to the prior year. For fiscal 2014, the U.S. &amp; Canada segment contribution represented 81% of consolidated segment contribution compared to 82% in the prior year, excluding impairment expense in the Other International segment.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Latin America segment after translation to U.S. dollars from its functional currency of the Mexican peso:</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8"/>
              </w:rPr>
              <w:t>Fiscal Year Ended September 30,</w:t>
            </w:r>
          </w:p>
        </w:tc>
        <w:tc>
          <w:tcPr>
            <w:tcW w:w="0" w:type="dxa"/>
            <w:vAlign w:val="bottom"/>
          </w:tcPr>
          <w:p>
            <w:pPr>
              <w:spacing w:after="0"/>
              <w:rPr>
                <w:sz w:val="1"/>
                <w:szCs w:val="1"/>
                <w:color w:val="auto"/>
              </w:rPr>
            </w:pPr>
          </w:p>
        </w:tc>
      </w:tr>
      <w:tr>
        <w:trPr>
          <w:trHeight w:val="264"/>
        </w:trPr>
        <w:tc>
          <w:tcPr>
            <w:tcW w:w="8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4"/>
          </w:tcPr>
          <w:p>
            <w:pPr>
              <w:jc w:val="right"/>
              <w:ind w:right="731"/>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56"/>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59,611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58,245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30,487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29,579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50,461</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34,963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185,501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150,022</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Merchandise cost of goods sold</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42,044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35,470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Consumer loan bad debt (benefit)</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130,783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107,169</w:t>
            </w:r>
          </w:p>
        </w:tc>
        <w:tc>
          <w:tcPr>
            <w:tcW w:w="0" w:type="dxa"/>
            <w:vAlign w:val="bottom"/>
          </w:tcPr>
          <w:p>
            <w:pPr>
              <w:spacing w:after="0"/>
              <w:rPr>
                <w:sz w:val="1"/>
                <w:szCs w:val="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84,469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62,496</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3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25,441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26,662</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84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84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123,786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135,891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480" w:type="dxa"/>
            <w:vAlign w:val="bottom"/>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43"/>
        </w:trPr>
        <w:tc>
          <w:tcPr>
            <w:tcW w:w="8480" w:type="dxa"/>
            <w:vAlign w:val="bottom"/>
          </w:tcPr>
          <w:p>
            <w:pPr>
              <w:ind w:left="280"/>
              <w:spacing w:after="0"/>
              <w:rPr>
                <w:sz w:val="20"/>
                <w:szCs w:val="20"/>
                <w:color w:val="auto"/>
              </w:rPr>
            </w:pPr>
            <w:r>
              <w:rPr>
                <w:rFonts w:ascii="Arial" w:cs="Arial" w:eastAsia="Arial" w:hAnsi="Arial"/>
                <w:sz w:val="18"/>
                <w:szCs w:val="18"/>
                <w:color w:val="auto"/>
              </w:rPr>
              <w:t>Consumer loan bad debt expense as a percentage of consumer loan fees and interest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average exchange rate used to translate Latin America's results from Mexican pesos to U.S. dollars was 13.1 to 1, which was 3% higher than the prior year's rate of 12.7 to 1. In fiscal 2014, we opened six de novo locations bringing our total number of stores in the Latin America segment to 314, operating under the brands Crediamigo, Adex, Empeño Fácil and TUYO.</w:t>
      </w:r>
    </w:p>
    <w:p>
      <w:pPr>
        <w:spacing w:after="0" w:line="12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Latin America segment's total revenues increased $35.5 million, or 24%, in fiscal 2014 to $185.5 million. Same store total revenues increased $27.7 million, or 18%, and new stores contributed $7.8 million. The overall increase in total revenues was due to a $31.8 million increase in consumer loan sales and other revenues, a $3.6 million increase in consumer loan fees and interest, a $1.4 million increase in merchandise sales and a $0.9 million increase in pawn service charges, partially offset by a $2.2 million decrease in jewelry scrapping sales.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Latin America segment's pawn service charge revenues increased $0.9 million, or 3%, in fiscal 2014 to $30.5 million. The total increase was primarily due to a slight increase in the average outstanding pawn loan balance during the period, in addition to a 6.0 percentage point increase in the average pawn yield.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Merchandise sales gross profit decreased $5.2 million, or 23%, from the prior year to $17.6 million. The decrease was primarily due to a $3.2 million, or 5%, same store sales decrease, partially offset by a $4.5 million increase in contribution from new stores. Gross margins decreased 10% percentage points to 29% primarily due to an increase in merchandise cost of goods sold. The increase in merchandise cost of goods sold is due inventory write-downs in order to move aged inventory in addition to an increase in our inventory reserve as a result of increases in aged merchandise. Inventory turned 2.3 times as compared to 2.5 times for the prior fiscal year.</w:t>
      </w:r>
    </w:p>
    <w:p>
      <w:pPr>
        <w:spacing w:after="0" w:line="13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Gross profit on jewelry scrapping sales decreased $0.5 million, or 53%, from the prior year to $0.5 million. Jewelry scrapping revenues decreased $2.2 million, or 26%, in fiscal 2014, to $6.3 million. The decrease was primarily due to a 10% decrease in proceeds realized per gram of gold jewelry scrapped coupled with a 10% decrease in gold volume processed. Same store jewelry scrapping sales decreased $2.8 million, or 33%, and new and acquired stores contributed $0.6 million. Scrap cost of goods decreased $1.7 million, or 23%, due to the decrease in volume.</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Consumer loan fees and interest increased $3.7 million, or 7%, from the prior year to $54.1 million. The increase is primarily due to a 19% increase in the average outstanding consumer loan balance during the period. The increase in the loan balance is due to a 30% increase in loan originations as a result of higher penetration on existing contracts with government entities, coupled with the addition of new contracts in fiscal 2014.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Consumer loan sales and other revenues increased $31.8 million from the prior year to $35.0 million. The increase is primarily a result of several structured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asset sales of consumer loan portfolios by Grupo Finmart for total consideration of $117.4 million. As part of these transactions, we recorded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$33.0 million, partially offset by commission and other related expenses. Grupo Finmart began using structured asset sales in the first quarter of fiscal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Grupo Finmart operates as a distributor, while continuing to service customer loans. Grupo Finmart will continue to grow the loan portfolio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 as sell a portion of the portfolio on a regular basis. Grupo Finmart expects to sell approximately 60% of the portfolio during fiscal 2015. The hybrid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approach is an important competitive advantage for the business that allows for maximum flexibility, healthy diversification in funding sources and consistent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availability of capital for growth.</w:t>
      </w:r>
    </w:p>
    <w:p>
      <w:pPr>
        <w:spacing w:after="0" w:line="197" w:lineRule="exact"/>
        <w:rPr>
          <w:sz w:val="20"/>
          <w:szCs w:val="20"/>
          <w:color w:val="auto"/>
        </w:rPr>
      </w:pPr>
    </w:p>
    <w:p>
      <w:pPr>
        <w:jc w:val="both"/>
        <w:ind w:right="280"/>
        <w:spacing w:after="0" w:line="395" w:lineRule="auto"/>
        <w:rPr>
          <w:sz w:val="20"/>
          <w:szCs w:val="20"/>
          <w:color w:val="auto"/>
        </w:rPr>
      </w:pPr>
      <w:r>
        <w:rPr>
          <w:rFonts w:ascii="Arial" w:cs="Arial" w:eastAsia="Arial" w:hAnsi="Arial"/>
          <w:sz w:val="16"/>
          <w:szCs w:val="16"/>
          <w:color w:val="auto"/>
        </w:rPr>
        <w:t>Total consumer loan bad debt increased $7.0 million, from the prior year to $6.9 million. The increase is primarily due to an increase in bad debt reserves after a government agency offered early retirement to its workers, which increased the number of loans outside of the automatic payroll deduction system.</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Total Latin America segment expenses increased to $105.3 million (57% of revenues) in fiscal 2014 from $80.5 million (54% of revenues)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due to a $22.0 million, or 35%, increase in operations expenses due to:</w:t>
      </w:r>
    </w:p>
    <w:p>
      <w:pPr>
        <w:spacing w:after="0" w:line="157" w:lineRule="exact"/>
        <w:rPr>
          <w:sz w:val="20"/>
          <w:szCs w:val="20"/>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overall increase in commissions of $12.9 million attributable to new loan originations at Grupo Finmart and accelerated commissions due to the sale of Grupo Finmart loan portfolios in fiscal 2014;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$3.4 million increase in professional fees including legal, accounting and consulting services to support our Latin America operations;</w:t>
      </w:r>
    </w:p>
    <w:p>
      <w:pPr>
        <w:spacing w:after="0" w:line="182"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$3.1 million increase in other operating expenses due to the full year inclusion of stores opened during fiscal 2013 in addition to stores opened during fiscal 2014 and increases in costs at Grupo Finmart;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$1.0 million, $0.7 million and $0.9 million increase in advertising, rent and general taxes, respectively.</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increased $0.9 million from the prior year to $7.9 million, primarily due to depreciation of assets placed in service at new stores.</w:t>
      </w:r>
    </w:p>
    <w:p>
      <w:pPr>
        <w:spacing w:after="0" w:line="11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$4.0 million increase in interest expense was due to a higher weighted average debt outstanding as compared to the prior year, partially offset by a decrease in the weighted average rate on Grupo Finmart's third party debt to 9% from 11% in the prior year on outstanding debt of $144.4 million at September 30, 2014.</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fiscal 2014, the $23.6 million increase in net revenues was offset by a $24.8 million increase in segment expenses, resulting in a $1.2 million decrease in contribution for the Latin America segment from the prior year. For fiscal 2014, the Latin America segment contribution remained at 16% of consolidated segment contribution as compared to the prior year.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2013</w:t>
            </w:r>
          </w:p>
        </w:tc>
      </w:tr>
      <w:tr>
        <w:trPr>
          <w:trHeight w:val="196"/>
        </w:trPr>
        <w:tc>
          <w:tcPr>
            <w:tcW w:w="8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i w:val="1"/>
                <w:iCs w:val="1"/>
                <w:color w:val="auto"/>
                <w:w w:val="97"/>
              </w:rPr>
              <w:t>(dollars in thousands)</w:t>
            </w:r>
          </w:p>
        </w:tc>
        <w:tc>
          <w:tcPr>
            <w:tcW w:w="9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1,539</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Equity in net income of unconsolidated affiliates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(5,948)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(11,878)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44,598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loss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equity in the net income of unconsolidated affiliates decreased $5.9 million, or 50%, from the prior year to $5.9 million. The decrease was due to a $2.5 million, or 26%, decrease from Cash Converters International and a $3.4 million decrease due to Albemarle &amp; Bond no longer reporting any earnings. The decrease in Cash Converters International was due to an interest rate cap commencing in Australia on July 1, 2013, which impacted both margins and volumes. The decrease in Cash Converters International financial services operations was partially offset by increases in profitability of store and franchise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160,744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6,822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102,459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29,582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51,894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72,877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38,425</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redeemable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 from discontinued operations attributable to redeemable noncontrolling interest</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34,077</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Total corporate expenses increased $22.5 million to $88.0 million. The increase was due primarily to a $9.3 million increase in administrative expenses, a $1.5 million increase in depreciation and amortization, a $3.7 million increase in interest expense, and a $6.7 million restructuring charge.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administrative expenses was primarily due to a one-time retirement benefit for our long-time Executive Chairman of $8.0 million in addition to discretionary bonuses awarded in November 2013.</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depreciation and amortization was primarily due to assets placed in service as part of our multi-year information technology plan.</w:t>
      </w:r>
    </w:p>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2014, we strengthened our financial flexibility by raising $230 million through a private convertible debt offering, which enabled us to repay all outstanding borrowings under the senior secured credit agreement. Interest expense increased $3.7 million, or 96%, due to significantly higher average debt outstanding in addition to the accelerated amortization of $0.7 million of deferred financing costs related to our senior secured credit agreement and $2.1 million of debt discount amortization.</w:t>
      </w:r>
    </w:p>
    <w:p>
      <w:pPr>
        <w:spacing w:after="0" w:line="1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If fiscal 2014, we announced a restructuring plan aimed to align our organization with our core business objective, which is to provide efficient, effective and economical instant cash solutions for our customers. During the year we reduced the non-customer-facing overhead structure in all of our businesses in order to streamline operations and create synergies and efficiencies. Due to the reorganization plan, we incurred $6.7 million in restructuring charges.</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income from continuing operations before income taxes decreased $29.8 million, or 29%, to $72.7 million. The overall decrease was due to decreases in contribution of $36.4 million and $1.2 million from the U.S. &amp; Canada and Latin America segments, respectively, and a $22.5 million increase in corporate expenses, partially offset by a $30.3 million decrease in segment loss from the Other International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fiscal 2014, income tax expense decreased $8.8 million, or 30%, to $20.8 million. The fiscal 2014 effective tax rate remained at 29%.</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2014, we announced our exit from the online lending markets in the U.S. and the U.K. As a result, we incurred $103.1 million in termination costs from our discontinued operations. This amount includes $84.2 million in goodwill impairment charges, $11.8 million in long-lived assets impairments, $7.6 million of estimated costs related to regulatory compliance, employee severance and accelerated amortization of prepaid expenses and other assets, $2.9 million in asset write-downs to liquidation value and $1.5 million in lease termination costs, partially offset by a $4.8 million reversal of contingent consideration payable. Additionally, in fiscal 2014, operational losses from discontinued operations decreased $1.9 million, or 11%, to $14.3 million and the income tax benefit due to discontinued operations increased $16.1 million to $20.1 million. As a result loss from discontinued operations increased $59.0 million to $93.4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2014 net income attributable to EZCORP, Inc. decreased $79.8 million, resulting in a loss of $45.7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2013 Compared to Fiscal 2012</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discussion compares our results of operations for the year ended September 30, 2013 to the year ended September 30, 2012. It should be read with the accompanying consolidated financial statements and related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consolidated financial data for our fiscal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Fiscal Year Ended September 30,</w:t>
            </w:r>
          </w:p>
        </w:tc>
        <w:tc>
          <w:tcPr>
            <w:tcW w:w="1380" w:type="dxa"/>
            <w:vAlign w:val="bottom"/>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Percentage Change</w:t>
            </w:r>
          </w:p>
        </w:tc>
      </w:tr>
      <w:tr>
        <w:trPr>
          <w:trHeight w:val="264"/>
        </w:trPr>
        <w:tc>
          <w:tcPr>
            <w:tcW w:w="7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368,766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333,064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202,481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251,354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233,538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190,746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964,502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218,617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190,637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130,715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40,667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35,639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624,704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607,511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72,877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155,920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38,425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150,577</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w w:val="99"/>
              </w:rPr>
              <w:t>Net (loss) income from discontinued operations attributable to redeemable noncontrolling</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34,077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143,708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156,637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157,648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34,152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145,200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109,214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consumer loans,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61,997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Consumer loans outstanding with unaffiliated lenders (1)</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25,484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earning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465,985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388,495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CSO loans are not recorded in our consolidated balance sheets.</w:t>
      </w:r>
    </w:p>
    <w:p>
      <w:pPr>
        <w:spacing w:after="0" w:line="163" w:lineRule="exact"/>
        <w:rPr>
          <w:sz w:val="20"/>
          <w:szCs w:val="20"/>
          <w:color w:val="auto"/>
        </w:rPr>
      </w:pPr>
    </w:p>
    <w:p>
      <w:pPr>
        <w:ind w:left="60" w:right="100"/>
        <w:spacing w:after="0" w:line="255" w:lineRule="auto"/>
        <w:rPr>
          <w:sz w:val="20"/>
          <w:szCs w:val="20"/>
          <w:color w:val="auto"/>
        </w:rPr>
      </w:pPr>
      <w:r>
        <w:rPr>
          <w:rFonts w:ascii="Arial" w:cs="Arial" w:eastAsia="Arial" w:hAnsi="Arial"/>
          <w:sz w:val="18"/>
          <w:szCs w:val="18"/>
          <w:color w:val="auto"/>
        </w:rPr>
        <w:t>In fiscal 2013, net income from continuing operations attributable to EZCORP was $68.5 million compared to $149.2 million during fiscal 2012. This $80.7 million decrease is attributable to a $36.2 million decrease in jewelry scrapping profit, a $5.0 million increase in consumer loan bad debt, a $74.3 million increase in total operating expenses, a $16.7 million increase in net interest expense, a $5.5 million decrease in equity in net income of unconsolidated affiliates a $44.6 million impairment of investments and a $0.7 million decrease in other income, partially offset by a $29.0 million increase in consumer loan fees and interest, a $17.8 million increase in pawn service charges, a $3.9 million increase in other revenues, a $7.7 million increase in merchandise sales profit, a $41.6 million decrease in income tax expense and a $2.3 million decrease in net income from continuing operations attributable to redeemable noncontrolling interest.</w:t>
      </w:r>
    </w:p>
    <w:p>
      <w:pPr>
        <w:spacing w:after="0" w:line="135" w:lineRule="exact"/>
        <w:rPr>
          <w:sz w:val="20"/>
          <w:szCs w:val="20"/>
          <w:color w:val="auto"/>
        </w:rPr>
      </w:pPr>
    </w:p>
    <w:p>
      <w:pPr>
        <w:ind w:left="60" w:right="80"/>
        <w:spacing w:after="0" w:line="264" w:lineRule="auto"/>
        <w:rPr>
          <w:sz w:val="20"/>
          <w:szCs w:val="20"/>
          <w:color w:val="auto"/>
        </w:rPr>
      </w:pPr>
      <w:r>
        <w:rPr>
          <w:rFonts w:ascii="Arial" w:cs="Arial" w:eastAsia="Arial" w:hAnsi="Arial"/>
          <w:sz w:val="18"/>
          <w:szCs w:val="18"/>
          <w:color w:val="auto"/>
        </w:rPr>
        <w:t>Total fiscal 2013 revenues were $980.1 million compared to $964.5 million in fiscal 2012. Excluding jewelry scrapping sales, total revenues increased $86.4 million, or 11%, driven by consumer loan fees and interest by Grupo Finmart and increases in merchandise sales and pawn service charges in the United States and Mexico.</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 increased by $74.3 million, or 19%. This increase is mainly attributable to:</w:t>
      </w:r>
    </w:p>
    <w:p>
      <w:pPr>
        <w:spacing w:after="0" w:line="171" w:lineRule="exact"/>
        <w:rPr>
          <w:sz w:val="20"/>
          <w:szCs w:val="20"/>
          <w:color w:val="auto"/>
        </w:rPr>
      </w:pPr>
    </w:p>
    <w:p>
      <w:pPr>
        <w:ind w:left="660" w:right="2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$60.6 million, or 18%, increase in operations expense primarily due to a $31.2 million increase in labor and benefits driven by the increase in store count and commissions on new loan originations at Grupo Finmart, and a $29.4 million increase in other operating expenses driven by the increase in store count and a full year inclusion of Grupo Finmart in fiscal 2013 compared to eight months in fiscal 2012.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$4.6 million, or 10%, increase in administrative expenses including increases in labor, benefits and professional fees associated with supporting accelerated growth of the de novo and international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$7.5 million, or 32%, increase in depreciation and amortization due associated with assets placed in service at new and acquired stores.</w:t>
      </w:r>
    </w:p>
    <w:p>
      <w:pPr>
        <w:spacing w:after="0" w:line="183" w:lineRule="exact"/>
        <w:rPr>
          <w:sz w:val="20"/>
          <w:szCs w:val="20"/>
          <w:color w:val="auto"/>
        </w:rPr>
      </w:pPr>
    </w:p>
    <w:p>
      <w:pPr>
        <w:ind w:left="60" w:right="520"/>
        <w:spacing w:after="0" w:line="277" w:lineRule="auto"/>
        <w:rPr>
          <w:sz w:val="20"/>
          <w:szCs w:val="20"/>
          <w:color w:val="auto"/>
        </w:rPr>
      </w:pPr>
      <w:r>
        <w:rPr>
          <w:rFonts w:ascii="Arial" w:cs="Arial" w:eastAsia="Arial" w:hAnsi="Arial"/>
          <w:sz w:val="18"/>
          <w:szCs w:val="18"/>
          <w:color w:val="auto"/>
        </w:rPr>
        <w:t>Net earning assets, including our CSO loans, were $466.0 million at year-end, an overall increase of 20%. This was primarily a result of an increase in consumer loans at Grupo Finmart and a 33% increase in inventory.</w:t>
      </w:r>
    </w:p>
    <w:p>
      <w:pPr>
        <w:spacing w:after="0" w:line="11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from continuing operations for the U.S. &amp; Canada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310,521</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291,497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123,162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191,905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221,775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210,601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169,291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163,845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828,560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861,229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Merchandise cost of goods sold</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183,147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168,133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88,637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122,604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Consumer loan bad debt</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40,780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35,330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515,996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535,162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325,795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291,534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13,075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Loss (gain) on sale or disposal of assets</w:t>
            </w:r>
          </w:p>
        </w:tc>
        <w:tc>
          <w:tcPr>
            <w:tcW w:w="40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173,772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230,896</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U.S. &amp; Canada segment total revenues decreased $32.7 million, or 4%, from the prior year to $828.6 million. Same store total revenues decreased</w:t>
      </w:r>
    </w:p>
    <w:p>
      <w:pPr>
        <w:spacing w:after="0" w:line="3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$79.7 million, or 9%, and new and acquired stores net of closed stores contributed $47.0 million. The overall decrease in total revenues was primarily due to a $68.7 million decrease in jewelry scrapping sales. Excluding jewelry scrapping sales, total revenues increased $36.1 million, or 5%. The increase consisted of a $19.0 million increase in merchandise sales, an $11.2 million increase in pawn service charges and a $5.9 million increase in loan fees and other revenues.</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fiscal 2013, we acquired 12 pawn stores in the U.S. for $23.1 million and began operations in the state of Arizona. In fiscal 2013, we opened 84 de novo locations bringing our total number of stores in the U.S. &amp; Canada segment to 1,030.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Fiscal 2013 pawn service charge revenue increased 5%, or $11.2 million, from fiscal 2012 to $221.8 million. Same store pawn service charges increased</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$3.8 million, or 2%, with new and acquired stores net of closed stores contributing $7.4 million. The same store improvement was due to a slight increase in the average yield. The yield improved primarily due to a higher loan redemption rate as we continued to focus on loan values and better qualifying customers to determine those that prefer to sell their merchandise rather than use it as collateral for a loan.</w:t>
      </w:r>
    </w:p>
    <w:p>
      <w:pPr>
        <w:spacing w:after="0" w:line="1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Fiscal 2013 merchandise sales gross profit increased $4.0 million, or 3%, from fiscal 2012 to $127.4 million. This was due to a $3.3 million increase in same store sales and a $15.7 million increase in sales from new and acquired stores net of closed stores, partially offset by a slight decrease in gross margins. The decrease in gross margins was due to a shift in sales mix from jewelry to general merchandise.</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Gross profit on jewelry scrapping sales decreased $34.8 million, or 50%, from the prior year to $34.5 million. Jewelry scrapping revenues decreased $68.7 million, or 36%, due to a 4% decrease in proceeds realized per gram of gold jewelry scrapped, coupled with a 35% decrease in gold volume. Same store jewelry scrapping sales decreased $80.3 million, or 42%, and new and acquired stores contributed $11.6 million. Jewelry scrapping sales include the sale of approximately $11.3 million of loose diamonds removed from scrap jewelry in fiscal 2013 and $10.8 million in fiscal 2012. As a result of the decrease in volume, jewelry scrapping cost of goods decreased $34.0 million.</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Total segment expenses increased to $342.2 million (41% of revenues) in fiscal 2013 from $304.3 million (35% of revenues) in the prior year. Operations expense increased 12%, or $34.3 million, due to a $13.6 million increase in labor and benefits and a $20.7 million increase in operating costs at new and acquired stores and additional investments made in infrastructure to support our growth. Depreciation and amortization increased 19%, or $2.6 million, from fiscal 2012 to $16.2 million, mainly due to assets placed in service at new and acquired stores.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2013, the U.S. &amp; Canada segment delivered contribution of $173.8 million, a $57.1 million, or 25% decrease compared to fiscal 2012. For fiscal 2013, the U.S. &amp; Canada segment contribution represented 82% of consolidated segment contribution compared to 81% in the prior year, excluding impairment expense in the Other International segment. The U.S &amp; Canada segment has experienced significant challenges related to jewelry merchandise sales and gold scrap sales; however, other elements of the business have continued to show strength, offsetting to a large extent the challenges in the gold and jewelry market.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Latin America segment after translation to U.S. dollars from its functional currency of the Mexican peso:</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Fiscal Year Ended September 30,</w:t>
            </w:r>
          </w:p>
        </w:tc>
        <w:tc>
          <w:tcPr>
            <w:tcW w:w="0" w:type="dxa"/>
            <w:vAlign w:val="bottom"/>
          </w:tcPr>
          <w:p>
            <w:pPr>
              <w:spacing w:after="0"/>
              <w:rPr>
                <w:sz w:val="1"/>
                <w:szCs w:val="1"/>
                <w:color w:val="auto"/>
              </w:rPr>
            </w:pPr>
          </w:p>
        </w:tc>
      </w:tr>
      <w:tr>
        <w:trPr>
          <w:trHeight w:val="264"/>
        </w:trPr>
        <w:tc>
          <w:tcPr>
            <w:tcW w:w="79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Merchandise sales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58,245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41,567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sales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Pawn service charges</w:t>
            </w:r>
          </w:p>
        </w:tc>
        <w:tc>
          <w:tcPr>
            <w:tcW w:w="42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 fees and interest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50,461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26,901</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42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103,273</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Merchandise cost of goods sold</w:t>
            </w:r>
          </w:p>
        </w:tc>
        <w:tc>
          <w:tcPr>
            <w:tcW w:w="42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22,504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Jewelry scrapping cost of goods sold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Consumer loan bad debt (benefit)</w:t>
            </w:r>
          </w:p>
        </w:tc>
        <w:tc>
          <w:tcPr>
            <w:tcW w:w="4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107,169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72,349</w:t>
            </w: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62,496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37,259</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420" w:type="dxa"/>
            <w:vAlign w:val="bottom"/>
          </w:tcPr>
          <w:p>
            <w:pPr>
              <w:spacing w:after="0"/>
              <w:rPr>
                <w:sz w:val="21"/>
                <w:szCs w:val="21"/>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11,279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contribution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26,662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34,901</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80"/>
              <w:spacing w:after="0"/>
              <w:rPr>
                <w:sz w:val="20"/>
                <w:szCs w:val="20"/>
                <w:color w:val="auto"/>
              </w:rPr>
            </w:pPr>
            <w:r>
              <w:rPr>
                <w:rFonts w:ascii="Arial" w:cs="Arial" w:eastAsia="Arial" w:hAnsi="Arial"/>
                <w:sz w:val="18"/>
                <w:szCs w:val="18"/>
                <w:color w:val="auto"/>
              </w:rPr>
              <w:t>Other data:</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merchandise sales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total sales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yield on pawn loan portfolio (a)</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4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 yield on pawn loan portfolio is calculated as pawn service charge revenues for the period divided by the average pawn loan balance during the period.</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average exchange rate used to translate Latin America's results from Mexican pesos to U.S. dollars in fiscal 2013 was 12.7 to 1, 5% lower than fiscal 2012's rate of 13.3 to 1. In fiscal 2013, we opened 73 de novo stores, and on November 1, 2012, we acquired a 51% interest in Renueva Comercial S.A. de C.V., a company headquartered in Mexico City and doing business under the name "TUYO." TUYO owns and operates 19 buy/sell stores in Mexico City and the surrounding metropolitan area. At September 30, 2013, the Latin America segment consisted of 312 stores operating under the brands Crediamigo, Adex, Empeño Fácil, and TUYO.</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Latin America segment's total revenues increased $46.7 million, or 45%, in fiscal 2013 to $150.0 million. Same store total revenues increased $11.0 million, or 11%, and new and acquired stores contributed $35.7 million. The overall increase in total revenues was primarily due to the $23.6 million increase in Grupo Finmart consumer loan fees, a $16.7 million increase in merchandise sales, a $6.6 million increase in pawn service charges and a $1.9 million increase in consumer loan sales and other revenues, partially offset by a $2.0 million decrease in jewelry scrapping sales.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Latin America segment's pawn service charge revenues increased $6.6 million, or 29%, in fiscal 2013 to $29.6 million. Same store pawn service charges increased $2.3 million, or 10%, and new and acquired stores contributed $4.3 million. The total increase was due to a 12% increase in the average pawn loan balance during the period, partially offset by a 7.0 percentage point decrease in the pawn yield. The yield decrease was primarily due to a slight decrease in the loan redemption rate and a shift in the loan balance to general merchandise.</w:t>
      </w:r>
    </w:p>
    <w:p>
      <w:pPr>
        <w:spacing w:after="0" w:line="13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Merchandise sales gross profit increased $3.7 million, or 19%, from fiscal 2012 to $22.8 million. The increase was due to a $4.0 million, or 10%, same store sales increase and a $12.6 million increase in sales from new and acquired stores, partially offset by a 6.8 percentage point decrease in gross margins to 39%. The decrease in margins was due to a decrease in jewelry sales.</w:t>
      </w:r>
    </w:p>
    <w:p>
      <w:pPr>
        <w:spacing w:after="0" w:line="12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Gross profit on jewelry scrapping sales decreased $1.4 million, or 58%, from the prior year to $1.0 million. Jewelry scrapping revenues decreased $2.0 million, or 19%, in fiscal 2013, to $8.5 million. The decrease was due to an 11% decrease in proceeds realized per gram of gold jewelry scrapped coupled with a 13% decrease in gold volume processed. Same store jewelry scrapping sales decreased $3.7 million, or 35%, and new and acquired stores contributed $1.7 million. Scrap cost of goods decreased $0.6 million, or 8%, due to the decrease in volume.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Consumer loan fees and interest increased $23.6 million, or 88%, to $50.5 million. The increase is due to a full year inclusion of Grupo Finmart as opposed to eight months in fiscal 2012, coupled with a 46% increase in the average loan balance during the period. The increase in the loan balance is due higher penetration on existing contracts with government entities, coupled with the addition of new contracts in fiscal 2013.</w:t>
      </w:r>
    </w:p>
    <w:p>
      <w:pPr>
        <w:spacing w:after="0" w:line="1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Total segment expenses increased to $80.5 million (54% of revenues) in fiscal 2013 from $37.4 million (36% of revenues) in the prior year. The increase was due to a 68%, or $25.2 million, increase in operations expenses due to higher operating costs resulting from the addition of 66 Empeño Fácil stores since the prior period, the acquisition of TUYO and the full year inclusion of Grupo Finmart's administrative expenses. Depreciation and amortization increased $2.2 million from the prior year to $6.9 million, mainly due to depreciation of assets placed in service at new stores and amortization of acquisition related intangible assets. The $15.8 million increase in interest expense was due to a prior year $4.5 million reduction to interest expense due to the accelerated amortization of debt premium associated with Grupo Finmart's refinanced debt. The weighted average rate on Grupo Finmart's third party debt remained flat at 11% on outstanding debt of $105.5 million at September 30, 2013.</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2012, the impact of the amortization of consumer loan discount and long-term debt premium totaled $9.3 million, of which $5.6 million was attributable to EZCORP, Inc. with the majority of this amount due to a $15.1 million accelerated amortization of debt premium associated with the refinanced debt at Grupo Finmart.</w:t>
      </w:r>
    </w:p>
    <w:p>
      <w:pPr>
        <w:spacing w:after="0" w:line="18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In fiscal 2013, the $34.8 million greater net revenues were offset by the $43.1 million in segment expenses, resulting in an $8.2 million decrease in contribution for the Latin America segment. Excluding the $9.3 million benefit due to the amortization of consumer loan discount and long-term debt premium in fiscal 2012, segment contribution increased $1.1 million, or 4%. For fiscal 2013, Latin America's segment contribution represents 16% of consolidated segment contribution compared to 12% in fiscal 2012.</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2012</w:t>
            </w:r>
          </w:p>
        </w:tc>
      </w:tr>
      <w:tr>
        <w:trPr>
          <w:trHeight w:val="196"/>
        </w:trPr>
        <w:tc>
          <w:tcPr>
            <w:tcW w:w="8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Consumer loan sales and other 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expenses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net income of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Impairment of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44,598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57"/>
        </w:trPr>
        <w:tc>
          <w:tcPr>
            <w:tcW w:w="8120" w:type="dxa"/>
            <w:vAlign w:val="bottom"/>
          </w:tcPr>
          <w:p>
            <w:pPr>
              <w:ind w:left="600"/>
              <w:spacing w:after="0"/>
              <w:rPr>
                <w:sz w:val="20"/>
                <w:szCs w:val="20"/>
                <w:color w:val="auto"/>
              </w:rPr>
            </w:pPr>
            <w:r>
              <w:rPr>
                <w:rFonts w:ascii="Arial" w:cs="Arial" w:eastAsia="Arial" w:hAnsi="Arial"/>
                <w:sz w:val="18"/>
                <w:szCs w:val="18"/>
                <w:color w:val="auto"/>
              </w:rPr>
              <w:t>Segment (loss) contribution</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(32,429)</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17,636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fiscal 2013, the segment's $1.5 million in other revenues represented fees from a consulting agreement with Albemarle &amp; Bond. Under the terms of the agreement we were engaged to assess, identify and implement improvements in their gold and diamond supply chains and labor optimization.</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Operations expense of $1.1 million represented costs associated with the Albemarle &amp; Bond consulting agreement and professional fees related to our other international operations.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equity in the net income of unconsolidated affiliates decreased $5.5 million, or 32%, from the prior year to $11.9 million. The decrease is due to a prior period adjustment of Cash Converter's earnings, and a significant decrease in Albemarle &amp; Bond's results.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fiscal 2013, we recorded a $44.6 million impairment of investments. This amount was comprised of a $42.5 million impairment of Albemarle &amp; Bond and a $2.1 million impairment of our investment in available-for-sale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fiscal 2013, segment contribution from the Other International segment was a $32.4 million loss, a $50.1 million decrease from fiscal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r>
      <w:tr>
        <w:trPr>
          <w:trHeight w:val="196"/>
        </w:trPr>
        <w:tc>
          <w:tcPr>
            <w:tcW w:w="8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168,005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283,433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5,457</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29,582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71,165</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(34,452)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150,577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income from continuing operations attributable to redeemable noncontrolling interest</w:t>
            </w:r>
          </w:p>
        </w:tc>
        <w:tc>
          <w:tcPr>
            <w:tcW w:w="32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6,722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(loss) income from discontinued operations attributable to redeemable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income attributable to EZCORP,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34,077</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143,708</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corporate items increased $9.2 million to $65.5 million. The increase was due to a $4.6 million increase in administrative expenses, a $2.7 million increase in depreciation and amortization and a $0.9 million increase in interest expense. The increase in administrative expenses, depreciation and amortization was primarily associated with supporting accelerated growth of the de novo and international operations. In fiscal 2013, interest expense increased 31% due to greater utilization of our revolver and depreciation expense increased 25% due to assets placed in service as we continue to invest in the infrastructure to support our growth.</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Consolidated income from continuing operations before income taxes decreased $124.6 million, or 55%, to $102.5 million due to a $57.1 million, $8.2 million and $50.1 million decreases in contribution from the U.S. &amp; Canada, Latin America and Other International segments, respectively and a $9.2 million increase in corporate expenses.</w:t>
      </w:r>
    </w:p>
    <w:p>
      <w:pPr>
        <w:spacing w:after="0" w:line="12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fiscal 2013, income tax expense decreased $41.6 million, or 58%, to $29.6 million. The fiscal 2013 effective tax rate was 29%, compared to 31% in the prior year, the decrease is primarily to restructuring of our legal entities in addition to an increase in the amount of permanently reinvested foreign earnings.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fiscal 2013, we implemented a plan to close 107 legacy stores in a variety of locations. As a result, we incurred $22.2 million in termination charges recorded as part of loss from discontinued operations. Excluding these one-time charges, pre-tax operational losses from discontinued operations increased $10.7 million. Additionally, the income tax benefit from discontinued operations increased $3.8 million, resulting in a $29.1 million increase in loss from discontinued operations, net of tax.</w:t>
      </w:r>
    </w:p>
    <w:p>
      <w:pPr>
        <w:spacing w:after="0" w:line="1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fiscal 2013, net income attributable to redeemable noncontrolling interest decreased $2.5 million resulting in $109.6 million, or 76%, decrease in net income attributable to EZCORP, Inc. to $34.1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fiscal 2014, our $89.2 million cash flow from operations consisted of (i) net income plus several non-cash items aggregating to $118.2 million, and $5.1 million in cash dividends from our unconsolidated affiliates, net of (ii) $34.1 million of normal, recurring changes in operating assets and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prior year, our $126.5 million of cash flow from operations consisted of (i) net income plus several non-cash items, aggregating to $147.2 million, and $10.6 million in cash dividends from our unconsolidated affiliates, net of (ii) $31.3 million of normal, recurring changes in operating assets and liabilities. The primary differences in cash flow from operations between fiscal 2014 and the prior year are attributable to the increase in operations, administrative, and interest expense, and a decrease in dividends from unconsolidated affiliates, partially offset by an increase in normal, recurring changes in operating assets and liabilities. In fiscal 2014, we increased our loans made over last year by 4% to $959.5 million and loan repayments increased 5% year-over-year to $628.7 million. The $34.8 million of net cash used in investing activities during fiscal 2014 was funded by cash flow from operations, cash on hand, borrowings on our line of credit facility, borrowings from banks and proceeds from issuance of convertible notes. We invested $14.4 million in cash to acquire consumer loan portfolios. Other significant investing activities in the period were $23.0 million in additions of property and equipment in addition to $86.1 million in proceeds from sale of assets, primarily Grupo Finmart loan portfolios. In addition, $84.8 million of loans made in excess of customer loan repayments and the recovery of principal through the sale of forfeited pawn loan collateral contributed to the net cash used in investing activities for the period.</w:t>
      </w:r>
    </w:p>
    <w:p>
      <w:pPr>
        <w:spacing w:after="0" w:line="11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Total debt and capital lease obligations increased 49% over last year to $367.5 million. Of this amount, $223.1 million was recourse to EZCORP and the remaining debt was non-recourse and attributable to our payroll withholding lending business in Mexico (Grupo Finmart).</w:t>
      </w:r>
    </w:p>
    <w:p>
      <w:pPr>
        <w:spacing w:after="0" w:line="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effect of these and other smaller cash flows was a $20.0 million increase in cash on hand, providing a $56.3 million ending cash balance. Of the aforementioned ending cash balance, approximately 26%, or $14.7 million, is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More than 5 years</w:t>
            </w:r>
          </w:p>
        </w:tc>
      </w:tr>
      <w:tr>
        <w:trPr>
          <w:trHeight w:val="264"/>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374,239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17,349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26,371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consideration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688,856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175,801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357,746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58,306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*Excludes debt premium related to Grupo Finmart and debt discount and convertible feature related to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**Future interest on long-term obligations calculated on interest rates effective at the balance sheet date.</w:t>
      </w:r>
    </w:p>
    <w:p>
      <w:pPr>
        <w:spacing w:after="0" w:line="15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addition to the contractual obligations in the table above, we are obligated under letters of credit issued to unaffiliated lenders as part of our credit service operations. At September 30, 2014, our maximum exposure for losses on letters of credit, if all brokered loans defaulted and none was collected, was $29.5 million. Of that total, $7.8 million was secured by titles to customers’ automobiles. These amounts include principal, interest and insufficient funds fees.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September 30, 2014, these collectively amounted to $22.8 million.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lease obligations in the table above include expected rent for all our store locations through the end of their current lease terms. Of our 501 U.S. financial services stores, 214 adjoin a pawn store and are covered by the same lease agreement. The lease agreements at approximately 95% of the remaining 287 free-standing U.S. financial services stores contain provisions that limit our exposure for additional rent at these stores to only a few months if laws are enacted that have a significant negative effect on our operations at these stores. If such laws were passed, the space currently utilized by stores adjoining pawn stores could be re-incorporated into the pawn operations.</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used approximately $119.4 million of net proceeds from the 2.125% Cash Convertible Senior Notes offering, described below, to repay all outstanding borrowings under the senior secured credit agreement and terminated that agreement in June 2014. </w:t>
      </w:r>
      <w:r>
        <w:rPr>
          <w:rFonts w:ascii="Arial" w:cs="Arial" w:eastAsia="Arial" w:hAnsi="Arial"/>
          <w:sz w:val="18"/>
          <w:szCs w:val="18"/>
          <w:color w:val="252525"/>
        </w:rPr>
        <w:t>In June 2014, we issued $200 million aggregate principal</w:t>
      </w:r>
      <w:r>
        <w:rPr>
          <w:rFonts w:ascii="Arial" w:cs="Arial" w:eastAsia="Arial" w:hAnsi="Arial"/>
          <w:sz w:val="18"/>
          <w:szCs w:val="18"/>
          <w:color w:val="auto"/>
        </w:rPr>
        <w:t xml:space="preserve"> </w:t>
      </w:r>
      <w:r>
        <w:rPr>
          <w:rFonts w:ascii="Arial" w:cs="Arial" w:eastAsia="Arial" w:hAnsi="Arial"/>
          <w:sz w:val="18"/>
          <w:szCs w:val="18"/>
          <w:color w:val="252525"/>
        </w:rPr>
        <w:t xml:space="preserve">amount of 2.125% Cash Convertible Senior Notes Due 2019 (the </w:t>
      </w:r>
      <w:r>
        <w:rPr>
          <w:rFonts w:ascii="Arial" w:cs="Arial" w:eastAsia="Arial" w:hAnsi="Arial"/>
          <w:sz w:val="18"/>
          <w:szCs w:val="18"/>
          <w:color w:val="000000"/>
        </w:rPr>
        <w:t>“Convertible Notes”). We granted the initial purchasers the option to purchase up to an</w:t>
      </w:r>
      <w:r>
        <w:rPr>
          <w:rFonts w:ascii="Arial" w:cs="Arial" w:eastAsia="Arial" w:hAnsi="Arial"/>
          <w:sz w:val="18"/>
          <w:szCs w:val="18"/>
          <w:color w:val="252525"/>
        </w:rPr>
        <w:t xml:space="preserve"> </w:t>
      </w:r>
      <w:r>
        <w:rPr>
          <w:rFonts w:ascii="Arial" w:cs="Arial" w:eastAsia="Arial" w:hAnsi="Arial"/>
          <w:sz w:val="18"/>
          <w:szCs w:val="18"/>
          <w:color w:val="000000"/>
        </w:rPr>
        <w:t>additional $30.0 million aggregate principal amount of Convertible Notes. Such option was exercised in full on June 27, 2014, and we issued an additional $30.0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million principal amount of Convertible Notes on July 2, 2014. All of the Convertible Notes were issued </w:t>
      </w:r>
      <w:r>
        <w:rPr>
          <w:rFonts w:ascii="Arial" w:cs="Arial" w:eastAsia="Arial" w:hAnsi="Arial"/>
          <w:sz w:val="17"/>
          <w:szCs w:val="17"/>
          <w:color w:val="252525"/>
        </w:rPr>
        <w:t>pursuant to an indenture dated June 23, 2014 (the</w:t>
      </w:r>
      <w:r>
        <w:rPr>
          <w:rFonts w:ascii="Arial" w:cs="Arial" w:eastAsia="Arial" w:hAnsi="Arial"/>
          <w:sz w:val="17"/>
          <w:szCs w:val="17"/>
          <w:color w:val="auto"/>
        </w:rPr>
        <w:t xml:space="preserve"> </w:t>
      </w:r>
      <w:r>
        <w:rPr>
          <w:rFonts w:ascii="Arial" w:cs="Arial" w:eastAsia="Arial" w:hAnsi="Arial"/>
          <w:sz w:val="17"/>
          <w:szCs w:val="17"/>
          <w:color w:val="252525"/>
        </w:rPr>
        <w:t xml:space="preserve">"Indenture") by and between us and Wells Fargo Bank, National Association, as the trustee. The Convertible Notes were issued in a private offering </w:t>
      </w:r>
      <w:r>
        <w:rPr>
          <w:rFonts w:ascii="Arial" w:cs="Arial" w:eastAsia="Arial" w:hAnsi="Arial"/>
          <w:sz w:val="17"/>
          <w:szCs w:val="17"/>
          <w:color w:val="000000"/>
        </w:rPr>
        <w:t>under</w:t>
      </w:r>
      <w:r>
        <w:rPr>
          <w:rFonts w:ascii="Arial" w:cs="Arial" w:eastAsia="Arial" w:hAnsi="Arial"/>
          <w:sz w:val="17"/>
          <w:szCs w:val="17"/>
          <w:color w:val="252525"/>
        </w:rPr>
        <w:t xml:space="preserve"> </w:t>
      </w:r>
      <w:r>
        <w:rPr>
          <w:rFonts w:ascii="Arial" w:cs="Arial" w:eastAsia="Arial" w:hAnsi="Arial"/>
          <w:sz w:val="17"/>
          <w:szCs w:val="17"/>
          <w:color w:val="000000"/>
        </w:rPr>
        <w:t xml:space="preserve">Rule 144A under the Securities Act of 1933. </w:t>
      </w:r>
      <w:r>
        <w:rPr>
          <w:rFonts w:ascii="Arial" w:cs="Arial" w:eastAsia="Arial" w:hAnsi="Arial"/>
          <w:sz w:val="17"/>
          <w:szCs w:val="17"/>
          <w:color w:val="252525"/>
        </w:rPr>
        <w:t>The Convertible Notes pay interest semi-annually in arrears at a rate of 2.125% per annum on June 15 and</w:t>
      </w:r>
      <w:r>
        <w:rPr>
          <w:rFonts w:ascii="Arial" w:cs="Arial" w:eastAsia="Arial" w:hAnsi="Arial"/>
          <w:sz w:val="17"/>
          <w:szCs w:val="17"/>
          <w:color w:val="000000"/>
        </w:rPr>
        <w:t xml:space="preserve"> </w:t>
      </w:r>
      <w:r>
        <w:rPr>
          <w:rFonts w:ascii="Arial" w:cs="Arial" w:eastAsia="Arial" w:hAnsi="Arial"/>
          <w:sz w:val="17"/>
          <w:szCs w:val="17"/>
          <w:color w:val="252525"/>
        </w:rPr>
        <w:t xml:space="preserve">December 15 of each year, commencing on December 15, 2014, and will mature on June 15, 2019 (the "Maturity Date"). </w:t>
      </w:r>
      <w:r>
        <w:rPr>
          <w:rFonts w:ascii="Arial" w:cs="Arial" w:eastAsia="Arial" w:hAnsi="Arial"/>
          <w:sz w:val="17"/>
          <w:szCs w:val="17"/>
          <w:color w:val="000000"/>
        </w:rPr>
        <w:t>Upon conversion or maturity, the</w:t>
      </w:r>
      <w:r>
        <w:rPr>
          <w:rFonts w:ascii="Arial" w:cs="Arial" w:eastAsia="Arial" w:hAnsi="Arial"/>
          <w:sz w:val="17"/>
          <w:szCs w:val="17"/>
          <w:color w:val="252525"/>
        </w:rPr>
        <w:t xml:space="preserve"> </w:t>
      </w:r>
      <w:r>
        <w:rPr>
          <w:rFonts w:ascii="Arial" w:cs="Arial" w:eastAsia="Arial" w:hAnsi="Arial"/>
          <w:sz w:val="17"/>
          <w:szCs w:val="17"/>
          <w:color w:val="000000"/>
        </w:rPr>
        <w:t>Convertible Notes will be settled only in cash (including, in the case of conversion, an amount of cash representing the net value attributable to certain increases in the price of our Class A Non-voting Common Stock).</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in the Indenture. The Convertible Notes are convertible into cash based on an initial conversion rate of 62.2471 shares of Class A Non-voting Common Stock per $1,000 principal amount of Convertible Notes (equivalent to an initial conversion price of approximately $16.065 per share of our Class A Non-voting Common Stock). The conversion rate will not be adjusted for any accrued and unpaid interest.</w:t>
      </w:r>
    </w:p>
    <w:p>
      <w:pPr>
        <w:spacing w:after="0" w:line="13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Convertible Notes that may be due to the holders upon conversion. In separate transactions, we sold warrants with a strike price of $20.83 per share.</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Convertible Notes are our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The Indenture governing the Convertible Notes does not contain any financial covenants.</w:t>
      </w:r>
    </w:p>
    <w:p>
      <w:pPr>
        <w:spacing w:after="0" w:line="13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September 30, 2014, the Convertible Notes were not convertible because the conversion conditions have not been met. Accordingly, the net balance of the Convertible Notes of $185.7 million is classified as a non-current liability in our consolidated balance sheets as of September 30, 2014.</w:t>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an additional description of the Convertible Notes, the conversion terms thereof and the hedges and warrants transactions, see Note 9 in the notes to the consolidated financial statements.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2014, Grupo Finmart's third-party debt (non-recourse to EZCORP) was $144.4 million, with a weighted average interest rate of 9%. Since the acquisition of Grupo Finmart in January 2012, Grupo Finmart's debt has increased $34.7 million, and its weighted average interest rate has decreased 10 percentage points, due to debt refinancing. This refinancing effort was a key assumption in our investment analysis and will result in significantly reduced interest expenses going forward.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July 2012 Grupo Finmart transferred certain consumer loans to a bankruptcy remote trust in a securitization transaction. The securitization borrowing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facility had a maximum capacity of approximately $115.4 million. On February 17, 2014, Grupo Finmart repaid this facility and entered into a new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securitization transaction to transfer collection rights of certain eligible consumer loans to a bankruptcy remote trust. At September 30, 2014, $54.0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was outstanding under the securitization borrowing facility. The trust received financing as a result of the issuance of debt securities and delivered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the financing to Grupo Finmart. The unrestricted cash received from this borrowing in the amount of $35.5 million was primarily used to repay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previous securitization borrowing facility due 2017 and the transaction costs associated with this transaction. The cash proceeds of approximately $20.6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is restricted primarily for $17.9 million of collection rights on the additional eligible loans from Grupo Finmart, which Grupo Finmart expects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deliver to the trust within the next 12 months, and $2.7 million of interest and trust maintenance costs to be recovered at repayment. The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of $17.9 million are recourse to Grupo Finmart unless additional eligible loans are delivered within two year period specified in the agreement.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higher average debt outstanding and greater utilization of our revolver, we have experienced an increase in payments on bank borrowings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revolving line of credit. We expect Grupo Finmart to continue its use of the borrowing facility, in addition to structured sales of assets, and utilize proceeds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 loan originations, operations and contractual obligations.</w:t>
      </w:r>
    </w:p>
    <w:p>
      <w:pPr>
        <w:spacing w:after="0" w:line="15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We anticipate that cash flow from operations and cash on hand will be adequate to fund our contractual obligations, planned store growth, capital expenditures and working capital requirements during the coming year.</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the beginning of the fiscal year ended September 30, 2013,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fiscal year 2013, we issued all the remaining shares in connection with the acquisition of 12 pawn stores in Arizona, and since the end of September 30, 2013, have no remaining shares covered by the registration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 We do not record in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include an allowance for Expected LOC Losses in “Accounts payable and other accrued expenses” in our consolidated balance sheets. At September 30, 2014, the allowance for Expected LOC Losses was $4.7 million. At that date, our maximum exposure for losses on letters of credit, if all brokered loans defaulted and none was collected, was $29.5 million. This amount includes principal, interest and insufficient funds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including regulation of our financial services business by the Consumer Financial Protection Bureau;</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Concentration of business in Texas;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relationships with unaffiliated lenders;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business, regulatory or political climate in Mexico;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infrastructure failures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adequate return on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adapt to any decrease in demand for our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maintain satisfactory relationships with public-sector employers in Mexico;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Inadequacy of loan loss allowances;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Judicial decisions or changes in law that render our arbitration agreements unenforceable;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exposure under anti-corruption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 Item 1A — Risk Factors."</w:t>
      </w:r>
    </w:p>
    <w:p>
      <w:pPr>
        <w:spacing w:after="0" w:line="17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interest rates, gold values and changes in foreign currency exchange rates.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earnings are affected by changes in interest rates as our debt has a variable rate. If interest rates average 50 basis points more than our current rate in the fiscal year ended September 30, 2014, our interest expense during the year would increase by approximately $0.3 million. This amount is determined by considering the impact of the hypothetical interest rate change on our variable-rate debt at September 30, 2014.</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first quarter of fiscal 2012, we began using derivative financial instruments, in order to manage our commodity price risk associated with the forecasted sales of gold scrap. These derivatives are not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designated as hedges as they do not meet the hedge accounting requirements of the Derivatives and Hedging topic of the FASB codification, and changes in their fair value are recorded directly in earnings.</w:t>
      </w:r>
    </w:p>
    <w:p>
      <w:pPr>
        <w:spacing w:after="0" w:line="11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earnings and financial position are affected by foreign exchange rate fluctuations related to our equity investments and our foreign operations. Cash Converters International’s functional currency is the Australian dollar, Empeño Fácil’s and Grupo Finmart’s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spacing w:after="0" w:line="1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translation adjustment from Cash Genie, representing the weakening in the British pound, was a $0.5 million decrease to stockholders' equity. During the fiscal year ended September 30, 2014, the British pound strengthened to £1.00 to $1.6239 U.S. from $1.6136 at September 30, 2013.</w:t>
      </w:r>
    </w:p>
    <w:p>
      <w:pPr>
        <w:spacing w:after="0" w:line="9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translation adjustment from Cash Converters International representing the strengthening in the Australian dollar from our investment dates to June 30, 2014 (included in our September 30, 2014 results on a three-month lag) was a $1.5 million increase to stockholders’ equity. During the fiscal year ended September 30, 2014, the Australian dollar weakened to $1.00 Australian dollar to $0.8725 U.S. from $0.9312 at September 30, 2013.</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translation adjustment from Latin America representing the weakening of the Mexican peso during the year ended September 30, 2014 was a $5.6 million decrease to stockholders’ equity. We have currently assumed permanent reinvestment of earnings and capital in Mexico. Accumulated translation gains or losses related to any future repatriation of earnings or capital would impact our earnings in the period of repatriation. During the fiscal year ended September 30, 2014, the peso weakened to $1.00 Mexican peso to $0.07414 U.S. from $0.07605 at September 30, 2013.</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weakening of the Canadian dollar during the year ended September 30, 2014 was a $0.5 million decrease to stockholders’ equity. During the fiscal year ended September 30, 2014, the Canadian dollar weakened to $1.00 Canadian dollar to $0.8962 U.S. from $0.9698 at September 30,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cannot predict the future valuation of foreign currencies or how further movements in exchange rates could affect our future earnings or financial position.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FF"/>
                <w:w w:val="91"/>
              </w:rPr>
            </w:pPr>
            <w:hyperlink w:anchor="page63">
              <w:r>
                <w:rPr>
                  <w:rFonts w:ascii="Arial" w:cs="Arial" w:eastAsia="Arial" w:hAnsi="Arial"/>
                  <w:sz w:val="18"/>
                  <w:szCs w:val="18"/>
                  <w:color w:val="0000FF"/>
                  <w:w w:val="91"/>
                </w:rPr>
                <w:t>Report of Independent Registered Public Accounting Firm</w:t>
              </w:r>
            </w:hyperlink>
          </w:p>
        </w:tc>
        <w:tc>
          <w:tcPr>
            <w:tcW w:w="6360" w:type="dxa"/>
            <w:vAlign w:val="bottom"/>
            <w:gridSpan w:val="5"/>
          </w:tcPr>
          <w:p>
            <w:pPr>
              <w:spacing w:after="0"/>
              <w:rPr>
                <w:sz w:val="17"/>
                <w:szCs w:val="17"/>
                <w:color w:val="auto"/>
              </w:rPr>
            </w:pPr>
          </w:p>
        </w:tc>
        <w:tc>
          <w:tcPr>
            <w:tcW w:w="800" w:type="dxa"/>
            <w:vAlign w:val="bottom"/>
            <w:gridSpan w:val="3"/>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50"/>
        </w:trPr>
        <w:tc>
          <w:tcPr>
            <w:tcW w:w="4220" w:type="dxa"/>
            <w:vAlign w:val="bottom"/>
            <w:tcBorders>
              <w:top w:val="single" w:sz="8" w:color="0000FF"/>
            </w:tcBorders>
            <w:gridSpan w:val="4"/>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Financial Statements:</w:t>
              </w:r>
            </w:hyperlink>
          </w:p>
        </w:tc>
        <w:tc>
          <w:tcPr>
            <w:tcW w:w="636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680" w:type="dxa"/>
            <w:vAlign w:val="bottom"/>
            <w:gridSpan w:val="4"/>
          </w:tcPr>
          <w:p>
            <w:pPr>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 xml:space="preserve">Consolidated Balance Sheets as of September 30, 2014 and </w:t>
              </w:r>
            </w:hyperlink>
            <w:r>
              <w:rPr>
                <w:rFonts w:ascii="Arial" w:cs="Arial" w:eastAsia="Arial" w:hAnsi="Arial"/>
                <w:sz w:val="18"/>
                <w:szCs w:val="18"/>
                <w:color w:val="0000FF"/>
                <w:w w:val="88"/>
              </w:rPr>
              <w:t>2013</w:t>
            </w:r>
          </w:p>
        </w:tc>
        <w:tc>
          <w:tcPr>
            <w:tcW w:w="5660" w:type="dxa"/>
            <w:vAlign w:val="bottom"/>
            <w:gridSpan w:val="4"/>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2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 xml:space="preserve">Consolidated Statements of Operations for each of the Three Years Ended September 30, </w:t>
              </w:r>
            </w:hyperlink>
            <w:r>
              <w:rPr>
                <w:rFonts w:ascii="Arial" w:cs="Arial" w:eastAsia="Arial" w:hAnsi="Arial"/>
                <w:sz w:val="18"/>
                <w:szCs w:val="18"/>
                <w:color w:val="0000FF"/>
              </w:rPr>
              <w:t>2014</w:t>
            </w:r>
          </w:p>
        </w:tc>
        <w:tc>
          <w:tcPr>
            <w:tcW w:w="800" w:type="dxa"/>
            <w:vAlign w:val="bottom"/>
            <w:gridSpan w:val="3"/>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240" w:type="dxa"/>
            <w:vAlign w:val="bottom"/>
            <w:gridSpan w:val="7"/>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 xml:space="preserve">Consolidated Statements of Comprehensive </w:t>
              </w:r>
            </w:hyperlink>
            <w:r>
              <w:rPr>
                <w:rFonts w:ascii="Arial" w:cs="Arial" w:eastAsia="Arial" w:hAnsi="Arial"/>
                <w:sz w:val="18"/>
                <w:szCs w:val="18"/>
                <w:color w:val="0000FF"/>
                <w:w w:val="89"/>
              </w:rPr>
              <w:t>(Loss) Income for each of the Three Years Ended September 30, 2014</w:t>
            </w:r>
          </w:p>
        </w:tc>
        <w:tc>
          <w:tcPr>
            <w:tcW w:w="210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66</w:t>
              </w:r>
            </w:hyperlink>
          </w:p>
        </w:tc>
      </w:tr>
      <w:tr>
        <w:trPr>
          <w:trHeight w:val="20"/>
        </w:trPr>
        <w:tc>
          <w:tcPr>
            <w:tcW w:w="2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240" w:type="dxa"/>
            <w:vAlign w:val="bottom"/>
            <w:gridSpan w:val="7"/>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 xml:space="preserve">Consolidated Statements of Cash Flows for each of the Three Years Ended September 30, </w:t>
              </w:r>
            </w:hyperlink>
            <w:r>
              <w:rPr>
                <w:rFonts w:ascii="Arial" w:cs="Arial" w:eastAsia="Arial" w:hAnsi="Arial"/>
                <w:sz w:val="18"/>
                <w:szCs w:val="18"/>
                <w:color w:val="0000FF"/>
              </w:rPr>
              <w:t>2014</w:t>
            </w:r>
          </w:p>
        </w:tc>
        <w:tc>
          <w:tcPr>
            <w:tcW w:w="210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r>
      <w:tr>
        <w:trPr>
          <w:trHeight w:val="20"/>
        </w:trPr>
        <w:tc>
          <w:tcPr>
            <w:tcW w:w="2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 xml:space="preserve">Consolidated Statements of Stockholders’ Equity for each of the Three Years Ended September 30, </w:t>
              </w:r>
            </w:hyperlink>
            <w:r>
              <w:rPr>
                <w:rFonts w:ascii="Arial" w:cs="Arial" w:eastAsia="Arial" w:hAnsi="Arial"/>
                <w:sz w:val="18"/>
                <w:szCs w:val="18"/>
                <w:color w:val="0000FF"/>
              </w:rPr>
              <w:t>2014</w:t>
            </w:r>
          </w:p>
        </w:tc>
        <w:tc>
          <w:tcPr>
            <w:tcW w:w="800" w:type="dxa"/>
            <w:vAlign w:val="bottom"/>
            <w:gridSpan w:val="3"/>
          </w:tcPr>
          <w:p>
            <w:pPr>
              <w:jc w:val="right"/>
              <w:ind w:right="20"/>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540" w:type="dxa"/>
            <w:vAlign w:val="bottom"/>
            <w:gridSpan w:val="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Notes to Consolidated Financial Statements</w:t>
              </w:r>
            </w:hyperlink>
          </w:p>
        </w:tc>
        <w:tc>
          <w:tcPr>
            <w:tcW w:w="280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r>
      <w:tr>
        <w:trPr>
          <w:trHeight w:val="507"/>
        </w:trPr>
        <w:tc>
          <w:tcPr>
            <w:tcW w:w="24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3660" w:type="dxa"/>
            <w:vAlign w:val="bottom"/>
            <w:gridSpan w:val="3"/>
          </w:tcPr>
          <w:p>
            <w:pPr>
              <w:jc w:val="right"/>
              <w:ind w:right="1280"/>
              <w:spacing w:after="0"/>
              <w:rPr>
                <w:sz w:val="20"/>
                <w:szCs w:val="20"/>
                <w:color w:val="auto"/>
              </w:rPr>
            </w:pPr>
            <w:r>
              <w:rPr>
                <w:rFonts w:ascii="Arial" w:cs="Arial" w:eastAsia="Arial" w:hAnsi="Arial"/>
                <w:sz w:val="18"/>
                <w:szCs w:val="18"/>
                <w:color w:val="auto"/>
              </w:rPr>
              <w:t>61</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EZCORP, Inc. and subsidiaries (the "Company") as of September 30, 2014 and September 30, 2013, and the related consolidated statements of operations, comprehensive income, stockholders' equity, and cash flows for each of the two years in the period ended September 30, 2014.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EZCORP, Inc. and subsidiaries as of September 30, 2014 and September 30, 2013, and the results of their operations and their cash flows for each of the two years in the period ended September 30, 2014, in conformity with accounting principles generally accepted in the United States of America.</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2014,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November 26, 2014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2014</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consolidated statements of operations and comprehensive income, stockholders’ equity, and cash flows of EZCORP, Inc. (the Company) for the year ended September 30, 2012.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at September 30, 2012, and the results of its operations and its cash flows for the year ended September 30, 2012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2012, except for Notes 2, 4, 6, 7, 12, 14, 19 and 23, which are as of November 26, 2014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2013</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56,329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36,317</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62,406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3,312</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loans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162,444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156,637</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Consumer loans,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67,594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64,683</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30,362</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Consumer loan fees and interest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30,653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36,292</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139,419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145,200</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Deferred tax asset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20,858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13,825</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Prepaid income taxes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28,655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16,105</w:t>
            </w:r>
          </w:p>
        </w:tc>
      </w:tr>
      <w:tr>
        <w:trPr>
          <w:trHeight w:val="264"/>
        </w:trPr>
        <w:tc>
          <w:tcPr>
            <w:tcW w:w="90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76,959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34,217</w:t>
            </w:r>
          </w:p>
        </w:tc>
      </w:tr>
      <w:tr>
        <w:trPr>
          <w:trHeight w:val="256"/>
        </w:trPr>
        <w:tc>
          <w:tcPr>
            <w:tcW w:w="9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676,361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536,950</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91,098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97,085</w:t>
            </w: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105,900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116,281</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Restricted cash, non-current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2,156</w:t>
            </w: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346,577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433,300</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64,624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63,805</w:t>
            </w: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Non-current consumer loans,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70,294</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13,154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8,214</w:t>
            </w:r>
          </w:p>
        </w:tc>
      </w:tr>
      <w:tr>
        <w:trPr>
          <w:trHeight w:val="270"/>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 net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61,058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24,105</w:t>
            </w:r>
          </w:p>
        </w:tc>
      </w:tr>
      <w:tr>
        <w:trPr>
          <w:trHeight w:val="283"/>
        </w:trPr>
        <w:tc>
          <w:tcPr>
            <w:tcW w:w="902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assets (1)</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1,403,471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1,352,190</w:t>
            </w:r>
          </w:p>
        </w:tc>
      </w:tr>
      <w:tr>
        <w:trPr>
          <w:trHeight w:val="156"/>
        </w:trPr>
        <w:tc>
          <w:tcPr>
            <w:tcW w:w="9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10,673</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30,436</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Current capital lease obligations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Accounts payable and other accrued expenses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97,213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79,967</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22,337</w:t>
            </w:r>
          </w:p>
        </w:tc>
      </w:tr>
      <w:tr>
        <w:trPr>
          <w:trHeight w:val="264"/>
        </w:trPr>
        <w:tc>
          <w:tcPr>
            <w:tcW w:w="90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8,097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8,628</w:t>
            </w:r>
          </w:p>
        </w:tc>
      </w:tr>
      <w:tr>
        <w:trPr>
          <w:trHeight w:val="256"/>
        </w:trPr>
        <w:tc>
          <w:tcPr>
            <w:tcW w:w="9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124,996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141,901</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356,430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215,939</w:t>
            </w: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capital lease obligations</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r>
      <w:tr>
        <w:trPr>
          <w:trHeight w:val="264"/>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gains and other long-term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11,359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24,040</w:t>
            </w:r>
          </w:p>
        </w:tc>
      </w:tr>
      <w:tr>
        <w:trPr>
          <w:trHeight w:val="256"/>
        </w:trPr>
        <w:tc>
          <w:tcPr>
            <w:tcW w:w="9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liabilities (2)</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492,785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382,271</w:t>
            </w:r>
          </w:p>
        </w:tc>
      </w:tr>
      <w:tr>
        <w:trPr>
          <w:trHeight w:val="264"/>
        </w:trPr>
        <w:tc>
          <w:tcPr>
            <w:tcW w:w="9020" w:type="dxa"/>
            <w:vAlign w:val="bottom"/>
          </w:tcPr>
          <w:p>
            <w:pPr>
              <w:ind w:left="38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Temporary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35,498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55,393</w:t>
            </w:r>
          </w:p>
        </w:tc>
      </w:tr>
      <w:tr>
        <w:trPr>
          <w:trHeight w:val="276"/>
        </w:trPr>
        <w:tc>
          <w:tcPr>
            <w:tcW w:w="9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157"/>
        </w:trPr>
        <w:tc>
          <w:tcPr>
            <w:tcW w:w="9020" w:type="dxa"/>
            <w:vAlign w:val="bottom"/>
          </w:tcPr>
          <w:p>
            <w:pPr>
              <w:ind w:left="600"/>
              <w:spacing w:after="0" w:line="157" w:lineRule="exact"/>
              <w:rPr>
                <w:sz w:val="20"/>
                <w:szCs w:val="20"/>
                <w:color w:val="auto"/>
              </w:rPr>
            </w:pPr>
            <w:r>
              <w:rPr>
                <w:rFonts w:ascii="Arial" w:cs="Arial" w:eastAsia="Arial" w:hAnsi="Arial"/>
                <w:sz w:val="14"/>
                <w:szCs w:val="14"/>
                <w:color w:val="auto"/>
                <w:w w:val="93"/>
              </w:rPr>
              <w:t>Class A Non-voting Common Stock, par value $.01 per share; shares authorized: 100 million at September 30, 2014; 56 million at September 30,</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9020" w:type="dxa"/>
            <w:vAlign w:val="bottom"/>
          </w:tcPr>
          <w:p>
            <w:pPr>
              <w:ind w:left="600"/>
              <w:spacing w:after="0"/>
              <w:rPr>
                <w:sz w:val="20"/>
                <w:szCs w:val="20"/>
                <w:color w:val="auto"/>
              </w:rPr>
            </w:pPr>
            <w:r>
              <w:rPr>
                <w:rFonts w:ascii="Arial" w:cs="Arial" w:eastAsia="Arial" w:hAnsi="Arial"/>
                <w:sz w:val="14"/>
                <w:szCs w:val="14"/>
                <w:color w:val="auto"/>
              </w:rPr>
              <w:t>2013; issued and outstanding: 50,614,767 at September 30, 2014; 51,269,434 at September 30, 2013</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513</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Class B Voting Common Stock, convertible, par value $.01 per share; 3 million shares authorized; issued and outstanding: 2,970,171</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9020" w:type="dxa"/>
            <w:vAlign w:val="bottom"/>
          </w:tcPr>
          <w:p>
            <w:pPr>
              <w:ind w:left="6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339,666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320,777</w:t>
            </w:r>
          </w:p>
        </w:tc>
      </w:tr>
      <w:tr>
        <w:trPr>
          <w:trHeight w:val="276"/>
        </w:trPr>
        <w:tc>
          <w:tcPr>
            <w:tcW w:w="90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547,177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599,880</w:t>
            </w:r>
          </w:p>
        </w:tc>
      </w:tr>
      <w:tr>
        <w:trPr>
          <w:trHeight w:val="264"/>
        </w:trPr>
        <w:tc>
          <w:tcPr>
            <w:tcW w:w="902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(6,674)</w:t>
            </w:r>
          </w:p>
        </w:tc>
      </w:tr>
      <w:tr>
        <w:trPr>
          <w:trHeight w:val="250"/>
        </w:trPr>
        <w:tc>
          <w:tcPr>
            <w:tcW w:w="90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875,188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914,526</w:t>
            </w:r>
          </w:p>
        </w:tc>
      </w:tr>
      <w:tr>
        <w:trPr>
          <w:trHeight w:val="243"/>
        </w:trPr>
        <w:tc>
          <w:tcPr>
            <w:tcW w:w="9020" w:type="dxa"/>
            <w:vAlign w:val="bottom"/>
          </w:tcPr>
          <w:p>
            <w:pPr>
              <w:ind w:left="8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1,403,471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1,352,190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7" w:lineRule="exact"/>
        <w:rPr>
          <w:sz w:val="20"/>
          <w:szCs w:val="20"/>
          <w:color w:val="auto"/>
        </w:rPr>
      </w:pPr>
    </w:p>
    <w:p>
      <w:pPr>
        <w:ind w:right="80" w:firstLine="8"/>
        <w:spacing w:after="0" w:line="237" w:lineRule="auto"/>
        <w:tabs>
          <w:tab w:leader="none" w:pos="204"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consolidated assets as of September 30, 2014 and September 30, 2013 include the following assets of Grupo Finmart's securitization trust that can only be used to settle its liabilities: Restricted cash, $23.6 million as of September 30, 2014; Restricted cash, non-current, $0.1 million as of September 30, 2014 and $2.2 million as of September 30, 2013; Consumer loans, net, $41.6 million as of September 30, 2014 and $33.9 million as of September 30, 2013; Consumer loan fees and interest receivable, net, $5.5 million as of September 30, 2014 and $7.3 million as of September 30, 2013; Other assets, net, $2.8 million as of September 30, 2014 and $2.1 million as of September 30, 2013; and total assets, $73.6 million as of September 30, 2014 and $45.5 million as of September 30, 2013.</w:t>
      </w:r>
    </w:p>
    <w:p>
      <w:pPr>
        <w:spacing w:after="0" w:line="1" w:lineRule="exact"/>
        <w:rPr>
          <w:rFonts w:ascii="Arial" w:cs="Arial" w:eastAsia="Arial" w:hAnsi="Arial"/>
          <w:sz w:val="14"/>
          <w:szCs w:val="14"/>
          <w:color w:val="auto"/>
        </w:rPr>
      </w:pPr>
    </w:p>
    <w:p>
      <w:pPr>
        <w:ind w:right="80" w:firstLine="8"/>
        <w:spacing w:after="0" w:line="227" w:lineRule="auto"/>
        <w:tabs>
          <w:tab w:leader="none" w:pos="204"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consolidated liabilities as of September 30, 2014 and September 30, 2013 include $54.0 million and $32.0 million, respectively, of long-term debt for which the creditors of Grupo Finmart's securitization trust do not have recourse to EZCORP, Inc.</w:t>
      </w:r>
    </w:p>
    <w:p>
      <w:pPr>
        <w:sectPr>
          <w:pgSz w:w="11900" w:h="16838" w:orient="portrait"/>
          <w:cols w:equalWidth="0" w:num="1">
            <w:col w:w="11420"/>
          </w:cols>
          <w:pgMar w:left="240" w:top="125" w:right="2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1">
            <w:col w:w="11420"/>
          </w:cols>
          <w:pgMar w:left="240" w:top="125" w:right="239" w:bottom="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019"/>
          </w:cols>
          <w:pgMar w:left="1440" w:top="368"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387,331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368,766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333,064</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202,481</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248,378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251,354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233,538</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 fees and interest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219,535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219,752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190,746</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Consumer loan sales and 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37,045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4,673</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988,532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980,121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964,502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247,393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218,617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190,637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130,715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40,667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35,639</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revenues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615,097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624,704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607,511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420,350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328,793</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61,819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52,474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47,912</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21,851</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1,956</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sale or disposal of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Restructuring</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518,480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474,562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400,263</w:t>
            </w:r>
          </w:p>
        </w:tc>
      </w:tr>
      <w:tr>
        <w:trPr>
          <w:trHeight w:val="250"/>
        </w:trPr>
        <w:tc>
          <w:tcPr>
            <w:tcW w:w="8120" w:type="dxa"/>
            <w:vAlign w:val="bottom"/>
          </w:tcPr>
          <w:p>
            <w:pPr>
              <w:ind w:left="600"/>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207,248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(income), net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(17,400)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72,700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227,085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71,165</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51,894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155,920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(93,426)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150,577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redeemable noncontrolling interest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6,722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discontinued operations attributable to redeemable noncontrolling interest</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income attributable to EZCORP, Inc.</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(45,740)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34,077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143,708</w:t>
            </w:r>
          </w:p>
        </w:tc>
      </w:tr>
      <w:tr>
        <w:trPr>
          <w:trHeight w:val="102"/>
        </w:trPr>
        <w:tc>
          <w:tcPr>
            <w:tcW w:w="8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(loss) earnings per share attributable to EZCORP, Inc.:</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r>
      <w:tr>
        <w:trPr>
          <w:trHeight w:val="243"/>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 (loss) earnings per share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02"/>
        </w:trPr>
        <w:tc>
          <w:tcPr>
            <w:tcW w:w="8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earnings per share attributable to EZCORP, Inc.:</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0.88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2.92</w:t>
            </w: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r>
      <w:tr>
        <w:trPr>
          <w:trHeight w:val="283"/>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Diluted (loss) earnings per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r>
      <w:tr>
        <w:trPr>
          <w:trHeight w:val="102"/>
        </w:trPr>
        <w:tc>
          <w:tcPr>
            <w:tcW w:w="8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54,148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50,877</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54,292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53,737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51,133</w:t>
            </w:r>
          </w:p>
        </w:tc>
      </w:tr>
      <w:tr>
        <w:trPr>
          <w:trHeight w:val="128"/>
        </w:trPr>
        <w:tc>
          <w:tcPr>
            <w:tcW w:w="8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EZCORP, Inc.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47,686</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68,453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149,198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(34,376)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(5,490)</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Net (loss) income attributable to EZCORP,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34,077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143,708</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688" w:right="239" w:bottom="60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88" w:right="239" w:bottom="609"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38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196"/>
        </w:trPr>
        <w:tc>
          <w:tcPr>
            <w:tcW w:w="3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150,577</w:t>
            </w: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 income: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38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Foreign currency translation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38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4"/>
                <w:szCs w:val="14"/>
                <w:color w:val="auto"/>
              </w:rPr>
              <w:t>Foreign currency translation reclassification adjustment realized upon impairment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Loss on effective portion of cash flow hedge: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80" w:type="dxa"/>
            <w:vAlign w:val="bottom"/>
          </w:tcPr>
          <w:p>
            <w:pPr>
              <w:spacing w:after="0"/>
              <w:rPr>
                <w:sz w:val="22"/>
                <w:szCs w:val="22"/>
                <w:color w:val="auto"/>
              </w:rPr>
            </w:pPr>
          </w:p>
        </w:tc>
        <w:tc>
          <w:tcPr>
            <w:tcW w:w="7060" w:type="dxa"/>
            <w:vAlign w:val="bottom"/>
          </w:tcPr>
          <w:p>
            <w:pPr>
              <w:ind w:left="120"/>
              <w:spacing w:after="0"/>
              <w:rPr>
                <w:sz w:val="20"/>
                <w:szCs w:val="20"/>
                <w:color w:val="auto"/>
              </w:rPr>
            </w:pPr>
            <w:r>
              <w:rPr>
                <w:rFonts w:ascii="Arial" w:cs="Arial" w:eastAsia="Arial" w:hAnsi="Arial"/>
                <w:sz w:val="14"/>
                <w:szCs w:val="14"/>
                <w:color w:val="auto"/>
              </w:rPr>
              <w:t>Other comprehensive (loss) gain before reclassifications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80" w:type="dxa"/>
            <w:vAlign w:val="bottom"/>
            <w:shd w:val="clear" w:color="auto" w:fill="CCEEFF"/>
          </w:tcPr>
          <w:p>
            <w:pPr>
              <w:spacing w:after="0"/>
              <w:rPr>
                <w:sz w:val="24"/>
                <w:szCs w:val="24"/>
                <w:color w:val="auto"/>
              </w:rPr>
            </w:pPr>
          </w:p>
        </w:tc>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80" w:type="dxa"/>
            <w:vAlign w:val="bottom"/>
          </w:tcPr>
          <w:p>
            <w:pPr>
              <w:spacing w:after="0"/>
              <w:rPr>
                <w:sz w:val="22"/>
                <w:szCs w:val="22"/>
                <w:color w:val="auto"/>
              </w:rPr>
            </w:pPr>
          </w:p>
        </w:tc>
        <w:tc>
          <w:tcPr>
            <w:tcW w:w="7060" w:type="dxa"/>
            <w:vAlign w:val="bottom"/>
          </w:tcPr>
          <w:p>
            <w:pPr>
              <w:spacing w:after="0"/>
              <w:rPr>
                <w:sz w:val="20"/>
                <w:szCs w:val="20"/>
                <w:color w:val="auto"/>
              </w:rPr>
            </w:pPr>
            <w:r>
              <w:rPr>
                <w:rFonts w:ascii="Arial" w:cs="Arial" w:eastAsia="Arial" w:hAnsi="Arial"/>
                <w:sz w:val="14"/>
                <w:szCs w:val="14"/>
                <w:color w:val="auto"/>
              </w:rPr>
              <w:t>Unrealized holding gain (loss) on available-for-sale securities arising during period</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w:t>
            </w:r>
          </w:p>
        </w:tc>
      </w:tr>
      <w:tr>
        <w:trPr>
          <w:trHeight w:val="276"/>
        </w:trPr>
        <w:tc>
          <w:tcPr>
            <w:tcW w:w="3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adjustment for (gain) loss on available-for-sale securities included in net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80" w:type="dxa"/>
            <w:vAlign w:val="bottom"/>
            <w:tcBorders>
              <w:bottom w:val="single" w:sz="8" w:color="CCEEFF"/>
            </w:tcBorders>
          </w:tcPr>
          <w:p>
            <w:pPr>
              <w:spacing w:after="0"/>
              <w:rPr>
                <w:sz w:val="22"/>
                <w:szCs w:val="22"/>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2,330</w:t>
            </w:r>
          </w:p>
        </w:tc>
      </w:tr>
      <w:tr>
        <w:trPr>
          <w:trHeight w:val="25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net of tax</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1,588</w:t>
            </w:r>
          </w:p>
        </w:tc>
      </w:tr>
      <w:tr>
        <w:trPr>
          <w:trHeight w:val="283"/>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Comprehensive (loss)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(47,971)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29,788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152,165</w:t>
            </w:r>
          </w:p>
        </w:tc>
      </w:tr>
      <w:tr>
        <w:trPr>
          <w:trHeight w:val="251"/>
        </w:trPr>
        <w:tc>
          <w:tcPr>
            <w:tcW w:w="380" w:type="dxa"/>
            <w:vAlign w:val="bottom"/>
            <w:shd w:val="clear" w:color="auto" w:fill="CCEEFF"/>
          </w:tcPr>
          <w:p>
            <w:pPr>
              <w:spacing w:after="0"/>
              <w:rPr>
                <w:sz w:val="21"/>
                <w:szCs w:val="21"/>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Attributable to redeemable noncontrolling interest: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4"/>
        </w:trPr>
        <w:tc>
          <w:tcPr>
            <w:tcW w:w="380" w:type="dxa"/>
            <w:vAlign w:val="bottom"/>
          </w:tcPr>
          <w:p>
            <w:pPr>
              <w:spacing w:after="0"/>
              <w:rPr>
                <w:sz w:val="22"/>
                <w:szCs w:val="22"/>
                <w:color w:val="auto"/>
              </w:rPr>
            </w:pPr>
          </w:p>
        </w:tc>
        <w:tc>
          <w:tcPr>
            <w:tcW w:w="70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6,869</w:t>
            </w:r>
          </w:p>
        </w:tc>
      </w:tr>
      <w:tr>
        <w:trPr>
          <w:trHeight w:val="256"/>
        </w:trPr>
        <w:tc>
          <w:tcPr>
            <w:tcW w:w="38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shd w:val="clear" w:color="auto" w:fill="CCEEFF"/>
              </w:rPr>
              <w:t>Foreign currency translation gain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r>
      <w:tr>
        <w:trPr>
          <w:trHeight w:val="264"/>
        </w:trPr>
        <w:tc>
          <w:tcPr>
            <w:tcW w:w="380" w:type="dxa"/>
            <w:vAlign w:val="bottom"/>
            <w:tcBorders>
              <w:bottom w:val="single" w:sz="8" w:color="CCEEFF"/>
            </w:tcBorders>
          </w:tcPr>
          <w:p>
            <w:pPr>
              <w:spacing w:after="0"/>
              <w:rPr>
                <w:sz w:val="22"/>
                <w:szCs w:val="22"/>
                <w:color w:val="auto"/>
              </w:rPr>
            </w:pPr>
          </w:p>
        </w:tc>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Loss on effective portion of cash flow hedge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redeemable noncontrolling interest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7,824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Comprehensive (loss) income attributable to EZCORP,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(51,257)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27,516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144,341</w:t>
            </w:r>
          </w:p>
        </w:tc>
      </w:tr>
      <w:tr>
        <w:trPr>
          <w:trHeight w:val="20"/>
        </w:trPr>
        <w:tc>
          <w:tcPr>
            <w:tcW w:w="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2012</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(41,532)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38,425</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150,577</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38,627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34,918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25,268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(accretion) of debt discount (premium) and consumer loan premium (discount)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30,740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17,833</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84,158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Reversal of contingent consideration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intangibles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Restructuring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2,478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(Gain) loss on sale or disposal of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Gain on sale of loan portfolio</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6,714</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Income from investments in unconsolidated affiliates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(5,948)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(17,400)</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Impairment of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Service charges and fees receivable,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Inventory, net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(4,017)</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other current assets and other assets,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(15,196)</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payable and other accrued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16,766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4,347</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Customer layaway deposits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Deferred gains and other long-term liabilities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(8,782)</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Tax provision (benefit) from stock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Prepaid income taxes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(13,124)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(7,787)</w:t>
            </w:r>
          </w:p>
        </w:tc>
      </w:tr>
      <w:tr>
        <w:trPr>
          <w:trHeight w:val="27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from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10,632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5,560</w:t>
            </w:r>
          </w:p>
        </w:tc>
      </w:tr>
      <w:tr>
        <w:trPr>
          <w:trHeight w:val="250"/>
        </w:trPr>
        <w:tc>
          <w:tcPr>
            <w:tcW w:w="7780" w:type="dxa"/>
            <w:vAlign w:val="bottom"/>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126,473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140,917</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Loans made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(959,540)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(923,103)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(802,896)</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Loans repaid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628,710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597,528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520,193</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246,053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237,717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240,381</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(45,796)</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(13,226)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(128,647)</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86,129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78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(34,838)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(160,384)</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(216,765)</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Tax (benefit) provision from stock compensation</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1,602</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(3,225)</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Payout of deferred and contingent consideration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convertible notes hedges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issuance of warrants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shares from noncontrolling interest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Contributions from noncontrolling interest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restricted cash</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revolving line of credit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359,900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510,680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792,927</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revolving line of credit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(500,800)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(679,986)</w:t>
            </w:r>
          </w:p>
        </w:tc>
      </w:tr>
    </w:tbl>
    <w:p>
      <w:pPr>
        <w:sectPr>
          <w:pgSz w:w="11900" w:h="16871" w:orient="portrait"/>
          <w:cols w:equalWidth="0" w:num="1">
            <w:col w:w="11420"/>
          </w:cols>
          <w:pgMar w:left="240" w:top="125"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80" w:type="dxa"/>
            <w:vAlign w:val="bottom"/>
          </w:tcPr>
          <w:p>
            <w:pPr>
              <w:ind w:left="380"/>
              <w:spacing w:after="0"/>
              <w:rPr>
                <w:sz w:val="20"/>
                <w:szCs w:val="20"/>
                <w:color w:val="auto"/>
              </w:rPr>
            </w:pPr>
            <w:r>
              <w:rPr>
                <w:rFonts w:ascii="Arial" w:cs="Arial" w:eastAsia="Arial" w:hAnsi="Arial"/>
                <w:sz w:val="14"/>
                <w:szCs w:val="14"/>
                <w:color w:val="auto"/>
              </w:rPr>
              <w:t>Proceeds from bank borrowings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103,178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(15,432)</w:t>
            </w:r>
          </w:p>
        </w:tc>
        <w:tc>
          <w:tcPr>
            <w:tcW w:w="10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2,461</w:t>
            </w:r>
          </w:p>
        </w:tc>
      </w:tr>
      <w:tr>
        <w:trPr>
          <w:trHeight w:val="80"/>
        </w:trPr>
        <w:tc>
          <w:tcPr>
            <w:tcW w:w="7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7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bank borrowings and capital lease obligations</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(60,299)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(11,903)</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778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financing activities</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(33,862)</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22,213</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99,266</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(532)</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1,090</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20,012</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24,508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23,969</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48,477</w:t>
            </w:r>
          </w:p>
        </w:tc>
      </w:tr>
      <w:tr>
        <w:trPr>
          <w:trHeight w:val="20"/>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6"/>
        </w:trPr>
        <w:tc>
          <w:tcPr>
            <w:tcW w:w="7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during the period for:</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Interest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16,361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12,553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2,480</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83,010</w:t>
            </w:r>
          </w:p>
        </w:tc>
      </w:tr>
      <w:tr>
        <w:trPr>
          <w:trHeight w:val="135"/>
        </w:trPr>
        <w:tc>
          <w:tcPr>
            <w:tcW w:w="7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Pawn loans forfeited and transferred to inventory</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241,696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261,837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248,090</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due to acquisitions</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17,984</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Deferred consideration</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25,872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938</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 consideration</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23,432</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Change in accrued additions to property and equipment</w:t>
            </w:r>
          </w:p>
        </w:tc>
        <w:tc>
          <w:tcPr>
            <w:tcW w:w="32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due to purchase of subsidiary shares from noncontrolling interest</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Purchase of shares from noncontrolling interest</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common stock to 401(k) plan</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Equity adjustment due to noncontrolling interest purchase</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 from sale of portfolio</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7780" w:type="dxa"/>
            <w:vAlign w:val="bottom"/>
          </w:tcPr>
          <w:p>
            <w:pPr>
              <w:ind w:left="380"/>
              <w:spacing w:after="0"/>
              <w:rPr>
                <w:sz w:val="20"/>
                <w:szCs w:val="20"/>
                <w:color w:val="auto"/>
              </w:rPr>
            </w:pPr>
            <w:r>
              <w:rPr>
                <w:rFonts w:ascii="Arial" w:cs="Arial" w:eastAsia="Arial" w:hAnsi="Arial"/>
                <w:sz w:val="14"/>
                <w:szCs w:val="14"/>
                <w:color w:val="auto"/>
              </w:rPr>
              <w:t>Deferred finance cost payable related to convertible notes</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 Other</w:t>
            </w:r>
          </w:p>
        </w:tc>
        <w:tc>
          <w:tcPr>
            <w:tcW w:w="144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7"/>
              <w:spacing w:after="0"/>
              <w:rPr>
                <w:sz w:val="20"/>
                <w:szCs w:val="20"/>
                <w:color w:val="auto"/>
              </w:rPr>
            </w:pPr>
            <w:r>
              <w:rPr>
                <w:rFonts w:ascii="Arial" w:cs="Arial" w:eastAsia="Arial" w:hAnsi="Arial"/>
                <w:sz w:val="13"/>
                <w:szCs w:val="13"/>
                <w:b w:val="1"/>
                <w:bCs w:val="1"/>
                <w:color w:val="auto"/>
                <w:w w:val="93"/>
              </w:rPr>
              <w:t>EZCORP, Inc.</w:t>
            </w:r>
          </w:p>
        </w:tc>
      </w:tr>
      <w:tr>
        <w:trPr>
          <w:trHeight w:val="144"/>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7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2"/>
                <w:szCs w:val="12"/>
                <w:color w:val="auto"/>
              </w:rPr>
            </w:pPr>
          </w:p>
        </w:tc>
        <w:tc>
          <w:tcPr>
            <w:tcW w:w="92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90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0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6"/>
              </w:rPr>
              <w:t>(Loss) Income</w:t>
            </w: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Equity</w:t>
            </w:r>
          </w:p>
        </w:tc>
      </w:tr>
      <w:tr>
        <w:trPr>
          <w:trHeight w:val="181"/>
        </w:trPr>
        <w:tc>
          <w:tcPr>
            <w:tcW w:w="3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ind w:left="600"/>
              <w:spacing w:after="0"/>
              <w:rPr>
                <w:sz w:val="20"/>
                <w:szCs w:val="20"/>
                <w:color w:val="auto"/>
              </w:rPr>
            </w:pPr>
            <w:r>
              <w:rPr>
                <w:rFonts w:ascii="Arial" w:cs="Arial" w:eastAsia="Arial" w:hAnsi="Arial"/>
                <w:sz w:val="13"/>
                <w:szCs w:val="13"/>
                <w:i w:val="1"/>
                <w:i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Balances at September 30, 2011</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422,095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664,248</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common stock related to 401(k) match</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459</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6,714</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649</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17,998</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Release of restricted stock</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 from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1,602</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(1,184)</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loss on available-for-sale securities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1,111</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1,111</w:t>
            </w:r>
          </w:p>
        </w:tc>
      </w:tr>
      <w:tr>
        <w:trPr>
          <w:trHeight w:val="2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 attributable to EZCORP, Inc.</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143,708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143,708</w:t>
            </w:r>
          </w:p>
        </w:tc>
      </w:tr>
      <w:tr>
        <w:trPr>
          <w:trHeight w:val="28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Balances at September 30, 2012</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51,226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268,626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565,803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834,828</w:t>
            </w:r>
          </w:p>
        </w:tc>
      </w:tr>
      <w:tr>
        <w:trPr>
          <w:trHeight w:val="225"/>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related to 401(k) match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557</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7,314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7,314</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Issuance of common stock due to acquisitions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38,685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38,705</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Issuance of common stock due to purchase of subsidiary shares from</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10,404</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Purchase of subsidiary shares from noncontrolling interest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(1,415)</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Release of restricted stock</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Excess tax benefit from 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293</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Effective portion of cash flow hedge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loss on available-for-sale securities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6"/>
              </w:rPr>
              <w:t>Reclassification adjustment for loss on available-for-sale securities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included in 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992</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992</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2"/>
              </w:rPr>
              <w:t>Foreign currency translation reclassification adjustment realized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impairment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221</w:t>
            </w:r>
          </w:p>
        </w:tc>
      </w:tr>
      <w:tr>
        <w:trPr>
          <w:trHeight w:val="2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 attributable to EZCORP, Inc.</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34,077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34,077</w:t>
            </w:r>
          </w:p>
        </w:tc>
      </w:tr>
      <w:tr>
        <w:trPr>
          <w:trHeight w:val="282"/>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Balances at September 30, 2013</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54,240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320,777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599,880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(6,674)</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914,526</w:t>
            </w:r>
          </w:p>
        </w:tc>
      </w:tr>
      <w:tr>
        <w:trPr>
          <w:trHeight w:val="225"/>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related to 401(k) match</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557</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7,341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7,341</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subsidiary shares from noncontrolling interest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Release of restricted stock</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Tax deficiency of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(1,982)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(1,982)</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Effective portion of cash flow hedge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Net proceeds from sale of warrants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25,106</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(5,627)</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2"/>
              </w:rPr>
              <w:t>Foreign currency translation reclassification adjustment realized upon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impairment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375</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treasury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(11,903)</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Retirement of treasury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 attributable to EZCORP, Inc.</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(45,740)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(45,740)</w:t>
            </w:r>
          </w:p>
        </w:tc>
      </w:tr>
      <w:tr>
        <w:trPr>
          <w:trHeight w:val="215"/>
        </w:trPr>
        <w:tc>
          <w:tcPr>
            <w:tcW w:w="3900" w:type="dxa"/>
            <w:vAlign w:val="bottom"/>
          </w:tcPr>
          <w:p>
            <w:pPr>
              <w:ind w:left="40"/>
              <w:spacing w:after="0"/>
              <w:rPr>
                <w:sz w:val="20"/>
                <w:szCs w:val="20"/>
                <w:color w:val="auto"/>
              </w:rPr>
            </w:pPr>
            <w:r>
              <w:rPr>
                <w:rFonts w:ascii="Arial" w:cs="Arial" w:eastAsia="Arial" w:hAnsi="Arial"/>
                <w:sz w:val="13"/>
                <w:szCs w:val="13"/>
                <w:color w:val="auto"/>
              </w:rPr>
              <w:t>Balances at September 30, 2014</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53,585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339,666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547,177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(12,191)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875,188</w:t>
            </w:r>
          </w:p>
        </w:tc>
      </w:tr>
      <w:tr>
        <w:trPr>
          <w:trHeight w:val="20"/>
        </w:trPr>
        <w:tc>
          <w:tcPr>
            <w:tcW w:w="3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right="4000"/>
        <w:spacing w:after="0" w:line="440" w:lineRule="auto"/>
        <w:rPr>
          <w:sz w:val="20"/>
          <w:szCs w:val="20"/>
          <w:color w:val="auto"/>
        </w:rPr>
      </w:pPr>
      <w:r>
        <w:rPr>
          <w:rFonts w:ascii="Arial" w:cs="Arial" w:eastAsia="Arial" w:hAnsi="Arial"/>
          <w:sz w:val="18"/>
          <w:szCs w:val="18"/>
          <w:b w:val="1"/>
          <w:bCs w:val="1"/>
          <w:color w:val="auto"/>
        </w:rPr>
        <w:t>NOTE 1: ORGANIZATION AND SUMMARY OF SIGNIFICANT ACCOUNTING POLICIES Organization</w:t>
      </w:r>
    </w:p>
    <w:p>
      <w:pPr>
        <w:spacing w:after="0" w:line="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a leading provider of specialty consumer financial services. We provide collateralized, non-recourse loans, commonly known as pawn loans, and a variety of short-term consumer loans including single-payment and multiple-payment unsecured loans and single-payment and multiple-payment auto title loans, or fee-based credit services to customers seeking loans.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we operated a total of 1,358 locations, consisting of:</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497 U.S. pawn stores (operating primarily as EZPAWN or Value Pawn);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242 Mexico pawn stores (operating as Empeño Fácil);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 Mexico buy/sell stores (operating as TUYO);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501 U.S. financial services stores (operating primarily as EZMONEY);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 financial services stores in Canada (operating as CASHMAX);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buy/sell and financial services stores in Canada (operating as Cash Converters);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53 Grupo Finmart locations in Mexico.</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are the franchisor for five franchised Cash Converters stores in Canada pursuant to our acquisition of the Cash Converters master franchise in that country. We also own approximately 32% of Cash Converters International Limited, which is based in Australia and franchises and operates a worldwide network of over 750 locations that provide financial services and buy and sell second-hand goods.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consolidated financial statements include the accounts of EZCORP, Inc. ("EZCORP") and its consolidated subsidiaries. All inter-company accounts and transactions have been eliminated in consolidation. As of September 30, 2014, we owned 76% of the outstanding equity interests in Prestaciones Finmart, S.A.P.I. de C.V., SOFOM, E.N.R. ("Grupo Finmart"), doing business under the brands "Crediamigo" and "Adex," and 59% of Renueva Comercial S.A.P.I. de C.V. ("TUYO"), and therefore, include their results in our consolidated financial statements. We account for our investment in Cash Converters International Limited ("Cash Converters International") using the equity method. Prior to the quarter ended March 31, 2014, we accounted for our investment in Albemarle &amp; Bond Holdings, PLC ("Albemarle &amp; Bond") using the equity method. As of March 31, 2014, we concluded that this investment was impaired and recognized an other-than-temporary impairment which brought our carrying value of this investment to zero. Certain reclassifications of prior period amounts have been made related to discontinued operations (described in Note 2) and acquired businesses (described in Note 3). Furthermore, certain reclassifications of prior period amounts have been made to conform to the current period presentation. These reclassifications did not have a material impact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Loan and Sales Revenue Recognition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months. Unexpected variations in any of these factors could change our estimate of collectible loans, affecting our earnings and financial condition. If a pawn loan is not repaid, we value the forfeited collateral (inventory) at the lower of cost (pawn loan principal) or market value of the item.</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record sales revenue and the related cost when this inventory is sold, or when we receive the final payment on a layaway sale. Sales tax collected on the sale of inventory is excluded from the amount recognized as sales and instead recorded as a liability in “Accounts payable and other accrued expenses” in our consolidated balance sheets until remitted to the appropriate governmental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Loans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provide a variety of short-term consumer loans including single-payment and multiple-payment unsecured loans and single-payment and multiple-payment auto title loans. In Texas, we provide fee-based credit services to customers seeking loans.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Mexico, Grupo Finmart enters into agreements with employers that permit it to market consumer loans to employees. Payments are withheld by the employers through payroll deductions and remitted to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left="340" w:right="200"/>
        <w:spacing w:after="0" w:line="302" w:lineRule="auto"/>
        <w:rPr>
          <w:sz w:val="20"/>
          <w:szCs w:val="20"/>
          <w:color w:val="auto"/>
        </w:rPr>
      </w:pPr>
      <w:r>
        <w:rPr>
          <w:rFonts w:ascii="Arial" w:cs="Arial" w:eastAsia="Arial" w:hAnsi="Arial"/>
          <w:sz w:val="16"/>
          <w:szCs w:val="16"/>
          <w:i w:val="1"/>
          <w:iCs w:val="1"/>
          <w:color w:val="auto"/>
        </w:rPr>
        <w:t xml:space="preserve">Unsecured Consumer Loan Credit Service Fees — </w:t>
      </w:r>
      <w:r>
        <w:rPr>
          <w:rFonts w:ascii="Arial" w:cs="Arial" w:eastAsia="Arial" w:hAnsi="Arial"/>
          <w:sz w:val="16"/>
          <w:szCs w:val="16"/>
          <w:color w:val="auto"/>
        </w:rPr>
        <w:t>We earn credit service fees when we assist customers in obtaining unsecured loans from unaffiliated</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We initially defer recognition of a portion of the fees we expect to collect and recognize that deferred net amount over the life of the related loans. We reserve the percentage of credit service fees we expect not to collect. Fees related to defaulted loans increase credit service fee revenue upon collection. Unsecured loan credit service fee revenue is included in “Consumer loan fees and interest” in our consolidated statements of operations.</w:t>
      </w:r>
    </w:p>
    <w:p>
      <w:pPr>
        <w:spacing w:after="0" w:line="100"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Unsecured Consumer Loan Revenue — </w:t>
      </w:r>
      <w:r>
        <w:rPr>
          <w:rFonts w:ascii="Arial" w:cs="Arial" w:eastAsia="Arial" w:hAnsi="Arial"/>
          <w:sz w:val="18"/>
          <w:szCs w:val="18"/>
          <w:color w:val="auto"/>
        </w:rPr>
        <w:t>We accrue fees and interest in accordance with state and Canadian provincial laws on the percentage of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loans (single-payment and multiple-payment) we have made that we believe to be collectible. Accrued fees related to defaulted loans reduce fee revenue upon loan default and increase fee revenue upon collection. Unsecured loan revenue is included in “Consumer loan fees and interest” in our consolidated statements of operations.</w:t>
      </w:r>
    </w:p>
    <w:p>
      <w:pPr>
        <w:spacing w:after="0" w:line="133" w:lineRule="exact"/>
        <w:rPr>
          <w:sz w:val="20"/>
          <w:szCs w:val="20"/>
          <w:color w:val="auto"/>
        </w:rPr>
      </w:pPr>
    </w:p>
    <w:p>
      <w:pPr>
        <w:ind w:left="340" w:right="180"/>
        <w:spacing w:after="0" w:line="293" w:lineRule="auto"/>
        <w:rPr>
          <w:sz w:val="20"/>
          <w:szCs w:val="20"/>
          <w:color w:val="auto"/>
        </w:rPr>
      </w:pPr>
      <w:r>
        <w:rPr>
          <w:rFonts w:ascii="Arial" w:cs="Arial" w:eastAsia="Arial" w:hAnsi="Arial"/>
          <w:sz w:val="16"/>
          <w:szCs w:val="16"/>
          <w:i w:val="1"/>
          <w:iCs w:val="1"/>
          <w:color w:val="auto"/>
        </w:rPr>
        <w:t xml:space="preserve">Long-term Unsecured Consumer Loan Revenue — </w:t>
      </w:r>
      <w:r>
        <w:rPr>
          <w:rFonts w:ascii="Arial" w:cs="Arial" w:eastAsia="Arial" w:hAnsi="Arial"/>
          <w:sz w:val="16"/>
          <w:szCs w:val="16"/>
          <w:color w:val="auto"/>
        </w:rPr>
        <w:t>Grupo Finmart customers obtain installment loans with a series of payments due over as long as a</w:t>
      </w:r>
      <w:r>
        <w:rPr>
          <w:rFonts w:ascii="Arial" w:cs="Arial" w:eastAsia="Arial" w:hAnsi="Arial"/>
          <w:sz w:val="16"/>
          <w:szCs w:val="16"/>
          <w:i w:val="1"/>
          <w:iCs w:val="1"/>
          <w:color w:val="auto"/>
        </w:rPr>
        <w:t xml:space="preserve"> </w:t>
      </w:r>
      <w:r>
        <w:rPr>
          <w:rFonts w:ascii="Arial" w:cs="Arial" w:eastAsia="Arial" w:hAnsi="Arial"/>
          <w:sz w:val="16"/>
          <w:szCs w:val="16"/>
          <w:color w:val="auto"/>
        </w:rPr>
        <w:t>four-year period. We recognize consumer loan interest related to loans we originate based on the percentage of consumer loans made that we believe to be collectible. We recognize interest revenue ratably over the life of the related loans. We reserve the percentage of interest we expect not to collect. Interest related to defaulted loans increase consumer loan fee revenue upon collection. Long-term unsecured consumer loan revenue is included in “Consumer loan fees and interest” in our consolidated statements of operations. Incremental direct costs incurred (commissions) are capitalized and deferred ratably over the life of the loans. Amortization of these costs is included in “Operations” expense in our consolidated statements of operations.</w:t>
      </w:r>
    </w:p>
    <w:p>
      <w:pPr>
        <w:spacing w:after="0" w:line="111" w:lineRule="exact"/>
        <w:rPr>
          <w:sz w:val="20"/>
          <w:szCs w:val="20"/>
          <w:color w:val="auto"/>
        </w:rPr>
      </w:pPr>
    </w:p>
    <w:p>
      <w:pPr>
        <w:ind w:left="340" w:right="140"/>
        <w:spacing w:after="0" w:line="286" w:lineRule="auto"/>
        <w:rPr>
          <w:sz w:val="20"/>
          <w:szCs w:val="20"/>
          <w:color w:val="auto"/>
        </w:rPr>
      </w:pPr>
      <w:r>
        <w:rPr>
          <w:rFonts w:ascii="Arial" w:cs="Arial" w:eastAsia="Arial" w:hAnsi="Arial"/>
          <w:sz w:val="17"/>
          <w:szCs w:val="17"/>
          <w:i w:val="1"/>
          <w:iCs w:val="1"/>
          <w:color w:val="auto"/>
        </w:rPr>
        <w:t xml:space="preserve">Auto Title Loan Credit Service Fee Revenue — </w:t>
      </w:r>
      <w:r>
        <w:rPr>
          <w:rFonts w:ascii="Arial" w:cs="Arial" w:eastAsia="Arial" w:hAnsi="Arial"/>
          <w:sz w:val="17"/>
          <w:szCs w:val="17"/>
          <w:color w:val="auto"/>
        </w:rPr>
        <w:t>We earn auto title credit service fees when we assist customers in obtaining auto title loans from</w:t>
      </w:r>
      <w:r>
        <w:rPr>
          <w:rFonts w:ascii="Arial" w:cs="Arial" w:eastAsia="Arial" w:hAnsi="Arial"/>
          <w:sz w:val="17"/>
          <w:szCs w:val="17"/>
          <w:i w:val="1"/>
          <w:iCs w:val="1"/>
          <w:color w:val="auto"/>
        </w:rPr>
        <w:t xml:space="preserve"> </w:t>
      </w:r>
      <w:r>
        <w:rPr>
          <w:rFonts w:ascii="Arial" w:cs="Arial" w:eastAsia="Arial" w:hAnsi="Arial"/>
          <w:sz w:val="17"/>
          <w:szCs w:val="17"/>
          <w:color w:val="auto"/>
        </w:rPr>
        <w:t>unaffiliated lenders. We recognize the fee revenue ratably over the life of the loan, and reserve the percentage of fees we expect not to collect. Auto title loan credit service fee revenue is included in “Consumer loan fees and interest” in our consolidated statements of operations.</w:t>
      </w:r>
    </w:p>
    <w:p>
      <w:pPr>
        <w:spacing w:after="0" w:line="111"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i w:val="1"/>
          <w:iCs w:val="1"/>
          <w:color w:val="auto"/>
        </w:rPr>
        <w:t xml:space="preserve">Auto Title Loan Revenue — </w:t>
      </w:r>
      <w:r>
        <w:rPr>
          <w:rFonts w:ascii="Arial" w:cs="Arial" w:eastAsia="Arial" w:hAnsi="Arial"/>
          <w:sz w:val="18"/>
          <w:szCs w:val="18"/>
          <w:color w:val="auto"/>
        </w:rPr>
        <w:t>We accrue fees in accordance with state laws on the percentage of auto title loans we have made that we believe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collectible. We recognize the fee revenue ratably over the life of the loan. Auto title loan revenue is included in “Consumer loan fees and interest” in our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 and Allowance for Losses</w:t>
      </w:r>
    </w:p>
    <w:p>
      <w:pPr>
        <w:spacing w:after="0" w:line="171"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i w:val="1"/>
          <w:iCs w:val="1"/>
          <w:color w:val="auto"/>
        </w:rPr>
        <w:t xml:space="preserve">Unsecured Consumer Loan Credit Service Bad Debt — </w:t>
      </w:r>
      <w:r>
        <w:rPr>
          <w:rFonts w:ascii="Arial" w:cs="Arial" w:eastAsia="Arial" w:hAnsi="Arial"/>
          <w:sz w:val="17"/>
          <w:szCs w:val="17"/>
          <w:color w:val="auto"/>
        </w:rPr>
        <w:t>We issue letters of credit to enhance the creditworthiness of our customers seeking unsecured</w:t>
      </w:r>
      <w:r>
        <w:rPr>
          <w:rFonts w:ascii="Arial" w:cs="Arial" w:eastAsia="Arial" w:hAnsi="Arial"/>
          <w:sz w:val="17"/>
          <w:szCs w:val="17"/>
          <w:i w:val="1"/>
          <w:iCs w:val="1"/>
          <w:color w:val="auto"/>
        </w:rPr>
        <w:t xml:space="preserve"> </w:t>
      </w:r>
      <w:r>
        <w:rPr>
          <w:rFonts w:ascii="Arial" w:cs="Arial" w:eastAsia="Arial" w:hAnsi="Arial"/>
          <w:sz w:val="17"/>
          <w:szCs w:val="17"/>
          <w:color w:val="auto"/>
        </w:rPr>
        <w:t>loans from unaffiliated lenders. The letters of credit assure the lenders that if borrowers default on the loans, we will pay the lenders, upon demand, the principal and accrued interest owed to the lenders by the borrowers plus any insufficient funds fees. Although amounts paid under letters of credit may be collected later, we charge those amounts to consumer loan bad debt upon default. We record recoveries under the letters of credit as a reduction of bad debt at the time of collection. After attempting collection of bad debts internally, we occasionally sell them to an unaffiliated company as another method of recovery. We record the proceeds from such sales as a reduction of bad debt at the time of the sale. Unsecured consumer loan credit service bad debt is included in "Consumer loan bad debt" in our consolidated statements of operations.</w:t>
      </w:r>
    </w:p>
    <w:p>
      <w:pPr>
        <w:spacing w:after="0" w:line="124" w:lineRule="exact"/>
        <w:rPr>
          <w:sz w:val="20"/>
          <w:szCs w:val="20"/>
          <w:color w:val="auto"/>
        </w:rPr>
      </w:pPr>
    </w:p>
    <w:p>
      <w:pPr>
        <w:jc w:val="both"/>
        <w:ind w:left="340" w:right="40"/>
        <w:spacing w:after="0" w:line="312" w:lineRule="auto"/>
        <w:rPr>
          <w:sz w:val="20"/>
          <w:szCs w:val="20"/>
          <w:color w:val="auto"/>
        </w:rPr>
      </w:pPr>
      <w:r>
        <w:rPr>
          <w:rFonts w:ascii="Arial" w:cs="Arial" w:eastAsia="Arial" w:hAnsi="Arial"/>
          <w:sz w:val="16"/>
          <w:szCs w:val="16"/>
          <w:color w:val="auto"/>
        </w:rPr>
        <w:t>Consumer loans made by EZCORP Online are considered delinquent if they are not repaid or renewed by the maturity date. We do not accrue additional revenues on delinquent loans. All outstanding principal balances and related fee receivables greater than 60 days past due are considered defaulted. Upon default, we charge consumer loan principal to consumer loan bad debt and reverse accrued unsecured consumer loan fee revenue.</w:t>
      </w:r>
    </w:p>
    <w:p>
      <w:pPr>
        <w:spacing w:after="0" w:line="93"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The majority of our credit service customers obtain short-term unsecured loans with a single maturity date. These short-term loans, with terms averaging about 20 days, are considered defaulted if they have not been repaid or renewed by the maturity date. Other credit service customers obtain multiple-payment loans with a series of payments due over as much as a seven-month period. If one payment of a multiple-payment loan is delinquent, that one payment is considered defaulted. If more than one payment is delinquent at any time, the entire loan is considered defaulted.</w:t>
      </w:r>
    </w:p>
    <w:p>
      <w:pPr>
        <w:spacing w:after="0" w:line="117"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i w:val="1"/>
          <w:iCs w:val="1"/>
          <w:color w:val="auto"/>
        </w:rPr>
        <w:t xml:space="preserve">Allowance for Losses on Unsecured Consumer Loan Credit Services — </w:t>
      </w:r>
      <w:r>
        <w:rPr>
          <w:rFonts w:ascii="Arial" w:cs="Arial" w:eastAsia="Arial" w:hAnsi="Arial"/>
          <w:sz w:val="18"/>
          <w:szCs w:val="18"/>
          <w:color w:val="auto"/>
        </w:rPr>
        <w:t>We provide an allowance for losses we expect to incur under letters of credit for</w:t>
      </w:r>
      <w:r>
        <w:rPr>
          <w:rFonts w:ascii="Arial" w:cs="Arial" w:eastAsia="Arial" w:hAnsi="Arial"/>
          <w:sz w:val="18"/>
          <w:szCs w:val="18"/>
          <w:i w:val="1"/>
          <w:iCs w:val="1"/>
          <w:color w:val="auto"/>
        </w:rPr>
        <w:t xml:space="preserve"> </w:t>
      </w:r>
      <w:r>
        <w:rPr>
          <w:rFonts w:ascii="Arial" w:cs="Arial" w:eastAsia="Arial" w:hAnsi="Arial"/>
          <w:sz w:val="18"/>
          <w:szCs w:val="18"/>
          <w:color w:val="auto"/>
        </w:rPr>
        <w:t>brokered unsecured loans that have not yet matured. The allowance is based on recent loan default experience adjusted for seasonal variations. It includes all amounts we expect to pay to the unaffiliated lenders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right="260"/>
        <w:spacing w:after="0" w:line="255" w:lineRule="auto"/>
        <w:rPr>
          <w:sz w:val="20"/>
          <w:szCs w:val="20"/>
          <w:color w:val="auto"/>
        </w:rPr>
      </w:pPr>
      <w:r>
        <w:rPr>
          <w:rFonts w:ascii="Arial" w:cs="Arial" w:eastAsia="Arial" w:hAnsi="Arial"/>
          <w:sz w:val="18"/>
          <w:szCs w:val="18"/>
          <w:color w:val="auto"/>
        </w:rPr>
        <w:t>upon loan default, including loan principal, accrued interest and insufficient funds fees, net of the amounts we expect to collect from borrowers (collectively, “Expected LOC Losses”). Changes in the allowance are charged to consumer loan bad debt in our consolidated statements of operations. We include the balance of Expected LOC Losses in “Accounts payable and other accrued expenses” in our consolidated balance sheets. Based on the expected loss and collection percentages, we also provide an allowance for the unsecured loan credit service fees we expect not to collect, and charge changes in this allowance to consumer loan fee revenue, which is included in "Consumer loan fees and interest" in our consolidated statements of operations.</w:t>
      </w:r>
    </w:p>
    <w:p>
      <w:pPr>
        <w:spacing w:after="0" w:line="139" w:lineRule="exact"/>
        <w:rPr>
          <w:sz w:val="20"/>
          <w:szCs w:val="20"/>
          <w:color w:val="auto"/>
        </w:rPr>
      </w:pPr>
    </w:p>
    <w:p>
      <w:pPr>
        <w:ind w:left="340" w:right="140"/>
        <w:spacing w:after="0" w:line="272" w:lineRule="auto"/>
        <w:rPr>
          <w:sz w:val="20"/>
          <w:szCs w:val="20"/>
          <w:color w:val="auto"/>
        </w:rPr>
      </w:pPr>
      <w:r>
        <w:rPr>
          <w:rFonts w:ascii="Arial" w:cs="Arial" w:eastAsia="Arial" w:hAnsi="Arial"/>
          <w:sz w:val="17"/>
          <w:szCs w:val="17"/>
          <w:i w:val="1"/>
          <w:iCs w:val="1"/>
          <w:color w:val="auto"/>
        </w:rPr>
        <w:t xml:space="preserve">Unsecured Consumer Loan Bad Debt — </w:t>
      </w:r>
      <w:r>
        <w:rPr>
          <w:rFonts w:ascii="Arial" w:cs="Arial" w:eastAsia="Arial" w:hAnsi="Arial"/>
          <w:sz w:val="17"/>
          <w:szCs w:val="17"/>
          <w:color w:val="auto"/>
        </w:rPr>
        <w:t>In general, we consider a single-payment loan defaulted if it has not been repaid or renewed by the maturity</w:t>
      </w:r>
      <w:r>
        <w:rPr>
          <w:rFonts w:ascii="Arial" w:cs="Arial" w:eastAsia="Arial" w:hAnsi="Arial"/>
          <w:sz w:val="17"/>
          <w:szCs w:val="17"/>
          <w:i w:val="1"/>
          <w:iCs w:val="1"/>
          <w:color w:val="auto"/>
        </w:rPr>
        <w:t xml:space="preserve"> </w:t>
      </w:r>
      <w:r>
        <w:rPr>
          <w:rFonts w:ascii="Arial" w:cs="Arial" w:eastAsia="Arial" w:hAnsi="Arial"/>
          <w:sz w:val="17"/>
          <w:szCs w:val="17"/>
          <w:color w:val="auto"/>
        </w:rPr>
        <w:t>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We record collections of principal as a reduction of consumer loan bad debt when collected. After attempting collection of bad debts internally, we occasionally sell them to an unaffiliated company as another method of recovery and record the proceeds from such sales as a reduction of bad debt at the time of sale. Unsecured consumer loan bad debt is included in "Consumer loan bad debt" in our consolidated statements of operations.</w:t>
      </w:r>
    </w:p>
    <w:p>
      <w:pPr>
        <w:spacing w:after="0" w:line="124"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We do not accrue additional revenues on delinquent loans. All outstanding principal balances and related fee receivables greater than 60 days past due are considered defaulted. Upon default, we charge consumer loan principal to consumer loan bad debt and reverse accrued unsecured consumer loan fee revenue.</w:t>
      </w:r>
    </w:p>
    <w:p>
      <w:pPr>
        <w:spacing w:after="0" w:line="127"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i w:val="1"/>
          <w:iCs w:val="1"/>
          <w:color w:val="auto"/>
        </w:rPr>
        <w:t xml:space="preserve">Unsecured Consumer Loan Allowance for Losses — </w:t>
      </w:r>
      <w:r>
        <w:rPr>
          <w:rFonts w:ascii="Arial" w:cs="Arial" w:eastAsia="Arial" w:hAnsi="Arial"/>
          <w:sz w:val="18"/>
          <w:szCs w:val="18"/>
          <w:color w:val="auto"/>
        </w:rPr>
        <w:t>We provide an allowance for losses on unsecured loans that have not yet matured and related fees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based on recent loan default experience adjusted for seasonal variations. We charge any changes in the principal valuation allowance to "Consumer loan bad debt" in our consolidated statements of operations. We record changes in the fee receivable valuation allowance to "Consumer loan fees and interest" in our consolidated statements of operations.</w:t>
      </w:r>
    </w:p>
    <w:p>
      <w:pPr>
        <w:spacing w:after="0" w:line="13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i w:val="1"/>
          <w:iCs w:val="1"/>
          <w:color w:val="auto"/>
        </w:rPr>
        <w:t xml:space="preserve">Long-Term Unsecured Consumer Loan Bad Debt — </w:t>
      </w:r>
      <w:r>
        <w:rPr>
          <w:rFonts w:ascii="Arial" w:cs="Arial" w:eastAsia="Arial" w:hAnsi="Arial"/>
          <w:sz w:val="18"/>
          <w:szCs w:val="18"/>
          <w:color w:val="auto"/>
        </w:rPr>
        <w:t>Consumer loans made by Grupo Finmart are considered in current status as long as the customer 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and Grupo Finmart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Recoveries of written-off principal are recorded as a reduction of consumer loan bad debt when collected. Long-term unsecured consumer loan bad debt is included in "Consumer loan bad debt" in our consolidated statements of operations.</w:t>
      </w:r>
    </w:p>
    <w:p>
      <w:pPr>
        <w:spacing w:after="0" w:line="135"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i w:val="1"/>
          <w:iCs w:val="1"/>
          <w:color w:val="auto"/>
        </w:rPr>
        <w:t xml:space="preserve">Long-Term Unsecured Consumer Loan Allowance for Losses — </w:t>
      </w:r>
      <w:r>
        <w:rPr>
          <w:rFonts w:ascii="Arial" w:cs="Arial" w:eastAsia="Arial" w:hAnsi="Arial"/>
          <w:sz w:val="18"/>
          <w:szCs w:val="18"/>
          <w:color w:val="auto"/>
        </w:rPr>
        <w:t>Grupo Finmart provides an allowance for losses on consumer loans that have not yet</w:t>
      </w:r>
      <w:r>
        <w:rPr>
          <w:rFonts w:ascii="Arial" w:cs="Arial" w:eastAsia="Arial" w:hAnsi="Arial"/>
          <w:sz w:val="18"/>
          <w:szCs w:val="18"/>
          <w:i w:val="1"/>
          <w:iCs w:val="1"/>
          <w:color w:val="auto"/>
        </w:rPr>
        <w:t xml:space="preserve"> </w:t>
      </w:r>
      <w:r>
        <w:rPr>
          <w:rFonts w:ascii="Arial" w:cs="Arial" w:eastAsia="Arial" w:hAnsi="Arial"/>
          <w:sz w:val="18"/>
          <w:szCs w:val="18"/>
          <w:color w:val="auto"/>
        </w:rPr>
        <w:t>matured and related fees receivable based on recent loan default experience. Changes in the principal valuation allowance are charged to "Consumer loan bad debt" and changes in the interest receivable valuation allowance are charged to "Consumer loan fees and interest" in our consolidated statements of operations.</w:t>
      </w:r>
    </w:p>
    <w:p>
      <w:pPr>
        <w:spacing w:after="0" w:line="133"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i w:val="1"/>
          <w:iCs w:val="1"/>
          <w:color w:val="auto"/>
        </w:rPr>
        <w:t xml:space="preserve">Auto Title Loan Credit Services Bad Debt and Allowance for Losses — </w:t>
      </w:r>
      <w:r>
        <w:rPr>
          <w:rFonts w:ascii="Arial" w:cs="Arial" w:eastAsia="Arial" w:hAnsi="Arial"/>
          <w:sz w:val="17"/>
          <w:szCs w:val="17"/>
          <w:color w:val="auto"/>
        </w:rPr>
        <w:t>We issue letters of credit to enhance the creditworthiness of our customers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auto title loans from unaffiliated lenders. The letters of credit assure the lenders that if borrowers default on the loans, we will pay the lenders, upon demand, all amounts owed to the lenders by the borrowers plus any insufficient funds fees. Through a charge to auto title loan bad debt, we provide an allowance for losses we expect to incur under letters of credit for brokered auto title loans, and record actual charge-offs against this allowance. The allowance includes all amounts we expect to pay to the unaffiliated lenders upon loan default, including principal, accrued interest and insufficient funds fees, net of the amounts we expect to collect from borrowers or through the sale of repossessed vehicles. We include the allowance for expected losses in “Accounts payable and other accrued expenses” in our consolidated balance sheets.</w:t>
      </w:r>
    </w:p>
    <w:p>
      <w:pPr>
        <w:spacing w:after="0" w:line="124"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i w:val="1"/>
          <w:iCs w:val="1"/>
          <w:color w:val="auto"/>
        </w:rPr>
        <w:t xml:space="preserve">Auto Title Loan Bad Debt and Allowance for Losses — </w:t>
      </w:r>
      <w:r>
        <w:rPr>
          <w:rFonts w:ascii="Arial" w:cs="Arial" w:eastAsia="Arial" w:hAnsi="Arial"/>
          <w:sz w:val="17"/>
          <w:szCs w:val="17"/>
          <w:color w:val="auto"/>
        </w:rPr>
        <w:t>Based on historical collection experience, the age of past-due loans and amounts we expect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through the sale of repossessed vehicles, we provide an allowance for losses on auto title loans and related fees receivable. We charge any increases in the principal valuation allowance to consumer loan bad debt and charge uncollectable loans against this allowance. We record changes in the fee receivable valuation allowance to "Consumer loan fees and interest" in our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Financial Assets</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52525"/>
        </w:rPr>
        <w:t>In accordance with FASB ASC 860-10-40-5, transfers of financial assets are accounted for as sales when control over the assets has been relinquished. Control over transferred assets is deemed to be surrendered when the assets have been isolated from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52525"/>
        </w:rPr>
        <w:t>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 or the ability to unilaterally cause the holder to return specific assets.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52525"/>
        </w:rPr>
        <w:t>The sales price net of the carrying amount of the loan portfolio is recorded as revenue in “Consumer loan sales and other revenue” in our consolidated statements of operations. The accelerated commission and other related expenses are recorded in “Operations” expense in our consolidated statements of operations. The proceeds of the loan portfolio sales are reflected as investing activities in the Company's consolidated statements of cash flows, as they were not specifically originated for resale.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Cost of Goods Sold</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order to state inventory at the lower of cost or market value, we record an allowance for excess, obsolete or slow moving inventory based on the type and age of merchandise. We include in "Merchandise cost of goods sold" in our consolidated statements of operations the historical cost of inventory sold, inventory shrinkage and any change in the allowance for inventory shrinkage and valuation. We also include the cost of operating our central jewelry processing unit, as it relates directly to sales of precious metals to refiners.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Cash Concentrations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investing in high quality instruments or funds,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Restricted cash amounts represent amounts that can only be used to settle liabilities of Grupo Finmart's securitization trust or for interest payments on Grupo Finmart's debt. Refer to Note 9 for further detail.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by the straight-line method over the estimated useful lives of each system, typically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Layaways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Customer layaway deposits are recorded as deferred revenue until we collect the entire related sales price and deliver the related merchandise to the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Nonrefundable customer layaway fees are charged upfront and recognized when collected.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Goodwill and other intangible assets having indefinite lives are not subject to amortization.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as of September 30, or more frequently if an event occurs or circumstances change that would more likely than not reduce the fair value of a reporting unit below its carrying amount. The impairment test consists of two steps: in step one, the carrying value of the reporting unit is compared with its fair value; in step two, which is applied when the carrying value is more than its fair value, the amount of goodwill impairment, if any, is derived by deducting the fair value of the reporting unit’s assets and liabilities from the fair value of its equity, and comparing that amount with the carrying amount of goodwill.</w:t>
      </w:r>
    </w:p>
    <w:p>
      <w:pPr>
        <w:spacing w:after="0" w:line="1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perform our impairment analysis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A reporting unit is the operating segment, or one level below that operating segment (the component level) if discrete financial information is prepared and regularly reviewed by segment management. However, components are aggregated as a single reporting unit if they have similar economic characteristics. We have determined that our reporting units are the same as our operating segments.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risks and uncertainty inherent in the respective businesses and in our internally developed forecasts. Discount rates used in our reporting unit valuations ranged from 16% to 21%. Changes in the economic conditions or regulatory environment could negatively affect our key assumptions.</w:t>
      </w:r>
    </w:p>
    <w:p>
      <w:pPr>
        <w:spacing w:after="0" w:line="9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completed our annual assessment of goodwill and indefinite lived intangible assets as of September 30, 2014 and determined that no material impairment existed at that date other than that described below. In conjunction with discontinued operations, we recognized impairment of goodwill and other intangible assets for the U.S. &amp; Canada and Other International reporting units at September 30, 2014. See Notes 2 and 7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Tangible Long-Lived Assets</w:t>
      </w:r>
    </w:p>
    <w:p>
      <w:pPr>
        <w:spacing w:after="0" w:line="17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 In conjunction with discontinued operations, we recognized impairment of tangible long-lived assets for the U.S. &amp; Canada and Other International reporting units at September 30, 2014. See Notes 2 and 6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elected not to measure at fair value any eligible items for which fair value measurement is optional. We determine the fair value of financial instruments by reference to various market data and other valuation techniques, as appropriate. Unless otherwise disclosed, the fair values of financial instruments approximate their recorded values, due primarily to their short-term nature. The recorded value of our outstanding debt is assumed to estimate its fair value, as it has no prepayment penalty and a floating interest rate based on market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all derivative instruments as either assets or liabilities in our consolidated balance sheets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enter into derivative contracts that we intend to designate as a hedge of a forecasted transaction or the variability of cash flows to be received or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a recognized asset or liability (cash flow hedge). For all hedging relationships, we formally document the hedging relationship and its</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risk</w:t>
      </w:r>
      <w:r>
        <w:rPr>
          <w:rFonts w:ascii="MS PGothic" w:cs="MS PGothic" w:eastAsia="MS PGothic" w:hAnsi="MS PGothic"/>
          <w:sz w:val="16"/>
          <w:szCs w:val="16"/>
          <w:color w:val="auto"/>
        </w:rPr>
        <w:t>‑</w:t>
      </w:r>
      <w:r>
        <w:rPr>
          <w:rFonts w:ascii="Arial" w:cs="Arial" w:eastAsia="Arial" w:hAnsi="Arial"/>
          <w:sz w:val="16"/>
          <w:szCs w:val="16"/>
          <w:color w:val="auto"/>
        </w:rPr>
        <w:t>management objective and strategy for undertaking the hedge, the hedging instrument, the hedged transaction, the nature of the risk being hedged, how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hedging instrument's effectiveness in offsetting the hedged risk will be assessed prospectively and retrospectively, and a description of the method used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 ineffectiveness. We also formally assess, both at the inception of the hedging relationship and on an ongoing basis, whether the derivatives that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in hedging relationships are highly effective in offsetting changes in cash flows of hedged transactions. For derivative instruments that are designated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qualify as part of a cash flow hedging relationship, the effective portion of the gain or loss on the derivative is reported as a component of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and reclassified into earnings in the same period or periods during which the hedged transaction affects earnings. Gains and losses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derivative representing either hedge ineffectiveness or hedge components excluded from the assessment of effectiveness are recognized in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discontinue hedge accounting prospectively when it is determined that the derivative is no longer effective in offsetting cash flows attributable to the hedged risk, the derivative expires or is sold, terminated, or exercised, the cash flow hedge is redesignated because a forecasted transaction is not probable of occurring, or management determines to remove the designation of the cash flow hedge.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all situations in which hedge accounting is discontinued and the derivative remains outstanding, we continue to carry the derivative at its fair value on the consolidated balance sheets and recognize any subsequent changes in its fair value in earnings. When it is probable that a forecasted transaction will not occur, we discontinue hedge accounting and recognize immediately in earnings gains and losses that were accumulated in other comprehensive income related to the hedging relationship.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We adopted FASB ASC 805-10-65 </w:t>
      </w:r>
      <w:r>
        <w:rPr>
          <w:rFonts w:ascii="Arial" w:cs="Arial" w:eastAsia="Arial" w:hAnsi="Arial"/>
          <w:sz w:val="16"/>
          <w:szCs w:val="16"/>
          <w:i w:val="1"/>
          <w:iCs w:val="1"/>
          <w:color w:val="auto"/>
        </w:rPr>
        <w:t>Business Combinations — Revised</w:t>
      </w:r>
      <w:r>
        <w:rPr>
          <w:rFonts w:ascii="Arial" w:cs="Arial" w:eastAsia="Arial" w:hAnsi="Arial"/>
          <w:sz w:val="16"/>
          <w:szCs w:val="16"/>
          <w:color w:val="auto"/>
        </w:rPr>
        <w:t xml:space="preserve"> on October 1, 2009, and have applied it prospectively to all business acquisitions completed since that date. In accordance with FASB ASC 805-10-65, we allocate the total acquisition price to the fair value of assets and liabilities acquired and immediately expense transaction costs that would have been included in the purchase price allocation under previous accounting standards.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U.S. dollars at the exchange rates as of the investee's balance sheet date of June 30. The related interest in the investee's net income is translated at the average exchange rate for each six-month period reported by the investee. The functional currency of Empeño Fácil, our wholly owned subsidiary, Grupo Finmart, our 76% owned subsidiary, and TUYO, our 59% owned subsidiary, is the Mexican peso. The functional currency of our wholly owned foreign subsidiary in Canada is the Canadian dollar. Our foreign subsidiaries' balance sheet accounts are translated from their respective functional currencies into U.S. dollars at the exchange rate at the end of each quarter, and their earnings are translated into U.S. dollars at the average exchange rate each quarter. We present resulting translation adjustments as a separate component of stockholders’ equity. Foreign currency transaction gains and losses have not been significant, and are reported as “Other (income) expense” in our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of Consumer Loans</w:t>
      </w:r>
    </w:p>
    <w:p>
      <w:pPr>
        <w:spacing w:after="0" w:line="17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majority-owned subsidiary, Grupo Finmart, periodically transfers certain consumer loans to a bankruptcy remote trust in securitization transactions. These securitizations are accounted for as secured borrowings, and no gains or losses are recognized at the time of the transaction. Secured borrowings are transactions involving transfers of financial assets that are accounted for as financings with the assets pledged as collateral. We consolidate the assets and liabilities of the trust and disclose in our consolidated balance sheets the consolidated assets and liabilities of the trust that can only be used to settle its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Expense</w:t>
      </w:r>
    </w:p>
    <w:p>
      <w:pPr>
        <w:spacing w:after="0" w:line="17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Included in operations expense are costs related to operating our stores, online businesses and any direct costs of support offices. These costs include labor, other direct expenses such as utilities, supplies and banking fees, and indirect expenses such as store rent, building repairs and maintenance, advertising, store property taxes and insurance, regional and area management expenses, the costs of our bad debt collection center and allocations of certain corporate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and costs related to the operation of our administrative offices such as rent, property taxes, insurance and information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expense advertising costs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180"/>
        <w:spacing w:after="0" w:line="438" w:lineRule="auto"/>
        <w:rPr>
          <w:sz w:val="20"/>
          <w:szCs w:val="20"/>
          <w:color w:val="auto"/>
        </w:rPr>
      </w:pPr>
      <w:r>
        <w:rPr>
          <w:rFonts w:ascii="Arial" w:cs="Arial" w:eastAsia="Arial" w:hAnsi="Arial"/>
          <w:sz w:val="18"/>
          <w:szCs w:val="18"/>
          <w:color w:val="auto"/>
        </w:rPr>
        <w:t xml:space="preserve">the future, we will make an adjustment to the valuation allowance that would be charged to earnings in the period such determination is made. </w:t>
      </w:r>
      <w:r>
        <w:rPr>
          <w:rFonts w:ascii="Arial" w:cs="Arial" w:eastAsia="Arial" w:hAnsi="Arial"/>
          <w:sz w:val="18"/>
          <w:szCs w:val="18"/>
          <w:b w:val="1"/>
          <w:bCs w:val="1"/>
          <w:color w:val="auto"/>
        </w:rPr>
        <w:t>Stock Compensation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account for stock compensation in accordance with the fair value recognition provisions of FASB ASC 718-10-25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fair value of restricted shares is measured at the closing market price of our stock on the date of grant, which is amortized over the vesting period for each grant. When we grant options, our policy is to estimate the grant-date fair value of the options using the Black-Scholes-Merton option-pricing model and amortize that fair value to compensation expense on a ratable basis over the options’ vesting periods for both cliff vesting and pro-rata vesting grants. We have granted no stock options since fiscal 2007.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account for treasury stock under the cost method. When treasury stock is re-issued, proceeds in excess of cost are recorded as a component of additional paid-in capital in our consolidated balance sheets. Any deficiency is recorded as a component of additional paid-in capital to the extent that there are previously recorded gains to offset the losses. If there are no treasury stock gains in additional paid-in capital, the losses upon re-issuance of treasury stock are recorded as a component of retained earnings in our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9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July 2013, the FASB issued ASU 2013-11, </w:t>
      </w:r>
      <w:r>
        <w:rPr>
          <w:rFonts w:ascii="Arial" w:cs="Arial" w:eastAsia="Arial" w:hAnsi="Arial"/>
          <w:sz w:val="17"/>
          <w:szCs w:val="17"/>
          <w:i w:val="1"/>
          <w:iCs w:val="1"/>
          <w:color w:val="auto"/>
        </w:rPr>
        <w:t>Income Taxes (Topic 740) — Presentation of an Unrecognized Tax Benefit when a Net Operating Loss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or Tax Credit Carryforward Exists. </w:t>
      </w:r>
      <w:r>
        <w:rPr>
          <w:rFonts w:ascii="Arial" w:cs="Arial" w:eastAsia="Arial" w:hAnsi="Arial"/>
          <w:sz w:val="17"/>
          <w:szCs w:val="17"/>
          <w:color w:val="auto"/>
        </w:rPr>
        <w:t>This update provides that an entity's unrecognized tax benefit, or a portion of its unrecognized tax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presented in its financial statements as a reduction to a deferred tax asset for a net 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The adoption of ASU 2013-03 did not have a material effect on our financial position, results of operations or cash flows.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2013, the FASB issued ASU 2013-05, </w:t>
      </w:r>
      <w:r>
        <w:rPr>
          <w:rFonts w:ascii="Arial" w:cs="Arial" w:eastAsia="Arial" w:hAnsi="Arial"/>
          <w:sz w:val="18"/>
          <w:szCs w:val="18"/>
          <w:i w:val="1"/>
          <w:iCs w:val="1"/>
          <w:color w:val="auto"/>
        </w:rPr>
        <w:t>Foreign Currency Matters (Topic 830) — Parent's Accounting for the Cumulative Translation Adjustment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upon Derecognition of Certain Subsidiaries or Groups of Assets within a Foreign Entity or of an Investment in a Foreign Entity (a consensus of the FASB Emerging Issues Task Force). </w:t>
      </w:r>
      <w:r>
        <w:rPr>
          <w:rFonts w:ascii="Arial" w:cs="Arial" w:eastAsia="Arial" w:hAnsi="Arial"/>
          <w:sz w:val="18"/>
          <w:szCs w:val="18"/>
          <w:color w:val="auto"/>
        </w:rPr>
        <w:t>This update applies to the release of the cumulative translation adjustment into net income when a parent either sells a part or</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The adoption of ASU 2013-05 did not have a material effect on our financial position, results of operations or cash flows.</w:t>
      </w:r>
    </w:p>
    <w:p>
      <w:pPr>
        <w:spacing w:after="0" w:line="1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February 2013, the FASB issued ASU 2013-04, </w:t>
      </w:r>
      <w:r>
        <w:rPr>
          <w:rFonts w:ascii="Arial" w:cs="Arial" w:eastAsia="Arial" w:hAnsi="Arial"/>
          <w:sz w:val="16"/>
          <w:szCs w:val="16"/>
          <w:i w:val="1"/>
          <w:iCs w:val="1"/>
          <w:color w:val="auto"/>
        </w:rPr>
        <w:t>Liabilities (Topic 405) — Obligations Resulting from Joint and Several Liability Arrangements for Which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Total Amount of the Obligation Is Fixed at the Reporting Date (a consensus of the FASB Emerging Issues Task Force). </w:t>
      </w:r>
      <w:r>
        <w:rPr>
          <w:rFonts w:ascii="Arial" w:cs="Arial" w:eastAsia="Arial" w:hAnsi="Arial"/>
          <w:sz w:val="16"/>
          <w:szCs w:val="16"/>
          <w:color w:val="auto"/>
        </w:rPr>
        <w:t>This update provides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judicial rulings. ASU 2013-04 is effective prospectively for fiscal years, and interim periods within those years, beginning after December 15, 2013. The adoption of ASU 2013-04 did not have a material effect on our financial position, results of operations or cash flows.</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This update requires an entity to report the effect of significant reclassifications out of accumulated other comprehensive income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The adoption of ASU 2013-02 did not have a material effect on our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(Subtopic 205-40).</w:t>
      </w:r>
      <w:r>
        <w:rPr>
          <w:rFonts w:ascii="Arial" w:cs="Arial" w:eastAsia="Arial" w:hAnsi="Arial"/>
          <w:sz w:val="16"/>
          <w:szCs w:val="16"/>
          <w:color w:val="auto"/>
        </w:rPr>
        <w:t xml:space="preserve"> This update provides guidance about management’s responsibility to evaluate whether there is substantial doubt about an entity’s ability to continue as a going concern or to provide related footnote disclosures. ASU 2014-15 requires management to assess an entity's ability to continue as a going concern by incorporating and expanding upon certain principles that are currently in U.S. auditing standards. Specifically, the amendments (1) provide a definition of the term </w:t>
      </w:r>
      <w:r>
        <w:rPr>
          <w:rFonts w:ascii="Arial" w:cs="Arial" w:eastAsia="Arial" w:hAnsi="Arial"/>
          <w:sz w:val="16"/>
          <w:szCs w:val="16"/>
          <w:i w:val="1"/>
          <w:iCs w:val="1"/>
          <w:color w:val="auto"/>
        </w:rPr>
        <w:t>substantial doubt</w:t>
      </w:r>
      <w:r>
        <w:rPr>
          <w:rFonts w:ascii="Arial" w:cs="Arial" w:eastAsia="Arial" w:hAnsi="Arial"/>
          <w:sz w:val="16"/>
          <w:szCs w:val="16"/>
          <w:color w:val="auto"/>
        </w:rPr>
        <w: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is effective prospectively for fiscal years beginning after December 15, 2016, and interim periods within those years. We do not anticipate that the adoption of ASU 2014-15 will have a material effect on our financial position, results of operations or cash flows.</w:t>
      </w:r>
    </w:p>
    <w:p>
      <w:pPr>
        <w:spacing w:after="0" w:line="1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amendments in ASU 2014-09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w:t>
      </w:r>
    </w:p>
    <w:p>
      <w:pPr>
        <w:spacing w:after="0" w:line="5" w:lineRule="exact"/>
        <w:rPr>
          <w:sz w:val="20"/>
          <w:szCs w:val="20"/>
          <w:color w:val="auto"/>
        </w:rPr>
      </w:pPr>
    </w:p>
    <w:p>
      <w:pPr>
        <w:ind w:right="40" w:firstLine="8"/>
        <w:spacing w:after="0" w:line="268"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determine the transaction price; (4) allocate the transaction price to the performance obligations in the contract; and (5) recognize revenue when, or as, the entity satisfies a performance obligation. Notably, the existing requirements for the recognition of a gain or loss on the transfer of non-financial assets that are not in a contract with a customer (e.g., assets within the scope of Topic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and intangible assets within the scope of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are amended to be consistent with the guidance on recognition and measurement in ASU 2014-09. For public entities, the amendments in ASU 2014-09 are effective for annual reporting periods beginning after December 15, 2016, including interim periods within that reporting period, and early application is prohibited. The new standard allows for two methods of adoption: (a) full retrospective adoption, meaning the standard is applied to all periods presented, or (b) modified retrospective adoption, meaning the cumulative effect of applying the new standard is recognized as an adjustment to the fiscal 2017 opening retained earnings balance. We have not completed the process of evaluating the impact that will result from adopting ASU 2014-09. Therefore we are unable to disclose the impact that adopting ASU 2014-09 will have on our financial position, results of operations, and cash flows when such statement is adopted.</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Discontinued Operations and Disclosures of Disposals of Components of an Entity. </w:t>
      </w:r>
      <w:r>
        <w:rPr>
          <w:rFonts w:ascii="Arial" w:cs="Arial" w:eastAsia="Arial" w:hAnsi="Arial"/>
          <w:sz w:val="16"/>
          <w:szCs w:val="16"/>
          <w:color w:val="auto"/>
        </w:rPr>
        <w:t>This update provides guidance for the reporting of discontinued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if (1) a component or group of components of an entity meets the criteria in FASB ASC Paragraph 205-20-45-1E to be classified as held for sale;</w:t>
      </w:r>
    </w:p>
    <w:p>
      <w:pPr>
        <w:ind w:right="80" w:firstLine="8"/>
        <w:spacing w:after="0" w:line="252"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component of an entity or group of components of an entity is disposed of by sale; or (3) the component of an entity or group of components of an entity is disposed of other than by sale (for example, by abandonment or in a distribution to owners in a spinoff). This update states that a discontinued operation can also include a business or nonprofit activity. Among other disclosures, ASU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2014, and interim periods within those years; and (2) all businesses or nonprofit activities that, on acquisition, are classified as held for sale that occur within annual periods beginning on or after December 15, 2014, and interim periods within those years. We do not anticipate that the adoption of ASU 2014-08 will have a material effect on our financial position, results of operations or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fiscal 2014, as part of our new strategy to concentrate on an integrated, customer-centric financial services model that is focused on our core businesses of pawn and unsecured lending, we implemented a plan to exit our online lending businesses in the United States and the United Kingdom. As a result of this plan, our online lending operations in the United Kingdom (Cash Genie) and in the United States (EZOnline) have been included as discontinued operations.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Store closures as discontinued operations included:</w:t>
      </w:r>
    </w:p>
    <w:p>
      <w:pPr>
        <w:spacing w:after="0" w:line="171"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57 stores in Mexico, 52 of which were small, jewelry-only asset group formats. We continue to operate our full-service store-within-a-store ("SWS") locations under the Empeño Fácil brand, and expect to continue our storefront growth in Mexico.</w:t>
      </w:r>
    </w:p>
    <w:p>
      <w:pPr>
        <w:spacing w:after="0" w:line="116"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29 stores in Canada, where we were in the process of transitioning to an integrated buy/sell and financial services model under the Cash Converters brand. The affected asset group consisted of stores that were not optimal for that model because of location or size. We continue to operate full-service buy/sell and financial services center stores under the Cash Converters brand in Canada and the United States.</w:t>
      </w:r>
    </w:p>
    <w:p>
      <w:pPr>
        <w:spacing w:after="0" w:line="111" w:lineRule="exact"/>
        <w:rPr>
          <w:rFonts w:ascii="Arial" w:cs="Arial" w:eastAsia="Arial" w:hAnsi="Arial"/>
          <w:sz w:val="17"/>
          <w:szCs w:val="17"/>
          <w:color w:val="auto"/>
        </w:rPr>
      </w:pPr>
    </w:p>
    <w:p>
      <w:pPr>
        <w:ind w:left="660" w:right="9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financial services stores in Dallas, Texas and the State of Florida, where we exited both locations primarily due to onerous regulatory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 jewelry-only concept store, which was our only jewelry-only store in the United States.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pre-tax charges (gains), which have been recorded under “Loss from discontinued operations, net of tax” in our fiscal 2014 and 2013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Fiscal Year Ended September 30,</w:t>
            </w:r>
          </w:p>
        </w:tc>
        <w:tc>
          <w:tcPr>
            <w:tcW w:w="72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22"/>
                <w:szCs w:val="22"/>
                <w:color w:val="auto"/>
              </w:rPr>
            </w:pPr>
          </w:p>
        </w:tc>
      </w:tr>
      <w:tr>
        <w:trPr>
          <w:trHeight w:val="250"/>
        </w:trPr>
        <w:tc>
          <w:tcPr>
            <w:tcW w:w="7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80" w:type="dxa"/>
            <w:vAlign w:val="bottom"/>
            <w:gridSpan w:val="3"/>
          </w:tcPr>
          <w:p>
            <w:pPr>
              <w:jc w:val="right"/>
              <w:ind w:right="756"/>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84,158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Long-lived assets impairment</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5,605</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 write-down to liquidation value</w:t>
            </w: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7,081</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Reversal of contingent consideration payable</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103,137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22,190</w:t>
            </w:r>
          </w:p>
        </w:tc>
      </w:tr>
      <w:tr>
        <w:trPr>
          <w:trHeight w:val="20"/>
        </w:trPr>
        <w:tc>
          <w:tcPr>
            <w:tcW w:w="74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*Other one-time charges in fiscal 2014 include estimated costs related to regulatory compliance, employee severance and accelerated amortization of prepaid expenses and other assets. Charges in fiscal 2013 include costs related to 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September 30, 2014 and 2013, accrued lease termination costs, severance costs, and others related to discontinued operations were $8.9 million and $7.1 million, respectively. These amounts are included in “Accounts payable and other accrued expenses” in our consolidated balance sheets. During the fiscal year ended September 30, 2014, $0.2 million in cash payments had been made with regard to the costs recorded during the fiscal year ended September 30, 2014. We estimate we will make the remaining payments during the first half of fiscal 2015, at which time this initiative will be substantially complete. The amount of any potential future charges for such actions will depend upon the nature, timing and extent of those actions. During the fiscal years ended September 30, 2014 and 2013, we made cash payments of $3.8 million and $1.6 million, respectively, with regard to the costs recorded during the fiscal year ended September 30, 2013. Additionally during fiscal 2014, we recorded a $3.3 million benefit as negotiated amounts were lower than the initial estimates.</w:t>
      </w:r>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Discontinued operations in the fiscal years ended September 30, 2014, 2013 and 2012 include $31.4 million, $45.3 million and $28.0 million of total revenues,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losses from discontinued operations by operating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671"/>
              <w:spacing w:after="0"/>
              <w:rPr>
                <w:sz w:val="20"/>
                <w:szCs w:val="20"/>
                <w:color w:val="auto"/>
              </w:rPr>
            </w:pPr>
            <w:r>
              <w:rPr>
                <w:rFonts w:ascii="Arial" w:cs="Arial" w:eastAsia="Arial" w:hAnsi="Arial"/>
                <w:sz w:val="14"/>
                <w:szCs w:val="14"/>
                <w:b w:val="1"/>
                <w:bCs w:val="1"/>
                <w:color w:val="auto"/>
                <w:w w:val="92"/>
              </w:rPr>
              <w:t>Fiscal Year Ended September 30,</w:t>
            </w:r>
          </w:p>
        </w:tc>
        <w:tc>
          <w:tcPr>
            <w:tcW w:w="1100" w:type="dxa"/>
            <w:vAlign w:val="bottom"/>
            <w:tcBorders>
              <w:bottom w:val="single" w:sz="8" w:color="auto"/>
            </w:tcBorders>
          </w:tcPr>
          <w:p>
            <w:pPr>
              <w:spacing w:after="0"/>
              <w:rPr>
                <w:sz w:val="16"/>
                <w:szCs w:val="16"/>
                <w:color w:val="auto"/>
              </w:rPr>
            </w:pPr>
          </w:p>
        </w:tc>
      </w:tr>
      <w:tr>
        <w:trPr>
          <w:trHeight w:val="270"/>
        </w:trPr>
        <w:tc>
          <w:tcPr>
            <w:tcW w:w="67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44"/>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&amp; Canada:</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6,545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costs related to the reorganization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31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 from discontinued operations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termination (benefits) costs related to the reorganization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costs related to the reorganization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(loss) income from discontinued operations attributable to redeemable noncontrolling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r>
        <w:trPr>
          <w:trHeight w:val="31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22,204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termination costs related to the reorganization*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4"/>
              </w:rPr>
              <w:t>Net (loss) income from discontinued operations attributable to redeemable noncontrolling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r>
    </w:tbl>
    <w:p>
      <w:pPr>
        <w:spacing w:after="0" w:line="8" w:lineRule="exact"/>
        <w:rPr>
          <w:sz w:val="20"/>
          <w:szCs w:val="20"/>
          <w:color w:val="auto"/>
        </w:rPr>
      </w:pPr>
    </w:p>
    <w:p>
      <w:pPr>
        <w:ind w:left="340" w:right="220" w:hanging="251"/>
        <w:spacing w:after="0" w:line="273"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Fiscal 2014 includes a $3.3 million benefit related to the fiscal 2013 reorganization due to differences between the initial estimated termination costs and the final amounts settled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All revenue, expense and income reported in these consolidated financial statements have been adjusted to reflect reclassification of all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Activity for restructuring costs during fiscal 2014 resulting from this initiative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2060" w:type="dxa"/>
            <w:vAlign w:val="bottom"/>
          </w:tcPr>
          <w:p>
            <w:pPr>
              <w:jc w:val="center"/>
              <w:ind w:left="402"/>
              <w:spacing w:after="0"/>
              <w:rPr>
                <w:sz w:val="20"/>
                <w:szCs w:val="20"/>
                <w:color w:val="auto"/>
              </w:rPr>
            </w:pPr>
            <w:r>
              <w:rPr>
                <w:rFonts w:ascii="Arial" w:cs="Arial" w:eastAsia="Arial" w:hAnsi="Arial"/>
                <w:sz w:val="14"/>
                <w:szCs w:val="14"/>
                <w:b w:val="1"/>
                <w:bCs w:val="1"/>
                <w:color w:val="auto"/>
                <w:w w:val="94"/>
              </w:rPr>
              <w:t>Balance at</w:t>
            </w:r>
          </w:p>
        </w:tc>
        <w:tc>
          <w:tcPr>
            <w:tcW w:w="500" w:type="dxa"/>
            <w:vAlign w:val="bottom"/>
          </w:tcPr>
          <w:p>
            <w:pPr>
              <w:spacing w:after="0"/>
              <w:rPr>
                <w:sz w:val="16"/>
                <w:szCs w:val="16"/>
                <w:color w:val="auto"/>
              </w:rPr>
            </w:pPr>
          </w:p>
        </w:tc>
        <w:tc>
          <w:tcPr>
            <w:tcW w:w="1440" w:type="dxa"/>
            <w:vAlign w:val="bottom"/>
          </w:tcPr>
          <w:p>
            <w:pPr>
              <w:jc w:val="center"/>
              <w:ind w:left="582"/>
              <w:spacing w:after="0"/>
              <w:rPr>
                <w:sz w:val="20"/>
                <w:szCs w:val="20"/>
                <w:color w:val="auto"/>
              </w:rPr>
            </w:pPr>
            <w:r>
              <w:rPr>
                <w:rFonts w:ascii="Arial" w:cs="Arial" w:eastAsia="Arial" w:hAnsi="Arial"/>
                <w:sz w:val="14"/>
                <w:szCs w:val="14"/>
                <w:b w:val="1"/>
                <w:bCs w:val="1"/>
                <w:color w:val="auto"/>
                <w:w w:val="94"/>
              </w:rPr>
              <w:t>Charged to</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Cash</w:t>
            </w:r>
          </w:p>
        </w:tc>
        <w:tc>
          <w:tcPr>
            <w:tcW w:w="460" w:type="dxa"/>
            <w:vAlign w:val="bottom"/>
          </w:tcPr>
          <w:p>
            <w:pPr>
              <w:spacing w:after="0"/>
              <w:rPr>
                <w:sz w:val="16"/>
                <w:szCs w:val="16"/>
                <w:color w:val="auto"/>
              </w:rPr>
            </w:pPr>
          </w:p>
        </w:tc>
        <w:tc>
          <w:tcPr>
            <w:tcW w:w="2120" w:type="dxa"/>
            <w:vAlign w:val="bottom"/>
          </w:tcPr>
          <w:p>
            <w:pPr>
              <w:jc w:val="center"/>
              <w:ind w:right="322"/>
              <w:spacing w:after="0"/>
              <w:rPr>
                <w:sz w:val="20"/>
                <w:szCs w:val="20"/>
                <w:color w:val="auto"/>
              </w:rPr>
            </w:pPr>
            <w:r>
              <w:rPr>
                <w:rFonts w:ascii="Arial" w:cs="Arial" w:eastAsia="Arial" w:hAnsi="Arial"/>
                <w:sz w:val="14"/>
                <w:szCs w:val="14"/>
                <w:b w:val="1"/>
                <w:bCs w:val="1"/>
                <w:color w:val="auto"/>
                <w:w w:val="91"/>
              </w:rPr>
              <w:t>Balance at</w:t>
            </w:r>
          </w:p>
        </w:tc>
      </w:tr>
      <w:tr>
        <w:trPr>
          <w:trHeight w:val="282"/>
        </w:trPr>
        <w:tc>
          <w:tcPr>
            <w:tcW w:w="2520" w:type="dxa"/>
            <w:vAlign w:val="bottom"/>
          </w:tcPr>
          <w:p>
            <w:pPr>
              <w:spacing w:after="0"/>
              <w:rPr>
                <w:sz w:val="24"/>
                <w:szCs w:val="24"/>
                <w:color w:val="auto"/>
              </w:rPr>
            </w:pPr>
          </w:p>
        </w:tc>
        <w:tc>
          <w:tcPr>
            <w:tcW w:w="2060" w:type="dxa"/>
            <w:vAlign w:val="bottom"/>
            <w:tcBorders>
              <w:bottom w:val="single" w:sz="8" w:color="auto"/>
            </w:tcBorders>
          </w:tcPr>
          <w:p>
            <w:pPr>
              <w:jc w:val="center"/>
              <w:ind w:left="382"/>
              <w:spacing w:after="0"/>
              <w:rPr>
                <w:sz w:val="20"/>
                <w:szCs w:val="20"/>
                <w:color w:val="auto"/>
              </w:rPr>
            </w:pPr>
            <w:r>
              <w:rPr>
                <w:rFonts w:ascii="Arial" w:cs="Arial" w:eastAsia="Arial" w:hAnsi="Arial"/>
                <w:sz w:val="14"/>
                <w:szCs w:val="14"/>
                <w:b w:val="1"/>
                <w:bCs w:val="1"/>
                <w:color w:val="auto"/>
                <w:w w:val="91"/>
              </w:rPr>
              <w:t>September 30, 2013</w:t>
            </w: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left="582"/>
              <w:spacing w:after="0"/>
              <w:rPr>
                <w:sz w:val="20"/>
                <w:szCs w:val="20"/>
                <w:color w:val="auto"/>
              </w:rPr>
            </w:pPr>
            <w:r>
              <w:rPr>
                <w:rFonts w:ascii="Arial" w:cs="Arial" w:eastAsia="Arial" w:hAnsi="Arial"/>
                <w:sz w:val="14"/>
                <w:szCs w:val="14"/>
                <w:b w:val="1"/>
                <w:bCs w:val="1"/>
                <w:color w:val="auto"/>
                <w:w w:val="86"/>
              </w:rPr>
              <w:t>Expense</w:t>
            </w: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0"/>
              </w:rPr>
              <w:t>Payments</w:t>
            </w: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1"/>
              </w:rPr>
              <w:t>September 30, 2014</w:t>
            </w:r>
          </w:p>
        </w:tc>
      </w:tr>
      <w:tr>
        <w:trPr>
          <w:trHeight w:val="244"/>
        </w:trPr>
        <w:tc>
          <w:tcPr>
            <w:tcW w:w="2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4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60" w:type="dxa"/>
            <w:vAlign w:val="bottom"/>
            <w:shd w:val="clear" w:color="auto" w:fill="CCEEFF"/>
          </w:tcPr>
          <w:p>
            <w:pPr>
              <w:jc w:val="right"/>
              <w:ind w:right="18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6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6,664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(543)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6,121</w:t>
            </w:r>
          </w:p>
        </w:tc>
      </w:tr>
      <w:tr>
        <w:trPr>
          <w:trHeight w:val="27"/>
        </w:trPr>
        <w:tc>
          <w:tcPr>
            <w:tcW w:w="25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accruals for restructuring costs at September 30, 2014 represent the amounts to be paid related to severance for employees that have been terminated or identified for termination as a result of the initiatives described above. Restructuring charges are considered corporate costs and therefore are not allocated to a specific segment. These amounts are included in “Restructuring” expense in our consolidated statements of operations and are expected to be paid during fiscal 2015. We estimate we will make the remaining payments during the first half of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2014, we had no acquisitions accounted for as a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information related to the acquisitions of domestic and foreign retail and financial services locations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asset purchase acquisitions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stock purchase acquisitions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stores acquired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stores acquired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stores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Consideration: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Equity instruments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consideration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Contingent consideration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 of total consideration transferred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acquired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Fiscal Year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Go Cash</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rPr>
              <w:t>Other Acquisitions</w:t>
            </w:r>
          </w:p>
        </w:tc>
      </w:tr>
      <w:tr>
        <w:trPr>
          <w:trHeight w:val="243"/>
        </w:trPr>
        <w:tc>
          <w:tcPr>
            <w:tcW w:w="3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380" w:type="dxa"/>
            <w:vAlign w:val="bottom"/>
          </w:tcPr>
          <w:p>
            <w:pPr>
              <w:spacing w:after="0"/>
              <w:rPr>
                <w:sz w:val="23"/>
                <w:szCs w:val="2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594"/>
        </w:trPr>
        <w:tc>
          <w:tcPr>
            <w:tcW w:w="380" w:type="dxa"/>
            <w:vAlign w:val="bottom"/>
          </w:tcPr>
          <w:p>
            <w:pPr>
              <w:spacing w:after="0"/>
              <w:rPr>
                <w:sz w:val="24"/>
                <w:szCs w:val="24"/>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0"/>
        </w:trPr>
        <w:tc>
          <w:tcPr>
            <w:tcW w:w="380" w:type="dxa"/>
            <w:vAlign w:val="bottom"/>
          </w:tcPr>
          <w:p>
            <w:pPr>
              <w:spacing w:after="0"/>
              <w:rPr>
                <w:sz w:val="23"/>
                <w:szCs w:val="2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542"/>
        </w:trPr>
        <w:tc>
          <w:tcPr>
            <w:tcW w:w="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Fiscal Year Ended September 30, 2013</w:t>
            </w:r>
          </w:p>
        </w:tc>
      </w:tr>
      <w:tr>
        <w:trPr>
          <w:trHeight w:val="264"/>
        </w:trPr>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Go Cash</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Other Acquisitions</w:t>
            </w:r>
          </w:p>
        </w:tc>
      </w:tr>
      <w:tr>
        <w:trPr>
          <w:trHeight w:val="244"/>
        </w:trPr>
        <w:tc>
          <w:tcPr>
            <w:tcW w:w="380" w:type="dxa"/>
            <w:vAlign w:val="bottom"/>
          </w:tcPr>
          <w:p>
            <w:pPr>
              <w:spacing w:after="0"/>
              <w:rPr>
                <w:sz w:val="21"/>
                <w:szCs w:val="21"/>
                <w:color w:val="auto"/>
              </w:rPr>
            </w:pPr>
          </w:p>
        </w:tc>
        <w:tc>
          <w:tcPr>
            <w:tcW w:w="3380" w:type="dxa"/>
            <w:vAlign w:val="bottom"/>
            <w:gridSpan w:val="6"/>
          </w:tcPr>
          <w:p>
            <w:pPr>
              <w:jc w:val="right"/>
              <w:ind w:right="1353"/>
              <w:spacing w:after="0"/>
              <w:rPr>
                <w:sz w:val="20"/>
                <w:szCs w:val="20"/>
                <w:color w:val="auto"/>
              </w:rPr>
            </w:pPr>
            <w:r>
              <w:rPr>
                <w:rFonts w:ascii="Arial" w:cs="Arial" w:eastAsia="Arial" w:hAnsi="Arial"/>
                <w:sz w:val="14"/>
                <w:szCs w:val="14"/>
                <w:i w:val="1"/>
                <w:iCs w:val="1"/>
                <w:color w:val="auto"/>
              </w:rPr>
              <w:t>(in thousands)</w:t>
            </w:r>
          </w:p>
        </w:tc>
      </w:tr>
      <w:tr>
        <w:trPr>
          <w:trHeight w:val="525"/>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17,980</w:t>
            </w:r>
          </w:p>
        </w:tc>
      </w:tr>
      <w:tr>
        <w:trPr>
          <w:trHeight w:val="270"/>
        </w:trPr>
        <w:tc>
          <w:tcPr>
            <w:tcW w:w="380" w:type="dxa"/>
            <w:vAlign w:val="bottom"/>
          </w:tcPr>
          <w:p>
            <w:pPr>
              <w:spacing w:after="0"/>
              <w:rPr>
                <w:sz w:val="23"/>
                <w:szCs w:val="23"/>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27,776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10,929</w:t>
            </w:r>
          </w:p>
        </w:tc>
      </w:tr>
      <w:tr>
        <w:trPr>
          <w:trHeight w:val="270"/>
        </w:trPr>
        <w:tc>
          <w:tcPr>
            <w:tcW w:w="380" w:type="dxa"/>
            <w:vAlign w:val="bottom"/>
          </w:tcPr>
          <w:p>
            <w:pPr>
              <w:spacing w:after="0"/>
              <w:rPr>
                <w:sz w:val="23"/>
                <w:szCs w:val="23"/>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23,000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2,872</w:t>
            </w:r>
          </w:p>
        </w:tc>
      </w:tr>
      <w:tr>
        <w:trPr>
          <w:trHeight w:val="270"/>
        </w:trPr>
        <w:tc>
          <w:tcPr>
            <w:tcW w:w="380" w:type="dxa"/>
            <w:vAlign w:val="bottom"/>
          </w:tcPr>
          <w:p>
            <w:pPr>
              <w:spacing w:after="0"/>
              <w:rPr>
                <w:sz w:val="23"/>
                <w:szCs w:val="23"/>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4,792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2,501</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55,568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34,282</w:t>
            </w:r>
          </w:p>
        </w:tc>
      </w:tr>
      <w:tr>
        <w:trPr>
          <w:trHeight w:val="270"/>
        </w:trPr>
        <w:tc>
          <w:tcPr>
            <w:tcW w:w="380" w:type="dxa"/>
            <w:vAlign w:val="bottom"/>
          </w:tcPr>
          <w:p>
            <w:pPr>
              <w:spacing w:after="0"/>
              <w:rPr>
                <w:sz w:val="23"/>
                <w:szCs w:val="2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(3,040)</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55,568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31,242</w:t>
            </w:r>
          </w:p>
        </w:tc>
      </w:tr>
      <w:tr>
        <w:trPr>
          <w:trHeight w:val="27"/>
        </w:trPr>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-3232150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-2880995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-2503805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-1414145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-1071245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-728345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-376555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 2013</w:t>
            </w:r>
          </w:p>
        </w:tc>
        <w:tc>
          <w:tcPr>
            <w:tcW w:w="62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Go Cash</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Other Acquisitions</w:t>
            </w:r>
          </w:p>
        </w:tc>
      </w:tr>
      <w:tr>
        <w:trPr>
          <w:trHeight w:val="250"/>
        </w:trPr>
        <w:tc>
          <w:tcPr>
            <w:tcW w:w="7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00" w:type="dxa"/>
            <w:vAlign w:val="bottom"/>
            <w:gridSpan w:val="3"/>
          </w:tcPr>
          <w:p>
            <w:pPr>
              <w:jc w:val="right"/>
              <w:ind w:right="74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Pawn loans</w:t>
            </w: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5,714</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loans, net</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Service charges and fees receivable, net</w:t>
            </w:r>
          </w:p>
        </w:tc>
        <w:tc>
          <w:tcPr>
            <w:tcW w:w="12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399</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net</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12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2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44,020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Non-current consumer loans, net</w:t>
            </w:r>
          </w:p>
        </w:tc>
        <w:tc>
          <w:tcPr>
            <w:tcW w:w="1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3,336</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11,215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2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314</w:t>
            </w: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4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55,770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34,741</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other accrued expenses</w:t>
            </w:r>
          </w:p>
        </w:tc>
        <w:tc>
          <w:tcPr>
            <w:tcW w:w="124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Customer layaway deposits</w:t>
            </w:r>
          </w:p>
        </w:tc>
        <w:tc>
          <w:tcPr>
            <w:tcW w:w="1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assets acquired</w:t>
            </w:r>
          </w:p>
        </w:tc>
        <w:tc>
          <w:tcPr>
            <w:tcW w:w="1240" w:type="dxa"/>
            <w:vAlign w:val="bottom"/>
            <w:tcBorders>
              <w:top w:val="single" w:sz="8" w:color="auto"/>
              <w:bottom w:val="single" w:sz="8" w:color="auto"/>
            </w:tcBorders>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55,568</w:t>
            </w:r>
          </w:p>
        </w:tc>
        <w:tc>
          <w:tcPr>
            <w:tcW w:w="12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31,242</w:t>
            </w:r>
          </w:p>
        </w:tc>
      </w:tr>
      <w:tr>
        <w:trPr>
          <w:trHeight w:val="284"/>
        </w:trPr>
        <w:tc>
          <w:tcPr>
            <w:tcW w:w="76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 deductible for tax purposes</w:t>
            </w: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44,020</w:t>
            </w:r>
          </w:p>
        </w:tc>
        <w:tc>
          <w:tcPr>
            <w:tcW w:w="120" w:type="dxa"/>
            <w:vAlign w:val="bottom"/>
          </w:tcPr>
          <w:p>
            <w:pPr>
              <w:spacing w:after="0"/>
              <w:rPr>
                <w:sz w:val="20"/>
                <w:szCs w:val="20"/>
                <w:color w:val="auto"/>
              </w:rPr>
            </w:pPr>
          </w:p>
        </w:tc>
        <w:tc>
          <w:tcPr>
            <w:tcW w:w="1180" w:type="dxa"/>
            <w:vAlign w:val="bottom"/>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 acquired:</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Domain name</w:t>
            </w: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180" w:type="dxa"/>
            <w:vAlign w:val="bottom"/>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Definite-lived intangible assets acquired (1):</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Internally developed software</w:t>
            </w: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11,000</w:t>
            </w:r>
          </w:p>
        </w:tc>
        <w:tc>
          <w:tcPr>
            <w:tcW w:w="120" w:type="dxa"/>
            <w:vAlign w:val="bottom"/>
          </w:tcPr>
          <w:p>
            <w:pPr>
              <w:spacing w:after="0"/>
              <w:rPr>
                <w:sz w:val="20"/>
                <w:szCs w:val="20"/>
                <w:color w:val="auto"/>
              </w:rPr>
            </w:pPr>
          </w:p>
        </w:tc>
        <w:tc>
          <w:tcPr>
            <w:tcW w:w="1180" w:type="dxa"/>
            <w:vAlign w:val="bottom"/>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7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Non-compete agreements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Contractual relationship</w:t>
            </w:r>
          </w:p>
        </w:tc>
        <w:tc>
          <w:tcPr>
            <w:tcW w:w="1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2,589</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The weighted average useful life of definite-lived intangible assets acquired was five years.</w:t>
      </w: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Per FASB ASC 805-10-25, adjustments to provisional purchase price allocation amounts made during the measurement period shall be recorded as if the accounting for the business combination had been completed at the acquisition date. Thus, the acquirer shall revise comparative information for prior periods presented in financial statements. The amounts above and our consolidated balance sheet as of September 30, 2013 reflect all measurement period adjustments recorded during fiscal 2014. During the fiscal year ended September 30, 2013 adjustments included a $4.8 million increase to goodwill, a $2.1 million increase to intangible assets and a $0.1 million net increase to various other assets, offset by a $6.9 million increase to deferred gains and other long-term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 Cash</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20, 2012, we entered into a definitive agreement with Go Cash, LLC and certain of its affiliates ("Go Cash" or "EZCORP Online") to acquire substantially all the assets of Go Cash's online lending business. This acquisition of assets was completed on December 20, 2012 and accounted for as a business combination. No liabilities were assumed other than trade payables and accounts payable incurred prior to closing in the ordinary course of business, which were approximately $0.2 million.</w:t>
      </w:r>
    </w:p>
    <w:p>
      <w:pPr>
        <w:spacing w:after="0" w:line="7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assets acquired include a proprietary software platform, including a loan management system and a lending decision science engine;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w:t>
      </w:r>
    </w:p>
    <w:p>
      <w:pPr>
        <w:sectPr>
          <w:pgSz w:w="11900" w:h="16838" w:orient="portrait"/>
          <w:cols w:equalWidth="0" w:num="1">
            <w:col w:w="11420"/>
          </w:cols>
          <w:pgMar w:left="240" w:top="12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total purchase price is performance-based and is to be determined over a period of four years following the closing. The total consideration of $55.6 million includes the performance consideration element, which is based on the net income generated by the "Post-Closing Business Unit" (which includes our entire online consumer lending business). Within a specified period after the end of each of the first four years following the closing, we will make a contingent supplemental payment equal to the difference between (a) the adjusted net income for such year, multiplied by 6.0, and (b) all consideration payments previously paid. Each payment may be made, in our sole discretion, in cash or in the form of shares of EZCORP Class A Non-voting Common Stock (“Class A Common Stock”). Of the $50.8 million in non-performance consideration, $27.8 million was paid at closing, $6.0 million was paid on November 12, 2013, $5.0 million was paid on December 19, 2013, and the remaining $12.0 million will be paid in equal installments in November 2014 and November 2015. The initial payment was made in the form of 1,400,198 shares of EZCORP Class A Common Stock, and the November and December 2013 payments were made in cash.</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final purchase price allocation, the contingent consideration was valued at $4.8 million. This amount was calculated using a Monte Carlo simulation, whereby future net income is simulated over the earn-out period. For each simulation path, the earn-out payments were calculated and then discounted to the valuation date. The fair value of the earn-out was then estimated to be the arithmetic average of all paths. The model utilized forecasted net income, and the valuation was performed in a risk-neutral framework. The significant inputs used for the valuation are not observable in the market, and thus this fair value measurement represents a Level 3 measurement within the fair value hierarchy. This contingent consideration element was valued and recorded during the first quarter ended December 31, 2013.</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30, 2014, the Company’s Board of Directors, on management’s recommendation, approved a plan to exit our online lending business in the United States and the United Kingdom, and as a result of this plan, our online payday loan operations in Go Cash have been included as discontinued operations as of September 30, 2014. As part of discontinuing the Go Cash business, we reversed the previously recorded $4.8 million liability for contingent consideration. We will continue to make installment payments on the outstanding consideration of $12.0 million as of September 30, 2014. Refer to Note 2 for further detail on discontinued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TUYO</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November 1, 2012, we acquired a 51% interest in Renueva Comercial S.A.P.I. de C.V., a company headquartered in Mexico City and doing business under the name "TUYO", for approximately $1.1 million. On January 1, 2014, we acquired an additional 8% interest in TUYO for $1.1 million, increasing our ownership percentage to 59%. This transaction was treated as an equity transaction and not an adjustment to the purchase price of the initial controlling interest acquisition of TUYO. Refer to Note 11 for further detail. As of September 30, 2014, TUYO owned and operated 19 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combined with other immaterial acquisitions.</w:t>
      </w:r>
    </w:p>
    <w:p>
      <w:pPr>
        <w:spacing w:after="0" w:line="11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12-month period. Under the guidance in FASB ASC 480-10-S99, securities that are redeemable for cash or other assets are to be classified outside of permanent equity; therefore, we have included the redeemable noncontrolling interest related to TUYO in temporary equity.</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acquisition date fair value of the TUYO redeemable noncontrolling interest was estimated by applying an income and market approach. This fair value measurement was based on significant inputs that are not observable in the market and thus represents a Level 3 measurement. Key assumptions include discount rates of 10% and 18% representing discounts for lack of control and lack of marketability, respectively, that market participants would consider when estimating the fair value of the noncontrolling interest. The fair market value of TUYO was determined using a multiple of future earnings. See Note 21 for additional details relating to the fair value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- 2013</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April 26, 2013, Grupo Finmart, our 76% owned subsidiary, purchased 100% of the outstanding shares of Fondo ACH, S.A. de C.V., a specialty consumer finance company. The total purchase price is performance-based and will be determined over a period of four years. A minimum of $3.5 million will be paid, of which $2.7 million 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$3.5 million, has been preliminarily valued at $2.3 million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of the acquisition date and recorded during the quarter ended March 31, 2014. As this acquisition was individually immaterial, we present its related information combined with other immaterial acquisitions.</w:t>
      </w:r>
    </w:p>
    <w:p>
      <w:pPr>
        <w:spacing w:after="0" w:line="1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fiscal year ended September 30, 2013, includes the December 2012 acquisition of 12 pawn locations in Arizona, which was a new state of operation for EZCORP. As this acquisition was individually immaterial, we present its related information combined with other immaterial acquisitions.</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acquisitions were made as part of our continuing strategy to enhance and diversify our earnings over the long-term. The factors contributing to the recognition of goodwill were based on several strategic and synergistic benefits we expected to realize from the acquisitions. These benefits include our initial entry into several markets and a greater presence in others, as well as the ability to further leverage our expense structure through increased scale. As of fiscal year ended September 30, 2014 we incurred no transaction related expenses. For the fiscal years ended September 30, 2013 we incurred transaction related expenses of $0.5 million which were expensed as incurred and recorded as operations expense.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years ended September 30, 2014, 2013 and 2012.</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restricted stock awards, and warrants.</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20"/>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89"/>
              </w:rPr>
              <w:t>2012</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center"/>
              <w:ind w:left="420"/>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EZCORP, Inc. (A)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149,198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 (B)</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(5,490)</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EZCORP (C)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34,077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143,708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50,877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Dilutive effect of stock options and restricted stock</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53,737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51,133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Continuing operations (A / 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(loss) earnings per share (C / 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2.82</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 (A / 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Discontinued operations (B / 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(C / 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Potential common shares excluded from the calculation of diluted (loss) 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Stock options and restricted stock</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Total potential common shares excluded</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14,525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Converters International Limited</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At September 30, 2014, we owned 136,848,000 shares, or approximately 32%, of Cash Converters International Limited (“Cash Converters International”), a company headquartered in Perth, Australia, publicly traded on the Australian Stock Exchange. Cash Converters International franchises and operates a worldwide network of over 750 specialty financial services and retail stores that provide pawn loans, short-term unsecured loans and other consumer finance products, and buy and sell second-hand goods, with significant store concentrations in Australia and the United Kingdom. Those shares include 12,430,000 shares that we acquired in November 2012 for approximately $11.0 million in cash as part of a share placement. Our total investment in Cash Converters International was acquired between November 2009 and November 2012 for approximately $68.8 million.</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with the Australian Securities &amp; Investments Commission for its fiscal periods ending December 31 and June 30. Due to the three-month lag, income reported for our fiscal years ended September 30, 2014, 2013 and 2012 represents our percentage interest in the results of Cash Converters International’s operations from July 1, 2013 to June 30, 2014 and July 1, 2012 to June 30, 2013, and July 1, 2011 to June 30, 2012,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2014, 2013 and 2012 our equity in Cash Converters International’s net income was $7.1 million, $9.6 million and $9.9 million, respectively. Additionally, in fiscal 2014, 2013 and 2012 we recorded dividends from Cash Converters International of $5.1 million, $5.1 million and $4.4 million, respectfully. Cash Converters International’s accumulated undistributed after-tax earnings included in our consolidated retained earnings were $19.3 million at September 30, 2014.</w:t>
      </w:r>
    </w:p>
    <w:p>
      <w:pPr>
        <w:spacing w:after="0" w:line="133"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its functional currency of Australian dollars, Cash Converters International’s total assets increased 20% from June 30, 2013 to June 30, 2014 and its net income attributable to the owners of the parent decreased 26% for the fiscal year ended June 30, 2014. This decrease is primarily due to a decline in short-term personal lending as a result of regulatory changes in Australia. Cash Converters International sees these regulatory changes as an opportunity to capitalize on their strong compliance culture and critical mass in terms of stores and financing capability. The fiscal year ended June 30, 2014 reflects the continuing upward revenue trend that commenced in the prior year and Cash Converters International expects this trend to continue.</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207,415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178,764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153,279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386,179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95,242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60,441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attributable to owners of the parent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233,788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220,676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386,179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340" w:firstLine="8"/>
        <w:spacing w:after="0" w:line="257" w:lineRule="auto"/>
        <w:tabs>
          <w:tab w:leader="none" w:pos="204"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Subsequent to the issuance of Cash Converters International’s annual report dated June 30, 2013 and our annual report dated September 30, 2013 an entry was recorded by Cash Converters International reducing the previously reported current assets and current liability balance at June 30, 2013 by $5.2 million. As Cash Converters International is an equity method investment this adjustment had no effect on the results reported in our annual financial statements.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1"/>
              </w:rPr>
              <w:t>Fiscal Year Ended June 30,</w:t>
            </w:r>
          </w:p>
        </w:tc>
        <w:tc>
          <w:tcPr>
            <w:tcW w:w="8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304,432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241,924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195,325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183,368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162,598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attributable to: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33,754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30,366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Profit for the year (net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19,397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33,754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30,366</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September 30, 2014, the recorded balance of our investment in Cash Converters International, accounted for on the equity method, was $91.1 million. Because Cash Converters International publicly reports its financial results only semi-annually as of June 30 and December 31, the latest Cash Converters International figures available are as of June 30, 2014, at which point our equity in net assets of Cash Converters International was $73.6 million. The difference between the recorded balance and our equity in Cash Converters International’s net assets represents the $19.2 million of equity method goodwill, plus the cumulative difference resulting from Cash Converters International’s earnings, dividend payments and translation gains and losses since the dates of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Albemarle &amp; Bond Holdings, PLC</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Prior to its bankruptcy reorganization, Albemarle &amp; Bond was primarily engaged in pawnbroking, retail jewelry sales, check cashing and lending in the United Kingdom. In fiscal year 2014 and 2013 we owned 16,644,640 ordinary shares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Albemarle &amp; Bond, representing almost 30% of its total outstanding shares. We accounted for the investment using the equity method.</w:t>
      </w:r>
    </w:p>
    <w:p>
      <w:pPr>
        <w:spacing w:after="0" w:line="225"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Albemarle &amp; Bond’s fiscal year ended three months prior to ours; therefore, we reported the income from this investment on a three-month lag. When it was a publicly traded reporting company on the London Stock Exchange, Albemarle &amp; Bond filed semi-annual financial reports for its fiscal periods</w:t>
      </w:r>
    </w:p>
    <w:p>
      <w:pPr>
        <w:ind w:right="140"/>
        <w:spacing w:after="0" w:line="255" w:lineRule="auto"/>
        <w:rPr>
          <w:sz w:val="20"/>
          <w:szCs w:val="20"/>
          <w:color w:val="auto"/>
        </w:rPr>
      </w:pPr>
      <w:r>
        <w:rPr>
          <w:rFonts w:ascii="Arial" w:cs="Arial" w:eastAsia="Arial" w:hAnsi="Arial"/>
          <w:sz w:val="18"/>
          <w:szCs w:val="18"/>
          <w:color w:val="auto"/>
        </w:rPr>
        <w:t>ending December 31 and June 30. Due to the three-month lag, income reported for our fiscal years ended September 30, 2014, 2013 and 2012 represents our percentage interest in the results of Albemarle &amp; Bond’s operations from July 1, 2013 to June 30, 2014, July 1, 2012 to June 30, 2013 and July 1, 2011 to June 30, 2012, respectively.</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fiscal 2014 our equity in Albemarle &amp; Bond’s net loss was $1.2 million. In fiscal year 2013 and 2012, our equity in Albemarle &amp; Bond’s net income was $2.3 million and $7.5 million, respectively. In fiscal 2014 we received no dividends from Albemarle &amp; Bond. In fiscal year 2013 and 2012, we received dividends from Albemarle &amp; Bond of $3.3 million and $3.3 million, respectively. Albemarle &amp; Bond’s accumulated undistributed after-tax earnings included in our consolidated retained earnings were $25.4 million at September 30, 2014.</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2014, Albemarle &amp; Bond entered into bankruptcy reorganization in the U.K., and on April 15, 2014 Albemarle &amp; Bond announced that the majority of its business and assets had been sold. In fiscal year 2014 and 2013 we recognized other than temporary impairments of $7.9 million (5.4 million, net of taxes) and $42.5 million ($28.7 million, net of taxes) which brought our carrying value of this investment to zero and $9.4 million at September 30, 2014 and 2013 respectively.</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table below summarizes the carrying amount and fair value of each of these strategic investments at the dates indicated. These fair values for Cash Converters International at September 30, 2014 and 2013 are considered Level 1 estimates within the fair value hierarchy of FASB ASC 820-10-50, and were calculated as (a) the quoted stock price on the Australian Stock Exchange multiplied by (b) the number of shares we owned multiplied by (c) the applicable foreign currency exchange rate at the dates indicated. We included no control premium for owning a large percentage of outstanding shares.</w:t>
      </w:r>
    </w:p>
    <w:p>
      <w:pPr>
        <w:spacing w:after="0" w:line="1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fair value for Albemarle &amp; Bond at September 30, 2014 is considered a Level 2 estimate within the fair value hierarchy of FASB ASC 820-10-50. We calculated the fair value based on Albemarle &amp; Bond's announcement of limited, if any, value available to the ordinary shares of its stock, which was considered to be an unobservable input insignificant to the overall determination of the Albemarle &amp; Bond fair value. The fair value for Albemarle &amp; Bond at September 30, 2013 is considered a Level 2 estimate within the fair value hierarchy of FASB ASC 820-10-50. We calculated the fair value based on (a) the quoted average stock price of Albemarle &amp; Bond over the two week period subsequent to the October 2013 announcement multiplied by (b) the number of shares we owned multiplied by (c) the applicable foreign currency exchange rate as of the dates indicated during the post September 30, 2013 measurement date. We believe this measurement date allowed the market to react and adjust to the information released by Albemarle &amp; Bond the first week of October 2013, as previously mentioned, and therefore resulted in a reasonable fair value as of September 30, 2013.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394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39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ind w:right="474"/>
              <w:spacing w:after="0"/>
              <w:rPr>
                <w:sz w:val="20"/>
                <w:szCs w:val="20"/>
                <w:color w:val="auto"/>
              </w:rPr>
            </w:pPr>
            <w:r>
              <w:rPr>
                <w:rFonts w:ascii="Arial" w:cs="Arial" w:eastAsia="Arial" w:hAnsi="Arial"/>
                <w:sz w:val="14"/>
                <w:szCs w:val="14"/>
                <w:i w:val="1"/>
                <w:iCs w:val="1"/>
                <w:color w:val="auto"/>
              </w:rPr>
              <w:t>(in thousands of U.S. dollars)</w:t>
            </w: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Albemarle &amp; Bond:</w:t>
            </w:r>
          </w:p>
        </w:tc>
        <w:tc>
          <w:tcPr>
            <w:tcW w:w="4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Carrying amount</w:t>
            </w:r>
          </w:p>
        </w:tc>
        <w:tc>
          <w:tcPr>
            <w:tcW w:w="4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9,439</w:t>
            </w: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w:t>
            </w:r>
          </w:p>
        </w:tc>
        <w:tc>
          <w:tcPr>
            <w:tcW w:w="4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Cash Converters International:</w:t>
            </w:r>
          </w:p>
        </w:tc>
        <w:tc>
          <w:tcPr>
            <w:tcW w:w="4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Carrying amount</w:t>
            </w:r>
          </w:p>
        </w:tc>
        <w:tc>
          <w:tcPr>
            <w:tcW w:w="4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91,098</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87,646</w:t>
            </w: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4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128,956</w:t>
            </w: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165,663</w:t>
            </w:r>
          </w:p>
        </w:tc>
      </w:tr>
      <w:tr>
        <w:trPr>
          <w:trHeight w:val="486"/>
        </w:trPr>
        <w:tc>
          <w:tcPr>
            <w:tcW w:w="3940" w:type="dxa"/>
            <w:vAlign w:val="bottom"/>
          </w:tcPr>
          <w:p>
            <w:pPr>
              <w:spacing w:after="0"/>
              <w:rPr>
                <w:sz w:val="24"/>
                <w:szCs w:val="24"/>
                <w:color w:val="auto"/>
              </w:rPr>
            </w:pPr>
          </w:p>
        </w:tc>
        <w:tc>
          <w:tcPr>
            <w:tcW w:w="4640" w:type="dxa"/>
            <w:vAlign w:val="bottom"/>
          </w:tcPr>
          <w:p>
            <w:pPr>
              <w:jc w:val="right"/>
              <w:ind w:right="269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Net Book</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Depreciation</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95,365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49,472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119,489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48,449</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50,392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Capital lease equipment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1,164</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8,806</w:t>
            </w: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237,183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291,245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116,281</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from continuing operations in fiscal 2014, 2013 and 2012 includes $29.8 million, $27.9 million and $21.9 million, respectively, of depreciation expense. Discontinued operations in fiscal 2014, 2013 and 2012 include $1.5 million, $1.8 million and $1.4 million, respectively, of depreciation expense. Included in these amounts for fiscal 2014, 2013 and 2012 is an aggregate of $2.6 million, $2.9 million and $2.9 million, respectively, of depreciation expense related to capitalized computer software.</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Property and equipment at September 30, 2014 and 2013 includes approximately $1.6 million of equipment leased under a capital lease. Amortization of equipment under capital leases is included with depreciation expense and was $0.3 million, $0.3 million and $0.1 million for the fiscal years ended September 30, 2014, 2013 and 2012, respectively.</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September 30, 2014, we recorded a $1.5 million ($1.4 million, net of taxes) impairment charge to long-lived assets related to our U.S. and Canada and Other International segments. This impairment charge was recorded under “Loss from discontinued operations, net of tax” in our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8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8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7"/>
                <w:szCs w:val="17"/>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9,791</w:t>
            </w: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Domain name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15,839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18,842</w:t>
            </w:r>
          </w:p>
        </w:tc>
      </w:tr>
      <w:tr>
        <w:trPr>
          <w:trHeight w:val="27"/>
        </w:trPr>
        <w:tc>
          <w:tcPr>
            <w:tcW w:w="8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segment, during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224,306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110,401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374,663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56,415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Measurement period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Balances at September 30, 2013</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283,199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110,209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39,892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(84,158)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*Measurement period adjustment related to Go Cash acquisition. See Note 3 for details.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Book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2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finders’ fees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relationship</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accordance with FASB ASC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we test goodwill and intangible assets with an indefinite useful life for potential impairment annually, or more frequently when there are events or circumstances that indicate that it is more likely than not that an impairment exists. During the fourth quarter ended September 30, 2014, we performed our required annual impairment test and evaluated such events and circumstances and concluded that no goodwill or intangible asset impairment existed other than that described below.</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September 30, 2014, the calculated value of each of the reporting units in the U.S. &amp; Canada segment exceeded their carrying values by more than 60%. For our reporting units in the Latin America segment, the calculated value of Grupo Finmart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and Tuyo exceeded their carrying values by more than 30% and the calculated value of Empeño Fácil exceeded its carrying value by less than 10%. The carrying amount of Empeño Fácil’s goodwill is $9.3 million and represents 8% of the total goodwill in the Latin America segment at September 30, 2014.</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September 30, 2014, we recorded total pre-tax goodwill impairment charges of $84.2 million, of which $44.0 million ($28.2 million, net of taxes) related to our U.S. and Canada segment and $40.1 million (no tax effect) related to our other international segment as a result of the discontinued operations described in Note 2. At September 30, 2014, we recorded the following pre-tax charges: a $2.8 million (no tax effect) impairment charge to trade names related to our other international segment, a $0.2 million ($0.1 million, net of taxes) impairment charge to domain names related to our U.S. and Canada segment, and a $7.0 million ($4.5 million, net of taxes) and $0.3 million (no tax effect) impairment charge to internally developed software related to our U.S. and Canada and other international segments, respectively. We performed our impairment analysis utilizing the income approach. This approach uses future cash flows and estimated terminal values (discounted using a market participant perspective) to determine the fair value of each intangible asset. These impairment charges were recorded under “Loss from discontinued operations, net of tax” in our consolidated statements of operations.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Additionally, in September 2014, we recorded a $1.6 million impairment of internally developed software, included in “Administrative” expense in our consolidated statements of operations.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recorded impairment charges are attributable to our fiscal 2014 fourth quarter plan to re-focus on our core businesses and discontinue our online lending business, which was approved by our Board of Directors on September 30, 2014. As a result of this plan, we discontinued our online lending business in the U.K. (conducted under the name “Cash Genie”) and our online lending business in the U.S. (referred to as “EZOnline”). See Note 2 for further detail on discontinued operations.</w:t>
      </w:r>
    </w:p>
    <w:p>
      <w:pPr>
        <w:spacing w:after="0" w:line="13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center"/>
              <w:ind w:right="232"/>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Amortization expense in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Amortization expense in discontinued operations</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Operations expense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2,478</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2"/>
              </w:rPr>
              <w:t>Total expense from the amortization of definite-lived intangible assets</w:t>
            </w: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8,577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8460" w:type="dxa"/>
            <w:vAlign w:val="bottom"/>
            <w:gridSpan w:val="6"/>
          </w:tcPr>
          <w:p>
            <w:pPr>
              <w:spacing w:after="0"/>
              <w:rPr>
                <w:sz w:val="20"/>
                <w:szCs w:val="20"/>
                <w:color w:val="auto"/>
              </w:rPr>
            </w:pPr>
            <w:r>
              <w:rPr>
                <w:rFonts w:ascii="Arial" w:cs="Arial" w:eastAsia="Arial" w:hAnsi="Arial"/>
                <w:sz w:val="18"/>
                <w:szCs w:val="18"/>
                <w:color w:val="auto"/>
                <w:w w:val="99"/>
              </w:rPr>
              <w:t>The following table presents our estimate of future amortization expense for definite-lived intangible assets: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9"/>
        </w:trPr>
        <w:tc>
          <w:tcPr>
            <w:tcW w:w="4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Ended September 30,</w:t>
            </w:r>
          </w:p>
        </w:tc>
        <w:tc>
          <w:tcPr>
            <w:tcW w:w="240" w:type="dxa"/>
            <w:vAlign w:val="bottom"/>
          </w:tcPr>
          <w:p>
            <w:pPr>
              <w:spacing w:after="0"/>
              <w:rPr>
                <w:sz w:val="24"/>
                <w:szCs w:val="24"/>
                <w:color w:val="auto"/>
              </w:rPr>
            </w:pPr>
          </w:p>
        </w:tc>
        <w:tc>
          <w:tcPr>
            <w:tcW w:w="184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Amortization expense</w:t>
            </w:r>
          </w:p>
        </w:tc>
        <w:tc>
          <w:tcPr>
            <w:tcW w:w="2600" w:type="dxa"/>
            <w:vAlign w:val="bottom"/>
            <w:gridSpan w:val="4"/>
          </w:tcPr>
          <w:p>
            <w:pPr>
              <w:ind w:left="700"/>
              <w:spacing w:after="0"/>
              <w:rPr>
                <w:sz w:val="20"/>
                <w:szCs w:val="20"/>
                <w:color w:val="auto"/>
              </w:rPr>
            </w:pPr>
            <w:r>
              <w:rPr>
                <w:rFonts w:ascii="Arial" w:cs="Arial" w:eastAsia="Arial" w:hAnsi="Arial"/>
                <w:sz w:val="14"/>
                <w:szCs w:val="14"/>
                <w:b w:val="1"/>
                <w:bCs w:val="1"/>
                <w:color w:val="auto"/>
              </w:rPr>
              <w:t>Operations expense</w:t>
            </w:r>
          </w:p>
        </w:tc>
        <w:tc>
          <w:tcPr>
            <w:tcW w:w="240" w:type="dxa"/>
            <w:vAlign w:val="bottom"/>
          </w:tcPr>
          <w:p>
            <w:pPr>
              <w:spacing w:after="0"/>
              <w:rPr>
                <w:sz w:val="24"/>
                <w:szCs w:val="24"/>
                <w:color w:val="auto"/>
              </w:rPr>
            </w:pPr>
          </w:p>
        </w:tc>
        <w:tc>
          <w:tcPr>
            <w:tcW w:w="19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Interest expense</w:t>
            </w:r>
          </w:p>
        </w:tc>
      </w:tr>
      <w:tr>
        <w:trPr>
          <w:trHeight w:val="250"/>
        </w:trPr>
        <w:tc>
          <w:tcPr>
            <w:tcW w:w="4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6,024</w:t>
            </w:r>
          </w:p>
        </w:tc>
        <w:tc>
          <w:tcPr>
            <w:tcW w:w="14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r>
      <w:tr>
        <w:trPr>
          <w:trHeight w:val="243"/>
        </w:trPr>
        <w:tc>
          <w:tcPr>
            <w:tcW w:w="44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5,577</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1,483</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5,333</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r>
      <w:tr>
        <w:trPr>
          <w:trHeight w:val="243"/>
        </w:trPr>
        <w:tc>
          <w:tcPr>
            <w:tcW w:w="44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4,354</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701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4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3,653</w:t>
            </w:r>
          </w:p>
        </w:tc>
        <w:tc>
          <w:tcPr>
            <w:tcW w:w="1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2520"/>
        <w:spacing w:after="0" w:line="467" w:lineRule="auto"/>
        <w:rPr>
          <w:sz w:val="20"/>
          <w:szCs w:val="20"/>
          <w:color w:val="auto"/>
        </w:rPr>
      </w:pPr>
      <w:r>
        <w:rPr>
          <w:rFonts w:ascii="Arial" w:cs="Arial" w:eastAsia="Arial" w:hAnsi="Arial"/>
          <w:sz w:val="18"/>
          <w:szCs w:val="18"/>
          <w:b w:val="1"/>
          <w:bCs w:val="1"/>
          <w:color w:val="auto"/>
        </w:rPr>
        <w:t xml:space="preserve">NOTE 8: ACCOUNTS PAYABLE AND OTHER ACCRUED EXPENSES AND OTHER CURRENT LIABILITIES </w:t>
      </w:r>
      <w:r>
        <w:rPr>
          <w:rFonts w:ascii="Arial" w:cs="Arial" w:eastAsia="Arial" w:hAnsi="Arial"/>
          <w:sz w:val="18"/>
          <w:szCs w:val="18"/>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34,950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14,768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accrual</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payroll related expenses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Accrued rent and property taxes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14,064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13,350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for expected losses on credit service letters of credit</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w w:val="90"/>
              </w:rPr>
              <w:t>Collected funds payable to unaffiliated lenders under credit service programs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79,967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2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 payable</w:t>
            </w:r>
          </w:p>
        </w:tc>
        <w:tc>
          <w:tcPr>
            <w:tcW w:w="3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Contingent consideration payable</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10,813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22,337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w w:val="89"/>
              </w:rPr>
              <w:t>91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CAPITAL LEASE OBLIGATIONS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our long-term debt instruments and balances under capital lease obligations outstanding at September 30, 2014 and 2013. The non-recourse debt matures at various months in the years so indicated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Debt Premium</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Debt Premium</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(Discount)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gridSpan w:val="5"/>
          </w:tcPr>
          <w:p>
            <w:pPr>
              <w:ind w:left="5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Recourse to EZCORP:</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Domestic line of credit up to $200 million due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140,900</w:t>
            </w:r>
          </w:p>
        </w:tc>
        <w:tc>
          <w:tcPr>
            <w:tcW w:w="120" w:type="dxa"/>
            <w:vAlign w:val="bottom"/>
          </w:tcPr>
          <w:p>
            <w:pPr>
              <w:spacing w:after="0"/>
              <w:rPr>
                <w:sz w:val="21"/>
                <w:szCs w:val="21"/>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185,693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Cash Convertible Senior Notes Due 2019 embedded derivative</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Non-recourse to EZCORP:</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Secured foreign currency debt up to $4 million due 2014</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Secured foreign currency debt up to $9 million due 2014</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Secured foreign currency debt up to $5 million due 2015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Secured foreign currency debt up to $9 million due 2016</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Secured foreign currency debt up to $23 million due 2017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Consumer loans facility due 2017</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31,951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10% unsecured notes due 2013</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15% unsecured notes due 2013</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10% unsecured notes due 2014</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 unsecured notes due 2014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9% unsecured notes due 2015</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16,068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unsecured notes due 2015</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11% unsecured notes due 2015</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15% secured notes due 2015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381</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10% unsecured notes due 2016</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 secured notes due 2016</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12% secured notes due 2020</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724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30,969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543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 and capital lease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356,430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216,330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Domestic line of credit up to $200 million due 2015</w:t>
      </w:r>
    </w:p>
    <w:p>
      <w:pPr>
        <w:spacing w:after="0" w:line="3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10, 2011, we entered into a senior secured credit agreement with a syndicate of five banks, replacing our previous credit agreement. Among other things, the new credit agreement provided for a four-year $175 million revolving credit facility that we could, under the terms of the agreement, request to be increased to a total of $225 million. Upon entering the new credit agreement, we repaid and retired our $17.5 million outstanding debt. On May 31, 2013, we amended the senior secured credit agreement to increase our revolving credit facility from $175 million to $200 million. No other terms of our senior secured credit agreement were modified.</w:t>
      </w:r>
    </w:p>
    <w:p>
      <w:pPr>
        <w:spacing w:after="0" w:line="1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Pursuant to the credit agreement, we could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paid a commitment fee of 37.5 to 50.0 basis points depending on our leverage ratio calculated at the end of each quarter. Terms of the credit agreement required, among other things, that we meet certain financial covenants, restrict dividend payments and limit other and non-recourse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used approximately $119.4 million of net proceeds from the 2.125% Cash Convertible Senior Notes offering, described below, to repay all outstanding borrowings under the senior secured credit agreement and terminated that agreement in June 2014.</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Debt extinguishment expense of $0.7 million, included in “Interest expense (income), net” in our consolidated statements of operations, was recognized in the fiscal year ended September 30, 2014 as a result of the recognition of deferred financing costs associated with the terminated senior secured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2.125% Cash Convertible Senior Notes Due 2019</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52525"/>
        </w:rPr>
        <w:t xml:space="preserve">In June 2014, we issued $200 million aggregate principal amount of 2.125% Cash Convertible Senior Notes Due 2019 (the </w:t>
      </w:r>
      <w:r>
        <w:rPr>
          <w:rFonts w:ascii="Arial" w:cs="Arial" w:eastAsia="Arial" w:hAnsi="Arial"/>
          <w:sz w:val="18"/>
          <w:szCs w:val="18"/>
          <w:color w:val="000000"/>
        </w:rPr>
        <w:t>“Convertible Notes”). We granted</w:t>
      </w:r>
      <w:r>
        <w:rPr>
          <w:rFonts w:ascii="Arial" w:cs="Arial" w:eastAsia="Arial" w:hAnsi="Arial"/>
          <w:sz w:val="18"/>
          <w:szCs w:val="18"/>
          <w:color w:val="252525"/>
        </w:rPr>
        <w:t xml:space="preserve"> </w:t>
      </w:r>
      <w:r>
        <w:rPr>
          <w:rFonts w:ascii="Arial" w:cs="Arial" w:eastAsia="Arial" w:hAnsi="Arial"/>
          <w:sz w:val="18"/>
          <w:szCs w:val="18"/>
          <w:color w:val="000000"/>
        </w:rPr>
        <w:t xml:space="preserve">the initial purchasers the option to purchase up to an additional $30 million aggregate principal amount of Convertible Notes. Such option was exercised in full on June 27, 2014, and we issued an additional $30 million principal amount of Convertible Notes on July 2, 2014. All of the Convertible Notes were issued </w:t>
      </w:r>
      <w:r>
        <w:rPr>
          <w:rFonts w:ascii="Arial" w:cs="Arial" w:eastAsia="Arial" w:hAnsi="Arial"/>
          <w:sz w:val="18"/>
          <w:szCs w:val="18"/>
          <w:color w:val="252525"/>
        </w:rPr>
        <w:t>pursuant to an indenture dated June 23, 2014 (the "Indenture") by and between us and Wells Fargo Bank, National Association, as the trustee. The</w:t>
      </w:r>
      <w:r>
        <w:rPr>
          <w:rFonts w:ascii="Arial" w:cs="Arial" w:eastAsia="Arial" w:hAnsi="Arial"/>
          <w:sz w:val="18"/>
          <w:szCs w:val="18"/>
          <w:color w:val="000000"/>
        </w:rPr>
        <w:t xml:space="preserve"> </w:t>
      </w:r>
      <w:r>
        <w:rPr>
          <w:rFonts w:ascii="Arial" w:cs="Arial" w:eastAsia="Arial" w:hAnsi="Arial"/>
          <w:sz w:val="18"/>
          <w:szCs w:val="18"/>
          <w:color w:val="252525"/>
        </w:rPr>
        <w:t xml:space="preserve">Convertible Notes were issued in a private offering </w:t>
      </w:r>
      <w:r>
        <w:rPr>
          <w:rFonts w:ascii="Arial" w:cs="Arial" w:eastAsia="Arial" w:hAnsi="Arial"/>
          <w:sz w:val="18"/>
          <w:szCs w:val="18"/>
          <w:color w:val="000000"/>
        </w:rPr>
        <w:t>under Rule 144A under the Securities Act of 1933.</w:t>
      </w:r>
      <w:r>
        <w:rPr>
          <w:rFonts w:ascii="Arial" w:cs="Arial" w:eastAsia="Arial" w:hAnsi="Arial"/>
          <w:sz w:val="18"/>
          <w:szCs w:val="18"/>
          <w:color w:val="252525"/>
        </w:rPr>
        <w:t xml:space="preserve"> The Convertible Notes pay interest semi-annually in arrears at a rate of 2.125% per annum on June 15 and December 15 of each year, commencing on December 15, 2014, and will mature on June 15, 2019 (the "Maturity Date").</w:t>
      </w:r>
    </w:p>
    <w:p>
      <w:pPr>
        <w:spacing w:after="0" w:line="135" w:lineRule="exact"/>
        <w:rPr>
          <w:sz w:val="20"/>
          <w:szCs w:val="20"/>
          <w:color w:val="auto"/>
        </w:rPr>
      </w:pPr>
    </w:p>
    <w:p>
      <w:pPr>
        <w:spacing w:after="0" w:line="312" w:lineRule="auto"/>
        <w:rPr>
          <w:sz w:val="20"/>
          <w:szCs w:val="20"/>
          <w:color w:val="auto"/>
        </w:rPr>
      </w:pPr>
      <w:r>
        <w:rPr>
          <w:rFonts w:ascii="Arial" w:cs="Arial" w:eastAsia="Arial" w:hAnsi="Arial"/>
          <w:sz w:val="16"/>
          <w:szCs w:val="16"/>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Convertible Notes will be entitled to receive cash equal to the principal amount of the Convertible Notes plus unpaid accrued interest.</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52525"/>
        </w:rPr>
        <w:t xml:space="preserve">The Convertible Notes will be our unsubordinated unsecured obligations and will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Convertible Notes</w:t>
      </w:r>
      <w:r>
        <w:rPr>
          <w:rFonts w:ascii="Arial" w:cs="Arial" w:eastAsia="Arial" w:hAnsi="Arial"/>
          <w:sz w:val="18"/>
          <w:szCs w:val="18"/>
          <w:color w:val="252525"/>
        </w:rPr>
        <w:t xml:space="preserve"> </w:t>
      </w:r>
      <w:r>
        <w:rPr>
          <w:rFonts w:ascii="Arial" w:cs="Arial" w:eastAsia="Arial" w:hAnsi="Arial"/>
          <w:sz w:val="18"/>
          <w:szCs w:val="18"/>
          <w:color w:val="000000"/>
        </w:rPr>
        <w:t>does not contain any financial covenants.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52525"/>
        </w:rPr>
        <w:t>We incurred transaction costs of approximately $9.9 million related to the issuance of the Convertible Notes, which we recorded as deferred financing costs and are included in “Intangible assets, net” in our consolidated balance sheets. Deferred financing costs are being amortized to interest expense using the effective interest method over the expected term of the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terms of our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Embedded Derivative</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account for the cash conversion feature of the Convertible Notes as a separate derivative instrument (the “</w:t>
      </w:r>
      <w:r>
        <w:rPr>
          <w:rFonts w:ascii="Arial" w:cs="Arial" w:eastAsia="Arial" w:hAnsi="Arial"/>
          <w:sz w:val="16"/>
          <w:szCs w:val="16"/>
          <w:color w:val="252525"/>
        </w:rPr>
        <w:t>Convertible Notes Embedded Derivative</w:t>
      </w:r>
      <w:r>
        <w:rPr>
          <w:rFonts w:ascii="Arial" w:cs="Arial" w:eastAsia="Arial" w:hAnsi="Arial"/>
          <w:sz w:val="16"/>
          <w:szCs w:val="16"/>
          <w:color w:val="auto"/>
        </w:rPr>
        <w:t>”), which had a fair value of $46.5 million on the issuance date that was recognized as the original issue discount of the Convertible Notes. This original issue discount is amortized to interest expense over the term of the Convertible Notes using the effective interest method. As of September 30, 2014, the Convertible Notes Embedded Derivative is recorded as a non-current liability under long-term debt, less current maturities in our consolidated balance sheets, and will be marked to market in subsequent reporting periods. The classification of the Convertible Notes Embedded Derivative liability as current or non-current on the consolidated balance sheets corresponds with the classification of the net balance of the Convertible Notes as discussed below.</w:t>
      </w:r>
    </w:p>
    <w:p>
      <w:pPr>
        <w:spacing w:after="0" w:line="1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Convertible Notes are convertible into cash, subject to satisfaction of certain conditions and during the periods described below, based on an initial conversion rate of 62.2471 shares of Class A Common Stock per $1,000 principal amount of Convertible Notes (equivalent to an initial conversion price of approximately $16.065 per share of our Class A Common Stock). Upon conversion of a note, we will pay cash based on a daily conversion value calculated on a proportionate basis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each trading day in the applicable 80 trading day observation period as described in the Indenture. The conversion rate will not be adjusted for any accrued and unpaid interest.</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52525"/>
        </w:rPr>
        <w:t xml:space="preserve">Holders may surrender their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1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252525"/>
        </w:rPr>
        <w:t xml:space="preserve">If a holder elects to convert its Convertible Notes in connection with certain make-whole fundamental changes, as that term is defined in the Indenture, that occur prior to the Maturity Date, we will, in certain circumstances, increase the conversion rate for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6"/>
          <w:szCs w:val="16"/>
          <w:color w:val="000000"/>
        </w:rPr>
        <w:t>(for example, certain dividend distributions or tender or exchange offer of our Class A Common Stock).</w:t>
      </w:r>
    </w:p>
    <w:p>
      <w:pPr>
        <w:spacing w:after="0" w:line="10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252525"/>
        </w:rPr>
        <w:t>Upon the occurrence of a fundamental change, as defined in the Indenture, holders may require us to repurchase for cash all or any portion of the then outstanding Convertible Notes at a repurchase price equal to 100% of the principal amount of the notes to be repurchased, plus accrued and unpaid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820"/>
        <w:spacing w:after="0" w:line="291" w:lineRule="auto"/>
        <w:rPr>
          <w:sz w:val="20"/>
          <w:szCs w:val="20"/>
          <w:color w:val="auto"/>
        </w:rPr>
      </w:pPr>
      <w:r>
        <w:rPr>
          <w:rFonts w:ascii="Arial" w:cs="Arial" w:eastAsia="Arial" w:hAnsi="Arial"/>
          <w:sz w:val="16"/>
          <w:szCs w:val="16"/>
          <w:color w:val="auto"/>
        </w:rPr>
        <w:t xml:space="preserve">As of September 30, 2014, the Convertible Notes are not convertible because the </w:t>
      </w:r>
      <w:r>
        <w:rPr>
          <w:rFonts w:ascii="Arial" w:cs="Arial" w:eastAsia="Arial" w:hAnsi="Arial"/>
          <w:sz w:val="16"/>
          <w:szCs w:val="16"/>
          <w:color w:val="252525"/>
        </w:rPr>
        <w:t>Early Conversion Conditions described above</w:t>
      </w:r>
      <w:r>
        <w:rPr>
          <w:rFonts w:ascii="Arial" w:cs="Arial" w:eastAsia="Arial" w:hAnsi="Arial"/>
          <w:sz w:val="16"/>
          <w:szCs w:val="16"/>
          <w:color w:val="auto"/>
        </w:rPr>
        <w:t xml:space="preserve"> have not been met. Accordingly, the net balance of the Convertible Notes of $185.7 million is classified as a non-current liability in our consolidated balance sheets as</w:t>
      </w:r>
    </w:p>
    <w:p>
      <w:pPr>
        <w:ind w:right="260"/>
        <w:spacing w:after="0" w:line="261" w:lineRule="auto"/>
        <w:rPr>
          <w:sz w:val="20"/>
          <w:szCs w:val="20"/>
          <w:color w:val="auto"/>
        </w:rPr>
      </w:pPr>
      <w:r>
        <w:rPr>
          <w:rFonts w:ascii="Arial" w:cs="Arial" w:eastAsia="Arial" w:hAnsi="Arial"/>
          <w:sz w:val="18"/>
          <w:szCs w:val="18"/>
          <w:color w:val="auto"/>
        </w:rPr>
        <w:t>of September 30, 2014. The classification of the Convertible Notes as current or non-current on the consolidated balance sheet is evaluated at each balance sheet date and may change from time to time depending on whether one of the Early Conversion Conditions has been met.</w:t>
      </w:r>
    </w:p>
    <w:p>
      <w:pPr>
        <w:spacing w:after="0" w:line="13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one of the Early Conversion Conditions is met in any future fiscal quarter, we would classify our net liability under the Convertible Notes as a current liability on the consolidated balance sheets as of the end of that fiscal quarter. If none of the Early Conversion Conditions have been met in a future fiscal quarter prior to the one-year period immediately preceding the Maturity Date, we would classify our net liability under the Convertible Notes as a non-current liability on the consolidated balance sheets as of the end of that fiscal quarter. If the note holders elect to convert their Convertible Notes prior to maturity, any unamortized discount and transaction costs will be expensed at the time of conversion. If the entire outstanding principal amount had been converted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30, 2014, we would have recorded an expense of $53.7 million associated with the conversion, comprised of $44.3 million of unamortized debt discount and $9.4 million of unamortized debt issuance costs. As of September 30, 2014, none of the note holders had elected to convert their Convertible Notes.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Hedges</w:t>
      </w:r>
    </w:p>
    <w:p>
      <w:pPr>
        <w:spacing w:after="0" w:line="17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Common Stock at a strike price of $16.065, which is equal to the number of shares of our Class A Common Stock that notionally underlie the Convertible Notes and corresponds to the conversion price of the Convertible Notes. The Convertible Notes Hedges have </w:t>
      </w:r>
      <w:r>
        <w:rPr>
          <w:rFonts w:ascii="Arial" w:cs="Arial" w:eastAsia="Arial" w:hAnsi="Arial"/>
          <w:sz w:val="17"/>
          <w:szCs w:val="17"/>
          <w:color w:val="252525"/>
        </w:rPr>
        <w:t>an expiration date that is the same as the Maturity Date of the Convertible Notes, subject to earlier</w:t>
      </w:r>
      <w:r>
        <w:rPr>
          <w:rFonts w:ascii="Arial" w:cs="Arial" w:eastAsia="Arial" w:hAnsi="Arial"/>
          <w:sz w:val="17"/>
          <w:szCs w:val="17"/>
          <w:color w:val="auto"/>
        </w:rPr>
        <w:t xml:space="preserve"> </w:t>
      </w:r>
      <w:r>
        <w:rPr>
          <w:rFonts w:ascii="Arial" w:cs="Arial" w:eastAsia="Arial" w:hAnsi="Arial"/>
          <w:sz w:val="17"/>
          <w:szCs w:val="17"/>
          <w:color w:val="252525"/>
        </w:rPr>
        <w:t>exercise</w:t>
      </w:r>
      <w:r>
        <w:rPr>
          <w:rFonts w:ascii="Arial" w:cs="Arial" w:eastAsia="Arial" w:hAnsi="Arial"/>
          <w:sz w:val="17"/>
          <w:szCs w:val="17"/>
          <w:color w:val="000000"/>
        </w:rPr>
        <w:t>. The Convertible Notes Hedges have customary anti-dilution provisions similar to the Convertible Notes.</w:t>
      </w:r>
      <w:r>
        <w:rPr>
          <w:rFonts w:ascii="Arial" w:cs="Arial" w:eastAsia="Arial" w:hAnsi="Arial"/>
          <w:sz w:val="17"/>
          <w:szCs w:val="17"/>
          <w:color w:val="252525"/>
        </w:rPr>
        <w:t xml:space="preserve"> If we exercise the </w:t>
      </w:r>
      <w:r>
        <w:rPr>
          <w:rFonts w:ascii="Arial" w:cs="Arial" w:eastAsia="Arial" w:hAnsi="Arial"/>
          <w:sz w:val="17"/>
          <w:szCs w:val="17"/>
          <w:color w:val="000000"/>
        </w:rPr>
        <w:t>Convertible Notes</w:t>
      </w:r>
      <w:r>
        <w:rPr>
          <w:rFonts w:ascii="Arial" w:cs="Arial" w:eastAsia="Arial" w:hAnsi="Arial"/>
          <w:sz w:val="17"/>
          <w:szCs w:val="17"/>
          <w:color w:val="252525"/>
        </w:rPr>
        <w:t xml:space="preserve"> </w:t>
      </w:r>
      <w:r>
        <w:rPr>
          <w:rFonts w:ascii="Arial" w:cs="Arial" w:eastAsia="Arial" w:hAnsi="Arial"/>
          <w:sz w:val="17"/>
          <w:szCs w:val="17"/>
          <w:color w:val="000000"/>
        </w:rPr>
        <w:t>Hedges</w:t>
      </w:r>
      <w:r>
        <w:rPr>
          <w:rFonts w:ascii="Arial" w:cs="Arial" w:eastAsia="Arial" w:hAnsi="Arial"/>
          <w:sz w:val="17"/>
          <w:szCs w:val="17"/>
          <w:color w:val="252525"/>
        </w:rPr>
        <w:t>, the aggregate amount of cash we will receive from the option counterparties to the</w:t>
      </w:r>
      <w:r>
        <w:rPr>
          <w:rFonts w:ascii="Arial" w:cs="Arial" w:eastAsia="Arial" w:hAnsi="Arial"/>
          <w:sz w:val="17"/>
          <w:szCs w:val="17"/>
          <w:color w:val="000000"/>
        </w:rPr>
        <w:t xml:space="preserve"> Convertible Notes Hedges </w:t>
      </w:r>
      <w:r>
        <w:rPr>
          <w:rFonts w:ascii="Arial" w:cs="Arial" w:eastAsia="Arial" w:hAnsi="Arial"/>
          <w:sz w:val="17"/>
          <w:szCs w:val="17"/>
          <w:color w:val="252525"/>
        </w:rPr>
        <w:t>will cover the aggregate amount of</w:t>
      </w:r>
      <w:r>
        <w:rPr>
          <w:rFonts w:ascii="Arial" w:cs="Arial" w:eastAsia="Arial" w:hAnsi="Arial"/>
          <w:sz w:val="17"/>
          <w:szCs w:val="17"/>
          <w:color w:val="000000"/>
        </w:rPr>
        <w:t xml:space="preserve"> </w:t>
      </w:r>
      <w:r>
        <w:rPr>
          <w:rFonts w:ascii="Arial" w:cs="Arial" w:eastAsia="Arial" w:hAnsi="Arial"/>
          <w:sz w:val="17"/>
          <w:szCs w:val="17"/>
          <w:color w:val="252525"/>
        </w:rPr>
        <w:t xml:space="preserve">cash that we would be required to pay to the holders of the converted Convertible Notes, less the principal amount thereof. </w:t>
      </w:r>
      <w:r>
        <w:rPr>
          <w:rFonts w:ascii="Arial" w:cs="Arial" w:eastAsia="Arial" w:hAnsi="Arial"/>
          <w:sz w:val="17"/>
          <w:szCs w:val="17"/>
          <w:color w:val="000000"/>
        </w:rPr>
        <w:t>As of September 30, 2014, we</w:t>
      </w:r>
      <w:r>
        <w:rPr>
          <w:rFonts w:ascii="Arial" w:cs="Arial" w:eastAsia="Arial" w:hAnsi="Arial"/>
          <w:sz w:val="17"/>
          <w:szCs w:val="17"/>
          <w:color w:val="252525"/>
        </w:rPr>
        <w:t xml:space="preserve"> </w:t>
      </w:r>
      <w:r>
        <w:rPr>
          <w:rFonts w:ascii="Arial" w:cs="Arial" w:eastAsia="Arial" w:hAnsi="Arial"/>
          <w:sz w:val="17"/>
          <w:szCs w:val="17"/>
          <w:color w:val="000000"/>
        </w:rPr>
        <w:t>have not purchased any shares under the Convertible Notes Hedges.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cost of the Convertible Notes Hedges was $46.5 million (or $21.3 million net of the total proceeds from the Warrants sold, as discussed below). The Convertible Notes Hedges are accounted for as a derivative asset and are recorded on the consolidated balance sheets at their estimated fair value in other assets, net. The fair value was $37.0 million as of September 30, 2014. The Convertible Notes Embedded Derivative liability and the Convertible Notes Hedges asset will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adjusted to fair value each reporting period and unrealized gains and losses will be reflected in the consolidated statements of operations. The Convertible Notes Embedded Derivative and the Convertible Notes Hedges are designed to have similar fair values. Accordingly, the changes in the fair values of these instruments are expected to offset and not have a net impact on the consolidated statements of operations.</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classification of the Convertible Notes Hedges asset as current or long-term on the consolidated balance sheet corresponds with the classification of the Convertible Notes, which is evaluated at each balance sheet date and may change from time to time depending on whether one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non-voting common stock to the purchasers of the Warrants that represent the value by which the price of the Class A Common Stock exceeds the strike price stipulated within the particular warrant agreement. As of September 30, 2014,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Interest Expense</w:t>
      </w:r>
    </w:p>
    <w:p>
      <w:pPr>
        <w:spacing w:after="0" w:line="171"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252525"/>
        </w:rPr>
        <w:t>Total interest expense for the fiscal year ended September 30, 2014 was $3.5 million, composed of contractual interest expense and debt discount amortization of $1.4 million and $2.1 million, respectively. The effective interest rate for the fiscal year ended September 30, 2014 was 7%.</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2014, the remaining unamortized issuance discount will be amortized over the next five years assuming no early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Non-recourse debt to EZCORP, Inc.</w:t>
      </w:r>
    </w:p>
    <w:p>
      <w:pPr>
        <w:spacing w:after="0" w:line="17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above represent Grupo Finmart’s third-party debt. All unsecured notes are collateralized with Grupo Finmart’s assets. All foreign currency debt is guaranteed by Grupo Finmart's loan portfolio or collateralized cash at Grupo Finmart’s option. As of September 30, 2014, Grupo Finmart’s foreign currency debt was guaranteed by consumer loans totaling $13.9 million, included in “Consumer loans, net” and “Non-current consumer loans, net” in our consolidated balance sheets, and collateralized cash totaling $37.7 million, included in “Restricted cash” and “Restricted cash, non-current” in our consolidated balance sheets.</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Interest on secured foreign currency debt due 2014 and 2016 is charged at the Mexican Interbank Equilibrium ("TIIE") plus a margin varying from 3% to 10%. The secured foreign currency debt due 2014 requires monthly payments of $0.1 million with remaining principal due at maturity. The 12% secured notes due 2016 and secured foreign currency line of credit due 2016 each requires monthly payments of $0.2 million, with the remaining principal due at maturity. The secured foreign currency debt due 2017 has a 14.5% interest rate, requires monthly payments of $1.9 million, and the remaining principal is due at maturity. The 12% secured notes due 2020 require monthly payments of $1.2 million with the remaining principal due at maturity.</w:t>
      </w:r>
    </w:p>
    <w:p>
      <w:pPr>
        <w:spacing w:after="0" w:line="11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2017</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calls for a two-year revolving period in which the trust will use principal collections of the consumer loan portfolio to acquire additional collection rights up to $115.4 million in eligible loans from Grupo Finmart. Upon the termination of the lending period, the collection received by the trust will be used to repay the debt. Grupo Finmart will continue to service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underlying loans in the trust. On February 17, 2014, Grupo Finmart repaid this facility. In connection with this repayment, we wrote off the deferred financing costs related to this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$35.5 million was primarily used to repay the previous securitization borrowing facility due 2017 and the transaction costs associated with this transaction. The cash proceeds of approximately $20.6 million is restricted primarily for $17.9 million of collection rights on the additional eligible loans from Grupo Finmart, which Grupo Finmart expects to deliver to the trust within the next 12 months, and $2.7 million of interest and trust maintenance costs to be recovered at repayment. The restricted cash proceeds of $17.9 million are recourse to Grupo Finmart unless additional eligible loans are delivered within the two year period specified in the agreement. The borrowing facility has a two year lending period and matures on March 19, 2019. Upon the termination of the lending period, Grupo has an option to start prepaying the principle early from the collection received by the trust. Grupo Finmart will continue to service the underlying loans in the trust.</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Deferred financing costs related to the new consumer loans facility totaling approximately $2.6 million are included in “Intangible assets, net” on our consolidated balance sheets and are being amortized to interest expense over the term of the agreement.</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2014, borrowings under the securitization borrowing facility due 2019 amounted to $54 million. Interest is charged at TIIE plus a 2.5% margin, or a total of 5.8% as of September 30,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unsecured notes due 2015</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15, 2013, Grupo Finmart issued and sold $30 million of 9% Global Registered Notes due November 16, 2015. Notes with an aggregate principal amount of $14 million were purchased by EZCORP and, therefore, eliminated in consolidation in prior periods. On March 31, 2014, EZCORP sold its outstanding notes in the amount of $11.7 million to an outside party, thereby increasing the total consolidated notes balances. As a result of this transaction we recorded a loss of $0.7 million, which is included under “(Gain) loss on sale or disposal of assets” in our consolidated statements of operations as of September 30, 2014. Grupo Finmart used a portion of the net proceeds of the offering to repay existing indebtedness, and used the remaining portion for general operating purposes.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OPTIONS AND STOCK COMPENSATION</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information on shares of our Class A Common Stock issued as acquisition consideration. All of these shares were registered on a "shelf" Registration Statement on Form S-4 that was declared effective in January 2011.</w:t>
      </w:r>
    </w:p>
    <w:p>
      <w:pPr>
        <w:spacing w:after="0" w:line="108"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due to acquisitions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Shares issued due to purchase of subsidiary shares from noncontrolling interest</w:t>
            </w:r>
          </w:p>
        </w:tc>
        <w:tc>
          <w:tcPr>
            <w:tcW w:w="340" w:type="dxa"/>
            <w:vAlign w:val="bottom"/>
          </w:tcPr>
          <w:p>
            <w:pPr>
              <w:spacing w:after="0"/>
              <w:rPr>
                <w:sz w:val="21"/>
                <w:szCs w:val="21"/>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405"/>
        </w:trPr>
        <w:tc>
          <w:tcPr>
            <w:tcW w:w="8580" w:type="dxa"/>
            <w:vAlign w:val="bottom"/>
            <w:gridSpan w:val="4"/>
          </w:tcPr>
          <w:p>
            <w:pPr>
              <w:spacing w:after="0"/>
              <w:rPr>
                <w:sz w:val="20"/>
                <w:szCs w:val="20"/>
                <w:color w:val="auto"/>
              </w:rPr>
            </w:pPr>
            <w:r>
              <w:rPr>
                <w:rFonts w:ascii="Arial" w:cs="Arial" w:eastAsia="Arial" w:hAnsi="Arial"/>
                <w:sz w:val="18"/>
                <w:szCs w:val="18"/>
                <w:color w:val="auto"/>
                <w:w w:val="99"/>
              </w:rPr>
              <w:t>Our net income includes the following compensation costs related to our stock compensation arrangements: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2"/>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6,714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gross compensation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benefits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4,511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options and restricted stock relate to our Class A Common Stock.</w:t>
      </w:r>
    </w:p>
    <w:p>
      <w:pPr>
        <w:spacing w:after="0" w:line="17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non-employee directors are eligible for grants of restricted stock awards and non-qualified stock options. No options have been granted to the non-employee directors since fiscal 2007. The restricted stock awards that have been granted to the non-employee directors in fiscal 2014, 2013 and 2012 vest over two years from the date of grant (50% on or about the first anniversary of the date of grant and 50% on or about the second anniversary). Restricted stock awards, non-qualified options and incentive stock options have been granted to our officers and employees under our 1998, 2003, 2006 and 2010 Incentive Plans. A portion of the restricted stock awards granted in fiscal 2014, 2013 and 2012 contain both performance and time-based vesting provisions.</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We generally issue newly issued shares to satisfy stock option exercises and restricted stock awards. At September 30, 2014, 521,794 shares were available for grant under the 2010 Plan. We measure the fair value of restricted stock awards based on the closing market price of the Class A Common Stock as of the grant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restricted stock award activity for the fiscal year ended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2013</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514,056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8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685,551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 Approximately 154,000 shares were withheld to satisfy related federal income tax withholding.</w:t>
            </w: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left="119"/>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40" w:type="dxa"/>
            <w:vAlign w:val="bottom"/>
            <w:gridSpan w:val="5"/>
          </w:tcPr>
          <w:p>
            <w:pPr>
              <w:jc w:val="center"/>
              <w:ind w:left="139"/>
              <w:spacing w:after="0"/>
              <w:rPr>
                <w:sz w:val="20"/>
                <w:szCs w:val="20"/>
                <w:color w:val="auto"/>
              </w:rPr>
            </w:pPr>
            <w:r>
              <w:rPr>
                <w:rFonts w:ascii="Arial" w:cs="Arial" w:eastAsia="Arial" w:hAnsi="Arial"/>
                <w:sz w:val="14"/>
                <w:szCs w:val="14"/>
                <w:i w:val="1"/>
                <w:iCs w:val="1"/>
                <w:color w:val="auto"/>
                <w:w w:val="93"/>
              </w:rPr>
              <w:t>(in millions except per share amounts)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8"/>
              </w:rPr>
              <w:t>14.58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9"/>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2014, the unamortized fair value of restricted stock awards to be amortized over their remaining vesting periods was approximately $15.6 million and the fair value of all options had been fully amortized to expense. The weighted average period over which these costs will be amortized is two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option activity for the fiscal year ended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0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2013</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70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left="56"/>
              <w:spacing w:after="0"/>
              <w:rPr>
                <w:sz w:val="20"/>
                <w:szCs w:val="20"/>
                <w:color w:val="auto"/>
              </w:rPr>
            </w:pPr>
            <w:r>
              <w:rPr>
                <w:rFonts w:ascii="Arial" w:cs="Arial" w:eastAsia="Arial" w:hAnsi="Arial"/>
                <w:sz w:val="14"/>
                <w:szCs w:val="14"/>
                <w:b w:val="1"/>
                <w:bCs w:val="1"/>
                <w:color w:val="auto"/>
                <w:w w:val="92"/>
              </w:rPr>
              <w:t>Fiscal Year Ended September 30,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40" w:type="dxa"/>
            <w:vAlign w:val="bottom"/>
            <w:gridSpan w:val="5"/>
          </w:tcPr>
          <w:p>
            <w:pPr>
              <w:jc w:val="center"/>
              <w:ind w:left="76"/>
              <w:spacing w:after="0"/>
              <w:rPr>
                <w:sz w:val="20"/>
                <w:szCs w:val="20"/>
                <w:color w:val="auto"/>
              </w:rPr>
            </w:pPr>
            <w:r>
              <w:rPr>
                <w:rFonts w:ascii="Arial" w:cs="Arial" w:eastAsia="Arial" w:hAnsi="Arial"/>
                <w:sz w:val="14"/>
                <w:szCs w:val="14"/>
                <w:i w:val="1"/>
                <w:iCs w:val="1"/>
                <w:color w:val="auto"/>
                <w:w w:val="93"/>
              </w:rPr>
              <w:t>(in millions except share amounts)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due to stock option exercises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204,298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Proceeds due to stock option exercises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stock option exercises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March 25, 2014, following the shareholders' approval, we filed with the Secretary of State of the State of Delaware a Certificate of Amendment to our Amended and Restated Certificate of Incorporation to increase the number of authorized Class A Common Stock from 55,550,000 to 100,000,000.</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retirement of our Executive Chairman effective June 30, 2014, we agreed to accelerate the vesting of 270,000 shares of restricted stock and recorded $2.2 million of the related gross compensation costs in the quarter ending March 31, 2014. Out of the 270,000 shares, 135,000 shares would have otherwise vested on October 2, 2014 and 135,000 shares would have otherwise vested on October 2, 2016.</w:t>
      </w:r>
    </w:p>
    <w:p>
      <w:pPr>
        <w:spacing w:after="0" w:line="1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2014, in connection with the issuance of the Convertible Notes discussed in Note 9, we repurchased 1.0 million shares of outstanding Class A Common Stock in privately negotiated transactions for an aggregate purchase price of $11.9 million. We recognized the total amount of the repurchased shares in Treasury Stock on our consolidated balance sheets. In July 2014, we retired all 1.0 million of the previously repurchased shares. At September 30, 2014, total outstanding Treasury Stock on our consolidated balance sheets was zero.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REDEEMABLE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activities in our redeemable noncontrolling interest during the years ended September 30, 2014 and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Redeemable Noncontrolling</w:t>
            </w: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Interest</w:t>
            </w: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53,681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Acquisition of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2,836</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4,348</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Contribution to maintain ownership percentage</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6,135</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9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55,393</w:t>
            </w:r>
          </w:p>
        </w:tc>
      </w:tr>
      <w:tr>
        <w:trPr>
          <w:trHeight w:val="23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(23,181)</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4,208</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 attributable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9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35,498</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On November 1, 2012, we acquired a 51% interest in TUYO (see Note 3 for details). On January 1, 2014, we acquired an additional 8% interest in TUYO for $1.1 million, increasing our ownership percentage to 59%.</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14, 2012, we acquired an additional 23% of the ordinary shares outstanding of Cash Genie, our U.K. online lending business, for $10.4 million, increasing our ownership percentage from 72% to 95%, with the remaining 5% held by local management. The consideration paid to the selling shareholder was paid in the form of 592,461 shares of EZCORP Class A Common Stock. This transaction was treated as an equity transaction and not an adjustment to the purchase price of the initial controlling interest acquisition of Cash Genie. On August 1, 2013, we acquired the remaining ordinary shares that were held by local management for $0.6 million. As of August 1, 2013, we own 100% of Cash Genie's ordinary shares.</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April 1, 2013, Grupo Finmart completed a $15.3 million equity offering to its existing shareholders for the purpose of strengthening its balance sheet as it continues to seek additional debt to fund loan originations. We invested $9.2 million with the noncontrolling interest shareholders investing the remaining $6.1 million, which maintained our ownership at 60% and the noncontrolling shareholders' ownership at 40%. On June 30, 2014, we acquired an additional 16% of the ordinary shares outstanding of Grupo Finmart for $28.7 million, increasing our ownership percentage from 60% to 76%, with the remaining 24% held by minority shareholders.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transactions with noncontrolling interest shareholders subsequent to the initial acquisition were treated as equity transactions and not as adjustments to the purchase prices of the initial controlling interest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significant components of the income tax provision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24,286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38,606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60,256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9,108</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32,779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44,560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69,364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3,337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29,582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71,165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shows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r>
      <w:tr>
        <w:trPr>
          <w:trHeight w:val="196"/>
        </w:trPr>
        <w:tc>
          <w:tcPr>
            <w:tcW w:w="6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31,959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77,789</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expense related to incentive stock options</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(633)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349</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2,242</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tax credit</w:t>
            </w: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(4,342)</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permanently reinvesting foreign earnings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502</w:t>
            </w: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29,582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71,165</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69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were approximately 29%, 29% and 31% for the fiscal years ended September 30, 2014, 2013 and 2012,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Albemarle &amp; Bond loss carryforward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5,736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15,921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over book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18,875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13,879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Book over tax amortization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41,783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 over book amortization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12,593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income and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 over book depreciation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2,928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23,732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34,176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34,012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22,039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Deferred taxes are not provided for temporary differences of approximately $16.8 million representing earnings of non-U.S. subsidiaries intended to be permanently reinvested outside the U.S. We estimate that, upon distribution of our share of these earnings, we would be subject to U.S. income taxes of approximately $2.7 million as of September 30, 2014. At September 30, 2014 and 2013, we provided deferred income taxes on all undistributed earnings from Cash Converters International, and recorded dividends of approximately $5.1 million and $5.1 million, respectively. Any taxes paid to foreign governments on these earnings may be used in whole or in part as credits against the U.S. tax on any dividends distributed from such earnings.</w:t>
      </w:r>
    </w:p>
    <w:p>
      <w:pPr>
        <w:spacing w:after="0" w:line="10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Under FASB ASC 740-10-25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 tax position must be more-likely-than-not to be sustained upon examination, based on the technical merits of the position to be recognized in the financial statements. In making the determination of sustainability, we must presume the appropriate taxing authority with full knowledge of all relevant information will examine tax positions. FASB ASC 740-10-25 also prescribes how the benefit should be measured, including the consideration of any penalties and interest. It requires that the standard be applied to the balances of tax assets and liabilities as of the beginning of the period of adoption and that a corresponding adjustment be made to the opening balance of equity.</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as “Income tax expense” in our consolidated statements of operations, which were nominal during fiscal 2014, 2013 and 2012.</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U.S., Mexico, U.K. and Canada income taxes as well as to income taxes levied by various state and local jurisdictions. With few exceptions, we are no longer subject to examinations by tax authorities for years before the tax year ended September 30, 2009. Management believes that adequate provisions have been made for any adjustments that may result from tax examinations.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Madison Park</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each of the past three fiscal years, we entered into one-year advisory services agreements with Madison Park, LLC, a business and financial advisory firm wholly owned by Phillip E. Cohen, the beneficial owner of all of our outstanding Class B Common Stock, pursuant to which, Madison Park provided advisory services related to our business and long-term strategic plan, including (a) identifying, evaluating and negotiating potential acquisitions and strategic alliances, (b) assessing operating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and strategic objectives, including new business development, (c) assisting in international business development and strategic investment opportunities, (d) analyzing financial condition and results of operations, evaluating strengths and weaknesses of financial performance and recommending measures to improve performance, (e) advising on dividend policy and corporate transactions, (f) providing briefings on business strategy, (g) advising on investor relations and relations with investment bankers, securities analysts and other members of the financial services industry and (h) performing such other services as we may reasonably request. Pursuant to the agreements, the annual fee for the services, recorded in “Administrative” expense in our consolidated statements of operations, was $7.2 million in fiscal 2014, $7.2 million in fiscal 2013 and $6.0 million in fiscal 2012. There were no accrued fees recorded in our consolidated balance sheets as of September 30, 2014 and 2013.</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Prior to entering into each of those Madison Park agreements and pursuant to our Policy for Review and Evaluation of Related Party Transactions, the Audit Committee of our Board of Directors implemented measures designed to ensure that the agreement was considered, analyzed, negotiated and approved objectively. Those measures included the engagement of an independent financial advisory firm to counsel and advise the committee in the course of its consideration and evaluation of the Madison Park relationship and the proposed agreement and the receipt of a fairness opinion with respect to the consideration to be paid to Madison Park pursuant to the agreement.</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each case, after consideration and discussion of a number of factors, the information and fairness opinion provided by its independent financial advisory firm, and the relationships and the interests of Mr. Cohen, the Audit Committee concluded that the proposed agreement was fair to, and in the best interests of, the company and its stockholders and, on that basis, approved the engagement of Madison Park pursuant to the agreement.</w:t>
      </w:r>
    </w:p>
    <w:p>
      <w:pPr>
        <w:spacing w:after="0" w:line="1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May 20, 2014 and as permitted by the agreement, we issued a 30-day notice of termination to Madison Park, and the advisory services agreement for fiscal 2014 was terminated effective June 19, 2014. During fiscal 2014, prior to the termination of the agreement on June 19, 2014, we paid $5.2 million in fees pursuant to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LPG Limited</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fiscal 2013 and fiscal 2014, we entered into one-year consulting agreements with LPG Limited (HK) (“LPG Limited”), a business and financial advisory firm wholly-owned by Lachlan P. Given, who is currently Executive Vice Chairman and a director. Under the agreements, LPG Limited provided a variety of consulting and advisory services to the Company, and we paid LPG Limited total fees of $259,000 in fiscal 2014 (prior to the termination of the agreement in June 2014) and $480,000 in fiscal 2013. These agreements were entered into, and the fiscal 2014 agreement was terminated, prior to Mr. Given’s appointment to our Board of Directors in July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various facilities and certain equipment under capital and operating leases. We also sublease some of the above facilities. Future minimum rentals due under non-cancelable leases and annual future minimum rentals expected under subleases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Operating Lease Payments</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Capital Lease Payments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Sublease Revenue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49,553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26,222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48,388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Future minimum capital lease payments total $0.4 million which includes a nominal amount of interest. The present value of net minimum capital lease payments as of September 30, 2014 was $0.4 million.</w:t>
      </w:r>
    </w:p>
    <w:p>
      <w:pPr>
        <w:spacing w:after="0" w:line="11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After an initial lease term of generally three to 10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62,673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67,869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62,456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53,261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Prior to fiscal 2008,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$1.0 million and $1.4 million at September 30, 2014 and 2013, respectively, is included in “Deferred gains and other long-term liabilities” in our consolidated balance sheets. The short-term portion, included in “Accounts payable and other accrued expenses” in our consolidated balance sheets, was $0.4 million at September 30, 2014 and 2013. Future rentals on these sale-leasebacks are included in the above schedule of future minimum rentals. Terms of these leases are consistent with the terms on our other lease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EMPLOYMENT AGREEMENTS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Paul E. Rothamel, our former President and Chief Executive Officer, had an employment agreement that provided for certain benefits (principally, a payment equal to one year of then-current base salary plus, in some cases, the prorated annual incentive bonus at target amount) if Mr. Rothamel’s employment was terminated under certain circumstances. This employment agreement was terminated on July 18, 2014, and we and Mr. Rothamel are still in discussion regarding the severance benefits payable under the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June 2014, the Board of Directors approved two plans that provide severance benefits to certain senior executives (including the executive officers).</w:t>
      </w:r>
    </w:p>
    <w:p>
      <w:pPr>
        <w:spacing w:after="0" w:line="183" w:lineRule="exact"/>
        <w:rPr>
          <w:sz w:val="20"/>
          <w:szCs w:val="20"/>
          <w:color w:val="auto"/>
        </w:rPr>
      </w:pPr>
    </w:p>
    <w:p>
      <w:pPr>
        <w:ind w:left="660" w:right="2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approved, the EZCORP, Inc. Change in Control Severance Plan provides certain of our senior executives with certain severance benefits if (1) the executive’s employment is either terminated by the Company for any reason other than Cause (as defined in the plan) and (2) such termination of employment occurs within two years after a “Change in Control” of the Company or prior to, but in connection with, a potential Change in Control. The term “Change in Control” is defined in the plan and includes not only a change in beneficial ownership of our voting stock, but also certain changes in the composition of the Board of Directors. To date, a Change in Control (as defined in the plan) has not occurred, and there are no current participants in the plan.</w:t>
      </w:r>
    </w:p>
    <w:p>
      <w:pPr>
        <w:spacing w:after="0" w:line="139"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approved, the EZCORP, Inc. Executive Severance Pay Plan provided participants with certain severance benefits in non-change in control circumstances, generally if the participant’s employment was either terminated by the Company for any reason other than Cause (as defined in the plan), death, disability or mandatory retirement or terminated by the participant for Good Reason (as defined in the plan). The original participants in the plan included certain of our senior executives. The plan was intended to replace various severance arrangements that were otherwise reflected in offer letters and other documents. On August 25, 2014, the Board of Directors terminated the Executive Severance Pay Plan and reinstated the various severance arrangements that existed prior to the adoption of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without cause.</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RETIREMENT PLANS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sponsor a 401(k) retirement savings plan under which eligible employees may contribute a portion of pre-tax earnings. In our sole discretion, we may match employee contributions in the form of either cash or our Class A Common Stock. Prior to July 1, 2013, a participant vested in the matching contributions pro rata over their first five years of service. As of July 1, 2013,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557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459</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988</w:t>
            </w:r>
          </w:p>
        </w:tc>
        <w:tc>
          <w:tcPr>
            <w:tcW w:w="4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807</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CONTINGENCIES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involved in various claims, suits, investigations and legal proceedings, including the following. While we cannot determine the ultimate outcome of any of these matters, we believe their resolution will not have a material adverse effect on our financial condition, results of operations or liquidity. However, we cannot give any assurance as to their ultimate outcome. We have not recorded a liability for any of these matters as of September 30, 2014 because we do not believe at this time that any loss is probable or that the amount of any loss can be reasonably estimated.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 (C.A. No. 9962-VCP)</w:t>
      </w:r>
      <w:r>
        <w:rPr>
          <w:rFonts w:ascii="Arial" w:cs="Arial" w:eastAsia="Arial" w:hAnsi="Arial"/>
          <w:sz w:val="18"/>
          <w:szCs w:val="18"/>
          <w:color w:val="auto"/>
        </w:rPr>
        <w:t>.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On October 13, 2014, motions to dismiss were filed on behalf of each defendant, and on November 12, 2014, the defendants filed their opening briefs in support of the motions to dismiss. Reply and follow-up briefs on the motions to dismiss are expected to be filed by early January 2015. On November 13, 2014, pursuant to the parties’ stipulation, the court dismissed the action as to Mr. Brinkley, Mr. Rothamel and Mr. Lagos.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On August 22, 2014, Jason Close, a purported holder of Class A Non-voting Common Stock, for himself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 (</w:t>
      </w:r>
      <w:r>
        <w:rPr>
          <w:rFonts w:ascii="Arial" w:cs="Arial" w:eastAsia="Arial" w:hAnsi="Arial"/>
          <w:sz w:val="18"/>
          <w:szCs w:val="18"/>
          <w:color w:val="auto"/>
        </w:rPr>
        <w:t>Case No. 1:14-cv-06834-ALC). The complaint names as defendants EZCORP, Inc., Paul E. Rothamel (our former chief executive officer) and Mark Kuchenrither (our current chief financial officer and our chief financial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On October 21, 2014, the plaintiff in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filed a motion to consolidate the </w:t>
      </w:r>
      <w:r>
        <w:rPr>
          <w:rFonts w:ascii="Arial" w:cs="Arial" w:eastAsia="Arial" w:hAnsi="Arial"/>
          <w:sz w:val="18"/>
          <w:szCs w:val="18"/>
          <w:i w:val="1"/>
          <w:iCs w:val="1"/>
          <w:color w:val="auto"/>
        </w:rPr>
        <w:t>Close</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Automotive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Machinists Pension Plan </w:t>
      </w:r>
      <w:r>
        <w:rPr>
          <w:rFonts w:ascii="Arial" w:cs="Arial" w:eastAsia="Arial" w:hAnsi="Arial"/>
          <w:sz w:val="18"/>
          <w:szCs w:val="18"/>
          <w:color w:val="auto"/>
        </w:rPr>
        <w:t>action and to appoint the Automotive Machinists Pension Plan as the lead plaintiff. On November 18, 2014, the court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set a deadline for December 9, 2014 for interested parties to move to be appointed lead plaintiff and lead counsel.</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We expect that the </w:t>
      </w:r>
      <w:r>
        <w:rPr>
          <w:rFonts w:ascii="Arial" w:cs="Arial" w:eastAsia="Arial" w:hAnsi="Arial"/>
          <w:sz w:val="18"/>
          <w:szCs w:val="18"/>
          <w:i w:val="1"/>
          <w:iCs w:val="1"/>
          <w:color w:val="auto"/>
        </w:rPr>
        <w:t>Close</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will be consolidated. The consolidated case is at a very early procedural stage. We cannot predict the outcome of the litigation, but we intend to defend vigorously against all allegations and claims.</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Vice Chairman and a current member of our Board of Directors). The SEC has also issued subpoenas to current and former members of our Board of Directors requesting production of similar documents. We have provided a number of documents in response to the subpoena and are cooperating fully with the SEC in its investigation.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INFORMATION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Third Quarter</w:t>
            </w: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3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240" w:type="dxa"/>
            <w:vAlign w:val="bottom"/>
            <w:gridSpan w:val="3"/>
          </w:tcPr>
          <w:p>
            <w:pPr>
              <w:ind w:left="82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Year Ended September 30, 2014</w:t>
            </w:r>
          </w:p>
        </w:tc>
        <w:tc>
          <w:tcPr>
            <w:tcW w:w="8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7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263,039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250,682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232,602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242,209</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163,857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158,479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149,951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142,810</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(87,337)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(87,807)</w:t>
            </w:r>
          </w:p>
        </w:tc>
      </w:tr>
      <w:tr>
        <w:trPr>
          <w:trHeight w:val="31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(loss)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31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Year Ended September 30, 2013</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265,482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259,963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226,696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227,980</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169,089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166,143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145,773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143,699</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(19,288)</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(23,770)</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redeemable noncontrolling interest</w:t>
            </w: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984</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discontinued operations attributable to 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33,981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(24,740)</w:t>
            </w:r>
          </w:p>
        </w:tc>
      </w:tr>
      <w:tr>
        <w:trPr>
          <w:trHeight w:val="31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57"/>
        </w:trPr>
        <w:tc>
          <w:tcPr>
            <w:tcW w:w="7440" w:type="dxa"/>
            <w:vAlign w:val="bottom"/>
          </w:tcPr>
          <w:p>
            <w:pPr>
              <w:ind w:left="40"/>
              <w:spacing w:after="0"/>
              <w:rPr>
                <w:sz w:val="20"/>
                <w:szCs w:val="20"/>
                <w:color w:val="auto"/>
              </w:rPr>
            </w:pPr>
            <w:r>
              <w:rPr>
                <w:rFonts w:ascii="Arial" w:cs="Arial" w:eastAsia="Arial" w:hAnsi="Arial"/>
                <w:sz w:val="16"/>
                <w:szCs w:val="16"/>
                <w:color w:val="auto"/>
              </w:rPr>
              <w:t>Diluted (loss)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in the table above has been adjusted to reflect reclassification of all discontinued operations.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recorded total pre-tax charges of $103.1 million and $6.7 million pertaining to discontinued operations and restructuring, respectively, during the quarter ended September 30, 2014 as further discussed in Note 2. We recorded total pre-tax charges of $22.2 million pertaining to discontinued operations during the quarter ended September 30, 2013 as further discussed in Note 2.</w:t>
      </w:r>
    </w:p>
    <w:p>
      <w:pPr>
        <w:spacing w:after="0" w:line="23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recorded impairments of investments of $7.9 million and $44.6 million (comprising $42.5 million impairment of Albemarle &amp; Bond and $2.1 million impairment of available for sale securities) during the quarters ended March 31, 2014 and September 30, 2013, respectively, as further discussed in Note 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OPERATING SEGMENT INFORMATION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6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are no inter-segment revenues, and the amounts below were determined in accordance with the same accounting principles used in our consolidated financial statements. The following tables present operating segment information for the three years ending September 30, 2014, 2013 and 2012, including reclassifications discussed in Note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Fiscal Year Ended September 30, 2014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U.S. &amp;</w:t>
            </w:r>
          </w:p>
        </w:tc>
        <w:tc>
          <w:tcPr>
            <w:tcW w:w="140" w:type="dxa"/>
            <w:vAlign w:val="bottom"/>
          </w:tcPr>
          <w:p>
            <w:pPr>
              <w:spacing w:after="0"/>
              <w:rPr>
                <w:sz w:val="13"/>
                <w:szCs w:val="13"/>
                <w:color w:val="auto"/>
              </w:rPr>
            </w:pPr>
          </w:p>
        </w:tc>
        <w:tc>
          <w:tcPr>
            <w:tcW w:w="8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Canada</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America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Segments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5"/>
          </w:tcPr>
          <w:p>
            <w:pPr>
              <w:ind w:left="60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327,720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59,611</w:t>
            </w:r>
          </w:p>
        </w:tc>
        <w:tc>
          <w:tcPr>
            <w:tcW w:w="1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387,331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387,331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96,243</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217,891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30,487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248,378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248,378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219,535</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Consumer loan sales and other revenues</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34,963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37,045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37,045</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803,031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185,501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988,532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988,532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205,349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42,044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247,393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247,393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5,807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72,836</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46,339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6,867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53,206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53,206</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484,314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130,783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615,097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615,097</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420,350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420,350</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61,819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61,819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29,801</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2,004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5,475</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Interest expense (income), net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15,243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15,227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22,832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25,441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160,744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160,744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Fiscal Year Ended September 30, 2013</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U.S. &amp;</w:t>
            </w:r>
          </w:p>
        </w:tc>
        <w:tc>
          <w:tcPr>
            <w:tcW w:w="16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Latin</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Total Segments</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Canada</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America</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1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ind w:left="680"/>
              <w:spacing w:after="0"/>
              <w:rPr>
                <w:sz w:val="20"/>
                <w:szCs w:val="20"/>
                <w:color w:val="auto"/>
              </w:rPr>
            </w:pPr>
            <w:r>
              <w:rPr>
                <w:rFonts w:ascii="Arial" w:cs="Arial" w:eastAsia="Arial" w:hAnsi="Arial"/>
                <w:sz w:val="14"/>
                <w:szCs w:val="14"/>
                <w:i w:val="1"/>
                <w:iCs w:val="1"/>
                <w:color w:val="auto"/>
                <w:w w:val="90"/>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310,521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58,245</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368,766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368,766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131,702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131,702</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221,775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29,579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251,354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251,354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219,752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219,752</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Consumer loan sales and other revenues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828,560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980,121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980,121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183,147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35,470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218,617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218,617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96,133</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Consumer loan bad debt (benefit)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40,780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40,667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40,667</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515,996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107,169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624,704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624,704</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389,386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389,386</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52,474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52,474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27,858</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11,295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15,168</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Impairment of investments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8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173,772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26,662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(32,429)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168,005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7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168,005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102,459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Fiscal Year Ended September 30, 2012</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U.S. &amp;</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8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Canada</w:t>
            </w: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Segments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291,497</w:t>
            </w:r>
          </w:p>
        </w:tc>
        <w:tc>
          <w:tcPr>
            <w:tcW w:w="12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41,567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333,064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333,064</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191,905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202,481</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210,601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22,937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233,538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233,538</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163,845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26,901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190,746</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Consumer loan sales and other revenues</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4,673</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861,229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103,273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964,502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964,502</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168,133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22,504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190,637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190,637</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130,715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130,715</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35,330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35,639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35,639</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535,162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72,349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607,511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607,511</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37,259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328,793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328,793</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47,912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47,912</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21,851</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Interest (income) expense, net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0" w:type="dxa"/>
            <w:vAlign w:val="bottom"/>
          </w:tcPr>
          <w:p>
            <w:pPr>
              <w:spacing w:after="0"/>
              <w:rPr>
                <w:sz w:val="1"/>
                <w:szCs w:val="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contribution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230,896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34,901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17,636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283,433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283,433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227,085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America</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September 30, 2014</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14,520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27,482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145,258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162,444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26,945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61,697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139,419</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Non-current consumer loans, net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40,442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36,544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separately identified recorded segment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653,884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378,490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1,035,672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color w:val="auto"/>
              </w:rPr>
              <w:t>Consumer loans outstanding from unaffiliated lenders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22,553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September 30, 2013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16,829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31,020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142,930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156,637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66,654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145,200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97,322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Non-current consumer loans, net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70,294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separately identified recorded segment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714,376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50,606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1,120,648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color w:val="auto"/>
              </w:rPr>
              <w:t>Consumer loans outstanding from unaffiliated lenders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September 30, 2012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20,702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37,311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157,648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Service charges and fees receivable,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109,214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85,670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Non-current consumer loans, net</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61,997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374,663</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43,637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separately identified recorded segment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607,257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311,259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969,591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color w:val="auto"/>
              </w:rPr>
              <w:t>Consumer loans outstanding from unaffiliated lenders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25,484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25,484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60" w:hanging="330"/>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CSO loans are not recorded in our consolidated balance sheets.</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separately identified recorded segment assets, as shown above, to our consolidated total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4"/>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6"/>
          </w:tcPr>
          <w:p>
            <w:pPr>
              <w:jc w:val="center"/>
              <w:ind w:right="3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separately identified recorded segment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1,035,672</w:t>
            </w:r>
          </w:p>
        </w:tc>
        <w:tc>
          <w:tcPr>
            <w:tcW w:w="42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4"/>
            <w:shd w:val="clear" w:color="auto" w:fill="CCEEFF"/>
          </w:tcPr>
          <w:p>
            <w:pPr>
              <w:jc w:val="right"/>
              <w:ind w:right="15"/>
              <w:spacing w:after="0"/>
              <w:rPr>
                <w:sz w:val="20"/>
                <w:szCs w:val="20"/>
                <w:color w:val="auto"/>
              </w:rPr>
            </w:pPr>
            <w:r>
              <w:rPr>
                <w:rFonts w:ascii="Arial" w:cs="Arial" w:eastAsia="Arial" w:hAnsi="Arial"/>
                <w:sz w:val="18"/>
                <w:szCs w:val="18"/>
                <w:color w:val="auto"/>
              </w:rPr>
              <w:t>1,120,648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969,591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assets</w:t>
            </w:r>
          </w:p>
        </w:tc>
        <w:tc>
          <w:tcPr>
            <w:tcW w:w="3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367,799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231,542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248,416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1,403,471</w:t>
            </w:r>
          </w:p>
        </w:tc>
        <w:tc>
          <w:tcPr>
            <w:tcW w:w="42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5"/>
              <w:spacing w:after="0"/>
              <w:rPr>
                <w:sz w:val="20"/>
                <w:szCs w:val="20"/>
                <w:color w:val="auto"/>
              </w:rPr>
            </w:pPr>
            <w:r>
              <w:rPr>
                <w:rFonts w:ascii="Arial" w:cs="Arial" w:eastAsia="Arial" w:hAnsi="Arial"/>
                <w:sz w:val="18"/>
                <w:szCs w:val="18"/>
                <w:color w:val="auto"/>
              </w:rPr>
              <w:t>1,352,190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1,218,007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The following tables provide geographic information required by FASB ASC 280-10-50-41: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jc w:val="center"/>
              <w:ind w:right="693"/>
              <w:spacing w:after="0"/>
              <w:rPr>
                <w:sz w:val="20"/>
                <w:szCs w:val="20"/>
                <w:color w:val="auto"/>
              </w:rPr>
            </w:pPr>
            <w:r>
              <w:rPr>
                <w:rFonts w:ascii="Arial" w:cs="Arial" w:eastAsia="Arial" w:hAnsi="Arial"/>
                <w:sz w:val="14"/>
                <w:szCs w:val="14"/>
                <w:b w:val="1"/>
                <w:bCs w:val="1"/>
                <w:color w:val="auto"/>
                <w:w w:val="91"/>
              </w:rPr>
              <w:t>Fiscal Year Ended 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w:t>
            </w:r>
          </w:p>
        </w:tc>
        <w:tc>
          <w:tcPr>
            <w:tcW w:w="340" w:type="dxa"/>
            <w:vAlign w:val="bottom"/>
          </w:tcPr>
          <w:p>
            <w:pPr>
              <w:spacing w:after="0"/>
              <w:rPr>
                <w:sz w:val="21"/>
                <w:szCs w:val="21"/>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789,506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815,850</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850,517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185,501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150,022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103,273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12,710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w:t>
            </w: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988,532</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980,121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964,502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U.S.</w:t>
            </w:r>
          </w:p>
        </w:tc>
        <w:tc>
          <w:tcPr>
            <w:tcW w:w="340" w:type="dxa"/>
            <w:vAlign w:val="bottom"/>
          </w:tcPr>
          <w:p>
            <w:pPr>
              <w:spacing w:after="0"/>
              <w:rPr>
                <w:sz w:val="21"/>
                <w:szCs w:val="21"/>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360,203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404,723</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317,887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151,752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159,728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155,488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3,787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44,363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1,359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517,101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613,386</w:t>
            </w:r>
          </w:p>
        </w:tc>
        <w:tc>
          <w:tcPr>
            <w:tcW w:w="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527,979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ALLOWANCE FOR LOSSES AND CREDIT QUALITY OF CONSUMER LOANS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consumer loans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consider consumer loans made at our storefronts and online in the U.K. to be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reported balance. Accrued fees related to defaulted loans reduce fee revenue upon loan default, and increase fee revenue upon collection.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Consumer loans made by EZCORP Online are considered delinquent if they are not repaid or renewed by the maturity date. We do not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Consumer loans made online in the U.K. are considered delinquent if they are not repaid or renewed by the maturity date.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Grupo Finmart's consumer loans are considered in current status as long as the customer is employed and Grupo Finmart receives payments via payroll withholdings. Loans outstanding from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 The $19.9 million and $29.5 million recorded investment in unsecured long-term loans at September 30, 2014 and 2013, respectively, that are greater than 90 days are related to customers that are in payroll.</w:t>
      </w:r>
    </w:p>
    <w:p>
      <w:pPr>
        <w:spacing w:after="0" w:line="1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72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Charge-offs</w:t>
            </w:r>
          </w:p>
        </w:tc>
        <w:tc>
          <w:tcPr>
            <w:tcW w:w="240" w:type="dxa"/>
            <w:vAlign w:val="bottom"/>
          </w:tcPr>
          <w:p>
            <w:pPr>
              <w:spacing w:after="0"/>
              <w:rPr>
                <w:sz w:val="12"/>
                <w:szCs w:val="12"/>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0"/>
              </w:rPr>
              <w:t>Recoveries</w:t>
            </w:r>
          </w:p>
        </w:tc>
        <w:tc>
          <w:tcPr>
            <w:tcW w:w="260" w:type="dxa"/>
            <w:vAlign w:val="bottom"/>
          </w:tcPr>
          <w:p>
            <w:pPr>
              <w:spacing w:after="0"/>
              <w:rPr>
                <w:sz w:val="12"/>
                <w:szCs w:val="12"/>
                <w:color w:val="auto"/>
              </w:rPr>
            </w:pPr>
          </w:p>
        </w:tc>
        <w:tc>
          <w:tcPr>
            <w:tcW w:w="8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0"/>
              </w:rPr>
              <w:t>Provision</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End of</w:t>
            </w:r>
          </w:p>
        </w:tc>
        <w:tc>
          <w:tcPr>
            <w:tcW w:w="2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of Period</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w:t>
            </w:r>
          </w:p>
        </w:tc>
        <w:tc>
          <w:tcPr>
            <w:tcW w:w="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2,928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(46,968)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26,865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31,817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14,645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31,747</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Year ended September 30, 2013</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2,390</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(47,178)</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21,074</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26,651</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2,928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22,289</w:t>
            </w: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72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1,727</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(26,564)</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12,176</w:t>
            </w:r>
          </w:p>
        </w:tc>
        <w:tc>
          <w:tcPr>
            <w:tcW w:w="26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15,034</w:t>
            </w:r>
          </w:p>
        </w:tc>
        <w:tc>
          <w:tcPr>
            <w:tcW w:w="2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2,390</w:t>
            </w:r>
          </w:p>
        </w:tc>
        <w:tc>
          <w:tcPr>
            <w:tcW w:w="2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20,108</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Secured short-term consumer loans:</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1,804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(64,916)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58,453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5,708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1,049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Year ended September 30, 2013</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942</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(43,768)</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40,226</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4,404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1,804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9,789</w:t>
            </w: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72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538</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(11,295)</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9,087</w:t>
            </w:r>
          </w:p>
        </w:tc>
        <w:tc>
          <w:tcPr>
            <w:tcW w:w="26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2,612</w:t>
            </w:r>
          </w:p>
        </w:tc>
        <w:tc>
          <w:tcPr>
            <w:tcW w:w="2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972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5,952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7,177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90,987</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Year ended September 30, 2013</w:t>
            </w: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623</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(2,651)</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3,151</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108,603</w:t>
            </w:r>
          </w:p>
        </w:tc>
        <w:tc>
          <w:tcPr>
            <w:tcW w:w="0" w:type="dxa"/>
            <w:vAlign w:val="bottom"/>
          </w:tcPr>
          <w:p>
            <w:pPr>
              <w:spacing w:after="0"/>
              <w:rPr>
                <w:sz w:val="1"/>
                <w:szCs w:val="1"/>
                <w:color w:val="auto"/>
              </w:rPr>
            </w:pPr>
          </w:p>
        </w:tc>
      </w:tr>
      <w:tr>
        <w:trPr>
          <w:trHeight w:val="237"/>
        </w:trPr>
        <w:tc>
          <w:tcPr>
            <w:tcW w:w="3300" w:type="dxa"/>
            <w:vAlign w:val="bottom"/>
          </w:tcPr>
          <w:p>
            <w:pPr>
              <w:ind w:left="380"/>
              <w:spacing w:after="0"/>
              <w:rPr>
                <w:sz w:val="20"/>
                <w:szCs w:val="20"/>
                <w:color w:val="auto"/>
              </w:rPr>
            </w:pPr>
            <w:r>
              <w:rPr>
                <w:rFonts w:ascii="Arial" w:cs="Arial" w:eastAsia="Arial" w:hAnsi="Arial"/>
                <w:sz w:val="16"/>
                <w:szCs w:val="16"/>
                <w:color w:val="auto"/>
              </w:rPr>
              <w:t>Year ended September 30, 2012</w:t>
            </w:r>
          </w:p>
        </w:tc>
        <w:tc>
          <w:tcPr>
            <w:tcW w:w="72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896</w:t>
            </w:r>
          </w:p>
        </w:tc>
        <w:tc>
          <w:tcPr>
            <w:tcW w:w="26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285</w:t>
            </w:r>
          </w:p>
        </w:tc>
        <w:tc>
          <w:tcPr>
            <w:tcW w:w="2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623</w:t>
            </w:r>
          </w:p>
        </w:tc>
        <w:tc>
          <w:tcPr>
            <w:tcW w:w="2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74,045</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60" w:right="260" w:hanging="328"/>
        <w:spacing w:after="0" w:line="273"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Unsecured short-term consumer loans amounts are included for periods after the November 20, 2012 acquisition of Go Cash, and prior to our discontinuance of Go Cash operations at September 30, 2014. Refer to Note 2 for further detail on discontinued operations.</w:t>
      </w:r>
    </w:p>
    <w:p>
      <w:pPr>
        <w:spacing w:after="0" w:line="120" w:lineRule="exact"/>
        <w:rPr>
          <w:sz w:val="20"/>
          <w:szCs w:val="20"/>
          <w:color w:val="auto"/>
        </w:rPr>
      </w:pPr>
    </w:p>
    <w:p>
      <w:pPr>
        <w:ind w:left="660" w:right="80" w:hanging="328"/>
        <w:spacing w:after="0" w:line="286"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Comparative information includes activity since the acquisition of Grupo Finmart on January 30, 2012 and the acquisition of Cash Genie on April 14, 2012, as applicable. At September 30, 2014, Go Cash operations were discontinued. Refer to Note 2 for further detail on discontinued operations. A portion of these amounts were included in “Consumer loans, net” in our consolidated balance sheets. Benefit in unsecured long-term consumer loan provision is due to the sale of past due loans and recoveries of loans previously written-off.</w:t>
      </w:r>
    </w:p>
    <w:p>
      <w:pPr>
        <w:spacing w:after="0" w:line="17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recorded as assets in our balance sheets. Expected losses on credit services are accrued and reported in “Accounts payable and other accrued expenses” in our consolidated balance sheets.</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3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100% of loans once they are more than 60 days past due. No fees are accrued on short-term consumer loans.</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Short-term unsecured consumer loans made online in the U.K. remain as recorded investments when in default or nonaccrual status.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29, 2013, Grupo Finmart acquired an unsecured long-term consumer loan portfolio, consisting of approximately 10,500 payroll withholding loans, for a total purchase price of approximately $15.9 million. Of the total purchase price, a minimum of $11.7 million will be paid, of which approximately $10.5 million was paid at closing, $0.6 million was paid on April 30, 2014, and $0.6 million will be paid by November 28, 2014. The total price includes deferred consideration of approximately $4.2 million, subject to the performance of the portfolio and payable over the next 12 months as stipulated in the purchase agreement, of which approximately $2.1 million was paid on April 30, 2014. The remaining deferred consideration will be paid by November 28, 2014. The fair value of the loan portfolio was $11.8 million as of the acquisition date.</w:t>
      </w:r>
    </w:p>
    <w:p>
      <w:pPr>
        <w:spacing w:after="0" w:line="1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year ended September 30, 2014, Grupo Finmart completed several sales of unsecured long-term consumer loan portfolios. The transfer of the property and title is irrevocable and all legal rights to this portfolio were assigned and transferred under standard warranties to a trust, which was set up in order to facilitate the management of the collection rights to the primary beneficiary, the purchaser. Grupo Finmart is not the primary beneficiary of the trusts because Grupo Finmart does not individually have the power to direct the most significant activities of the trusts and carries no obligation to absorb losses or receive benefits that could potentially be significant to the trusts. Consequently, we do not consolidate these trusts.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Grupo Finmart sales of unsecured long-term consumer loan portfolios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Realized</w:t>
            </w:r>
          </w:p>
        </w:tc>
        <w:tc>
          <w:tcPr>
            <w:tcW w:w="280" w:type="dxa"/>
            <w:vAlign w:val="bottom"/>
          </w:tcPr>
          <w:p>
            <w:pPr>
              <w:spacing w:after="0"/>
              <w:rPr>
                <w:sz w:val="14"/>
                <w:szCs w:val="14"/>
                <w:color w:val="auto"/>
              </w:rPr>
            </w:pPr>
          </w:p>
        </w:tc>
        <w:tc>
          <w:tcPr>
            <w:tcW w:w="10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3"/>
              </w:rPr>
              <w:t>Accelerated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Book Value of</w:t>
            </w:r>
          </w:p>
        </w:tc>
        <w:tc>
          <w:tcPr>
            <w:tcW w:w="220" w:type="dxa"/>
            <w:vAlign w:val="bottom"/>
          </w:tcPr>
          <w:p>
            <w:pPr>
              <w:spacing w:after="0"/>
              <w:rPr>
                <w:sz w:val="12"/>
                <w:szCs w:val="12"/>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Book Value of</w:t>
            </w:r>
          </w:p>
        </w:tc>
        <w:tc>
          <w:tcPr>
            <w:tcW w:w="200" w:type="dxa"/>
            <w:vAlign w:val="bottom"/>
          </w:tcPr>
          <w:p>
            <w:pPr>
              <w:spacing w:after="0"/>
              <w:rPr>
                <w:sz w:val="12"/>
                <w:szCs w:val="12"/>
                <w:color w:val="auto"/>
              </w:rPr>
            </w:pPr>
          </w:p>
        </w:tc>
        <w:tc>
          <w:tcPr>
            <w:tcW w:w="9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Promissory</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Gain on</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Portfolio</w:t>
            </w:r>
          </w:p>
        </w:tc>
        <w:tc>
          <w:tcPr>
            <w:tcW w:w="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Sale</w:t>
            </w:r>
          </w:p>
        </w:tc>
        <w:tc>
          <w:tcPr>
            <w:tcW w:w="280" w:type="dxa"/>
            <w:vAlign w:val="bottom"/>
          </w:tcPr>
          <w:p>
            <w:pPr>
              <w:spacing w:after="0"/>
              <w:rPr>
                <w:sz w:val="12"/>
                <w:szCs w:val="12"/>
                <w:color w:val="auto"/>
              </w:rPr>
            </w:pPr>
          </w:p>
        </w:tc>
        <w:tc>
          <w:tcPr>
            <w:tcW w:w="10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Principal</w:t>
            </w: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9"/>
              </w:rPr>
              <w:t>Accrued Interest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Note Received</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80" w:type="dxa"/>
            <w:vAlign w:val="bottom"/>
            <w:gridSpan w:val="6"/>
          </w:tcPr>
          <w:p>
            <w:pPr>
              <w:ind w:left="680"/>
              <w:spacing w:after="0"/>
              <w:rPr>
                <w:sz w:val="20"/>
                <w:szCs w:val="20"/>
                <w:color w:val="auto"/>
              </w:rPr>
            </w:pPr>
            <w:r>
              <w:rPr>
                <w:rFonts w:ascii="Arial" w:cs="Arial" w:eastAsia="Arial" w:hAnsi="Arial"/>
                <w:sz w:val="14"/>
                <w:szCs w:val="14"/>
                <w:i w:val="1"/>
                <w:iCs w:val="1"/>
                <w:color w:val="auto"/>
              </w:rPr>
              <w:t>(in millions, except number of loans)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14,500 in payroll loans sold October 21, 2013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7,500 in payroll loans sold March 31, 2014</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7,100 in payroll loans sold June 30, 2014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8,500 in payroll loans sold June 30, 2014</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1040" w:type="dxa"/>
            <w:vAlign w:val="bottom"/>
          </w:tcPr>
          <w:p>
            <w:pPr>
              <w:ind w:left="6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16,135 in payroll loans sold September 30, 2014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All realized gains on sale are included under “Consumer loan sales and other” in our consolidated statements of operations in the period of sale.</w:t>
      </w:r>
    </w:p>
    <w:p>
      <w:pPr>
        <w:spacing w:after="0" w:line="109" w:lineRule="exact"/>
        <w:rPr>
          <w:rFonts w:ascii="Arial" w:cs="Arial" w:eastAsia="Arial" w:hAnsi="Arial"/>
          <w:sz w:val="14"/>
          <w:szCs w:val="14"/>
          <w:color w:val="auto"/>
        </w:rPr>
      </w:pPr>
    </w:p>
    <w:p>
      <w:pPr>
        <w:ind w:left="340" w:right="600" w:hanging="332"/>
        <w:spacing w:after="0" w:line="27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a result of these portfolio sales, we accelerated the amortization of the sales commissions related to the loans sold, which are included in “Operations” expense in our consolidated statements of operations in the period of sale.</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Grupo Finmart was retained by the trust as the primary servicer at agreed upon market rates through the duration of the portfolio, an expected 48 months.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Grupo Finmart was retained by the trust as the primary servicer at agreed upon market rates through the duration of the portfolio, an expected 60 months.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Grupo Finmart was retained by the trust as the primary servicer at agreed upon market rates through the duration of the portfolio, an expected 72 months.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was received in full on October 29, 2013.</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was received in full on April 21,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was received in full by July 9,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was received in full on July 7,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was received in full on October 6, 2014.</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7"/>
              </w:rPr>
              <w:t>Total Past</w:t>
            </w:r>
          </w:p>
        </w:tc>
        <w:tc>
          <w:tcPr>
            <w:tcW w:w="120" w:type="dxa"/>
            <w:vAlign w:val="bottom"/>
          </w:tcPr>
          <w:p>
            <w:pPr>
              <w:spacing w:after="0"/>
              <w:rPr>
                <w:sz w:val="9"/>
                <w:szCs w:val="9"/>
                <w:color w:val="auto"/>
              </w:rPr>
            </w:pPr>
          </w:p>
        </w:tc>
        <w:tc>
          <w:tcPr>
            <w:tcW w:w="88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rPr>
              <w:t>Fair Value</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w w:val="94"/>
              </w:rPr>
              <w:t>Allowance</w:t>
            </w:r>
          </w:p>
        </w:tc>
        <w:tc>
          <w:tcPr>
            <w:tcW w:w="140" w:type="dxa"/>
            <w:vAlign w:val="bottom"/>
          </w:tcPr>
          <w:p>
            <w:pPr>
              <w:spacing w:after="0"/>
              <w:rPr>
                <w:sz w:val="9"/>
                <w:szCs w:val="9"/>
                <w:color w:val="auto"/>
              </w:rPr>
            </w:pPr>
          </w:p>
        </w:tc>
        <w:tc>
          <w:tcPr>
            <w:tcW w:w="760" w:type="dxa"/>
            <w:vAlign w:val="bottom"/>
          </w:tcPr>
          <w:p>
            <w:pPr>
              <w:jc w:val="center"/>
              <w:ind w:right="63"/>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1-30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31-60</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&gt;90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Receivable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Receivable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1"/>
              </w:rPr>
              <w:t>Unsecured short-term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Secured short-term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8,173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2012</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2,811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3,140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1"/>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52,471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4,832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52,856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90,987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63,209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107,868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29,492</w:t>
            </w: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63,467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108,603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29,492</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 Payroll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37,120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7"/>
        </w:trPr>
        <w:tc>
          <w:tcPr>
            <w:tcW w:w="1720" w:type="dxa"/>
            <w:vAlign w:val="bottom"/>
          </w:tcPr>
          <w:p>
            <w:pPr>
              <w:ind w:left="180"/>
              <w:spacing w:after="0"/>
              <w:rPr>
                <w:sz w:val="20"/>
                <w:szCs w:val="20"/>
                <w:color w:val="auto"/>
              </w:rPr>
            </w:pPr>
            <w:r>
              <w:rPr>
                <w:rFonts w:ascii="Arial" w:cs="Arial" w:eastAsia="Arial" w:hAnsi="Arial"/>
                <w:sz w:val="16"/>
                <w:szCs w:val="16"/>
                <w:color w:val="auto"/>
              </w:rPr>
              <w:t>Out of Payroll</w:t>
            </w: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37,120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80" w:firstLine="8"/>
        <w:spacing w:after="0" w:line="257" w:lineRule="auto"/>
        <w:tabs>
          <w:tab w:leader="none" w:pos="108"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Unsecured short-term consumer loans amounts are included for periods after the December 20, 2012 acquisition of Go Cash, and prior to our discontinuance of Go Cash operations as of September 30, 2014. As a result of our discontinuance of Go Cash, we wrote our unsecured short-term consumer loans down to net realized value, or a nominal amount, as of September 30, 2014. Refer to Note 2 for further detail on discontinued operations.</w:t>
      </w:r>
    </w:p>
    <w:p>
      <w:pPr>
        <w:spacing w:after="0" w:line="131" w:lineRule="exact"/>
        <w:rPr>
          <w:sz w:val="20"/>
          <w:szCs w:val="20"/>
          <w:color w:val="auto"/>
        </w:rPr>
      </w:pPr>
    </w:p>
    <w:p>
      <w:pPr>
        <w:ind w:right="20" w:firstLine="8"/>
        <w:spacing w:after="0" w:line="273" w:lineRule="auto"/>
        <w:tabs>
          <w:tab w:leader="none" w:pos="1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Comparative information includes activity since the acquisition of Grupo Finmart on January 30, 2012 and the acquisition of Cash Genie on April 14, 2012, as applicable. At September 30, 2014, Go Cash operations were discontinued. Refer to Note 2 for further detail on discontinued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2: Other observable inputs other than quoted market prices.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our financial assets (liabilities) that are measured at fair value on a recurring basis as of September 30, 2014 and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2014</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Level 3</w:t>
            </w: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Forward contracts -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Convertible notes hedges</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 embedded derivative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Forward contracts - liabilities</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financial assets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800" w:type="dxa"/>
            <w:vAlign w:val="bottom"/>
            <w:tcBorders>
              <w:bottom w:val="single" w:sz="8" w:color="auto"/>
            </w:tcBorders>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2013</w:t>
            </w:r>
          </w:p>
        </w:tc>
        <w:tc>
          <w:tcPr>
            <w:tcW w:w="260" w:type="dxa"/>
            <w:vAlign w:val="bottom"/>
          </w:tcPr>
          <w:p>
            <w:pPr>
              <w:spacing w:after="0"/>
              <w:rPr>
                <w:sz w:val="22"/>
                <w:szCs w:val="22"/>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Level 3</w:t>
            </w: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Forward contracts</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(18,197)</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financial (liabilities)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(18,197)</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measure the value of our marketable equity securities under a Level 1 input. These assets are publicly traded equity securities for which market prices are readily available. Marketable equity securities are recorded on the consolidated balance sheets under other assets, net. In fiscal 2013 we recorded an impairment loss of $2.1 million. This amount is included in the impairment of investments line in our consolidated statement of operations. We sold all marketable equity securities during fiscal 2014.</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on the consolidated balance sheets under other assets, net and deferred gains and other long-term liabilities.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fair value of the Convertible Notes Hedges and the </w:t>
      </w:r>
      <w:r>
        <w:rPr>
          <w:rFonts w:ascii="Arial" w:cs="Arial" w:eastAsia="Arial" w:hAnsi="Arial"/>
          <w:sz w:val="18"/>
          <w:szCs w:val="18"/>
          <w:color w:val="252525"/>
        </w:rPr>
        <w:t>Convertible Notes Embedded Derivative</w:t>
      </w:r>
      <w:r>
        <w:rPr>
          <w:rFonts w:ascii="Arial" w:cs="Arial" w:eastAsia="Arial" w:hAnsi="Arial"/>
          <w:sz w:val="18"/>
          <w:szCs w:val="18"/>
          <w:color w:val="auto"/>
        </w:rPr>
        <w:t xml:space="preserve"> are determined using an option pricing model based on observable Level 1 and Level 2 inputs such as implied volatility, risk free interest rate and other factors. The Convertible Notes Hedges are recorded on the consolidated balance sheets under other assets, net. The </w:t>
      </w:r>
      <w:r>
        <w:rPr>
          <w:rFonts w:ascii="Arial" w:cs="Arial" w:eastAsia="Arial" w:hAnsi="Arial"/>
          <w:sz w:val="18"/>
          <w:szCs w:val="18"/>
          <w:color w:val="252525"/>
        </w:rPr>
        <w:t>Convertible Notes Embedded Derivative</w:t>
      </w:r>
      <w:r>
        <w:rPr>
          <w:rFonts w:ascii="Arial" w:cs="Arial" w:eastAsia="Arial" w:hAnsi="Arial"/>
          <w:sz w:val="18"/>
          <w:szCs w:val="18"/>
          <w:color w:val="auto"/>
        </w:rPr>
        <w:t xml:space="preserve"> is recorded on the consolidated balance sheets under long-term debt, less current maturities.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used an income approach to measure the fair value of the contingent consideration using a probability-weighted discounted cash flow approach. The significant inputs used for the valuation are not observable in the market, and thus this fair value measurement represents a Level 3 measurement within the fair value hierarchy. Contingent consideration is recorded on the consolidated balance sheets under “Other current liabilities” and “Deferred gains and other long-term liabilities.” Significant increases or decreases in the underlying assumptions used to value the contingent consideration could significantly increase or decrease the fair value estimates recorded in the consolidated balance sheets.</w:t>
      </w:r>
    </w:p>
    <w:p>
      <w:pPr>
        <w:spacing w:after="0" w:line="1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fiscal 2014, we reversed a previously recorded $4.8 million liability for contingent consideration related to the purchase of Go Cash as we discontinued our online lending businesses on September 30, 2014. Refer to Note 2 for further detail on discontinued operations. We further made a $12.0 million earn out payment related to the Grupo Finmart acquisition, and recorded $0.6 million of other individually immaterial adjustments, bringing the contingent consideration liability to $2.0 million at September 30, 2014.</w:t>
      </w:r>
    </w:p>
    <w:p>
      <w:pPr>
        <w:spacing w:after="0" w:line="18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fiscal 2013, we paid $12.8 million in contingent consideration to Grupo Finmart’s noncontrolling owners, recorded $7.1 million of additional contingent consideration attributable to our Go Cash and Fondo ACH acquisitions and due to Grupo Finmart’s acquisition of a loan portfolio, and recorded $0.5 million of other individually immaterial adjustments, bringing the contingent consideration liability to $18.2 million at September 30, 2013.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in or out of Level 1 or Level 2 fair value measurements in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Liabilities Not Measured at Fair Value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financial assets, temporary equity and liabilities as of September 30, 2014 and 2013 that are not measured at fair value in our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Carrying Value</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4"/>
                <w:szCs w:val="14"/>
                <w:b w:val="1"/>
                <w:bCs w:val="1"/>
                <w:color w:val="auto"/>
                <w:w w:val="94"/>
              </w:rPr>
              <w:t>Fair Value Measurement Using</w:t>
            </w:r>
          </w:p>
        </w:tc>
        <w:tc>
          <w:tcPr>
            <w:tcW w:w="820" w:type="dxa"/>
            <w:vAlign w:val="bottom"/>
            <w:tcBorders>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9"/>
              </w:rPr>
              <w:t>September 30, 2014</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56,329</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56,329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56,329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62,406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162,444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162,444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162,444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67,594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31,044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31,044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30,653</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4,257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40,442</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455,169</w:t>
            </w:r>
          </w:p>
        </w:tc>
        <w:tc>
          <w:tcPr>
            <w:tcW w:w="2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457,304</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122,992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334,312</w:t>
            </w:r>
          </w:p>
        </w:tc>
      </w:tr>
      <w:tr>
        <w:trPr>
          <w:trHeight w:val="311"/>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35,498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55,680</w:t>
            </w:r>
          </w:p>
        </w:tc>
      </w:tr>
      <w:tr>
        <w:trPr>
          <w:trHeight w:val="32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185,693</w:t>
            </w:r>
          </w:p>
        </w:tc>
        <w:tc>
          <w:tcPr>
            <w:tcW w:w="2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185,738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Cash convertible senior notes due 2019 embedded derivative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36,994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27,185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54,045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36,991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367,103</w:t>
            </w:r>
          </w:p>
        </w:tc>
        <w:tc>
          <w:tcPr>
            <w:tcW w:w="2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394,419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340,241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Carrying Value</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36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2013</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2013</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36,317</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36,317</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36,317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156,637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156,637</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30,362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30,362</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Restricted cash, non-current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consumer loans,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70,294</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89,693</w:t>
            </w: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400,053</w:t>
            </w:r>
          </w:p>
        </w:tc>
        <w:tc>
          <w:tcPr>
            <w:tcW w:w="2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429,748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41,785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387,963</w:t>
            </w:r>
          </w:p>
        </w:tc>
      </w:tr>
      <w:tr>
        <w:trPr>
          <w:trHeight w:val="311"/>
        </w:trPr>
        <w:tc>
          <w:tcPr>
            <w:tcW w:w="4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55,393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55,557</w:t>
            </w:r>
          </w:p>
        </w:tc>
      </w:tr>
      <w:tr>
        <w:trPr>
          <w:trHeight w:val="324"/>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Domestic line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140,900</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140,900</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140,900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foreign currency debt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Consumer loans facility due 2017</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31,951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Secured notes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246,375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247,519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199,806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251"/>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Portions of these amounts are included in “Current maturities of long-term debt” and “Long-term debt, less current maturities” in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restricted cash bear interest at market rates and have maturities of less than 90 days.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maximum U.S. pawn loan term ranges between 60 and 120 days, consisting of the primary term and grace period. The maximum Mexico pawn loan term is 40 days, consisting of the primary term and grace period.</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Consumer loan fees and interest receivable are carried in the consolidated balance sheet net of the allowance for uncollectible consumer loan fees and interest receivable, which is based on recent loan default experience adjusted for seasonal variations and collection percentages.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 short-term nature of these assets we estimate that their carrying value approximates fair value.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Consumer loans, including long-term unsecured consumer loans made by Grupo Finmart, are carried in the consolidated balance sheet net of the allowance for estimated loan losses, which is based on recent loan default experience adjusted for seasonal variations. Consumer loans, other than those made by Grupo Finmart, have relatively short maturity periods that are generally 12 months; therefore, we estimate that their carrying value approximates fair value. Consumer loans made by Grupo Finmart have an average term of approximately 31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recorded in the consolidated balance sheets.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recorded in the consolidated balance sheets.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measure the fair value of our financial liabilities using an income approach. The carrying value of the Convertible Notes as of September 30, 2014 is accreting to the $230.0 million redemption value using a discount rate of approximately 7%, which approximated the Company’s fair value incremental borrowing rate for a similar debt instrument (without cash conversion feature) as of the date of issuance and thus represents a Level 2 measurement. Fair value measurements for our domestic line of credit were calculated using discount rates based on an estimated senior secured spread plus term matched risk free rates as of the valuation dates. We utilize credit quality-related zero rate curves for Mexican Pesos built by a price vendor authorized by the Comisión Nacional Bancaria y de Valores to determine the fair value measurements of the remaining financial liabilities that are classified as Level 2. For fair value measurements that are classified as Level 1, we utilize quoted price and yield inputs from Bloomberg and a price vendor authorized by the Comisión Nacional Bancaria y de Valores.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discussion of the fair value of our investment in unconsolidated affiliates.</w:t>
      </w:r>
    </w:p>
    <w:p>
      <w:pPr>
        <w:spacing w:after="0" w:line="275" w:lineRule="exact"/>
        <w:rPr>
          <w:sz w:val="20"/>
          <w:szCs w:val="20"/>
          <w:color w:val="auto"/>
        </w:rPr>
      </w:pPr>
    </w:p>
    <w:p>
      <w:pPr>
        <w:ind w:right="5640"/>
        <w:spacing w:after="0" w:line="393" w:lineRule="auto"/>
        <w:rPr>
          <w:sz w:val="20"/>
          <w:szCs w:val="20"/>
          <w:color w:val="auto"/>
        </w:rPr>
      </w:pPr>
      <w:r>
        <w:rPr>
          <w:rFonts w:ascii="Arial" w:cs="Arial" w:eastAsia="Arial" w:hAnsi="Arial"/>
          <w:sz w:val="18"/>
          <w:szCs w:val="18"/>
          <w:b w:val="1"/>
          <w:bCs w:val="1"/>
          <w:color w:val="auto"/>
        </w:rPr>
        <w:t xml:space="preserve">NOTE 22: DERIVATIVE INSTRUMENTS AND HEDGING ACTIVITIES </w:t>
      </w:r>
      <w:r>
        <w:rPr>
          <w:rFonts w:ascii="Arial" w:cs="Arial" w:eastAsia="Arial" w:hAnsi="Arial"/>
          <w:sz w:val="18"/>
          <w:szCs w:val="18"/>
          <w:u w:val="single" w:color="auto"/>
          <w:color w:val="auto"/>
        </w:rPr>
        <w:t>Derivative instruments designated as cash flow hedging instruments</w:t>
      </w:r>
    </w:p>
    <w:p>
      <w:pPr>
        <w:spacing w:after="0" w:line="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third quarter ended June 30, 2013, Grupo Finmart completed a $30.0 million cross-border debt offering for which it has to pay interest on a semiannual basis at a fixed rate. Grupo Finmart uses derivative instruments (cross currency forwards) to manage its exposure related to changes in foreign currency exchange rate on this instrument through its maturity on November 16, 2015. Grupo Finmart does not enter into derivative instruments for any purpose other than cash flow hedging.</w:t>
      </w:r>
    </w:p>
    <w:p>
      <w:pPr>
        <w:spacing w:after="0" w:line="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spacing w:after="0" w:line="1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the testing. Based on the results of our testing, we have no ineffectiveness as of September 30, 2014 and 2013.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designated as cash flow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right="76"/>
              <w:spacing w:after="0"/>
              <w:rPr>
                <w:sz w:val="20"/>
                <w:szCs w:val="20"/>
                <w:color w:val="auto"/>
              </w:rPr>
            </w:pPr>
            <w:r>
              <w:rPr>
                <w:rFonts w:ascii="Arial" w:cs="Arial" w:eastAsia="Arial" w:hAnsi="Arial"/>
                <w:sz w:val="14"/>
                <w:szCs w:val="14"/>
                <w:b w:val="1"/>
                <w:bCs w:val="1"/>
                <w:color w:val="auto"/>
                <w:w w:val="95"/>
              </w:rPr>
              <w:t>Fair Value of Derivative Instruments</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2014</w:t>
            </w:r>
          </w:p>
        </w:tc>
        <w:tc>
          <w:tcPr>
            <w:tcW w:w="160" w:type="dxa"/>
            <w:vAlign w:val="bottom"/>
          </w:tcPr>
          <w:p>
            <w:pPr>
              <w:spacing w:after="0"/>
              <w:rPr>
                <w:sz w:val="22"/>
                <w:szCs w:val="22"/>
                <w:color w:val="auto"/>
              </w:rPr>
            </w:pPr>
          </w:p>
        </w:tc>
        <w:tc>
          <w:tcPr>
            <w:tcW w:w="18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September 30, 2013</w:t>
            </w: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3"/>
          </w:tcPr>
          <w:p>
            <w:pPr>
              <w:jc w:val="center"/>
              <w:ind w:left="99"/>
              <w:spacing w:after="0"/>
              <w:rPr>
                <w:sz w:val="20"/>
                <w:szCs w:val="20"/>
                <w:color w:val="auto"/>
              </w:rPr>
            </w:pPr>
            <w:r>
              <w:rPr>
                <w:rFonts w:ascii="Arial" w:cs="Arial" w:eastAsia="Arial" w:hAnsi="Arial"/>
                <w:sz w:val="14"/>
                <w:szCs w:val="14"/>
                <w:i w:val="1"/>
                <w:iCs w:val="1"/>
                <w:color w:val="auto"/>
                <w:w w:val="94"/>
              </w:rPr>
              <w:t>(in thousands)</w:t>
            </w:r>
          </w:p>
        </w:tc>
        <w:tc>
          <w:tcPr>
            <w:tcW w:w="4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2,420</w:t>
            </w:r>
          </w:p>
        </w:tc>
        <w:tc>
          <w:tcPr>
            <w:tcW w:w="6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1,813</w:t>
            </w:r>
          </w:p>
        </w:tc>
      </w:tr>
      <w:tr>
        <w:trPr>
          <w:trHeight w:val="36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6"/>
          </w:tcPr>
          <w:p>
            <w:pPr>
              <w:jc w:val="center"/>
              <w:ind w:right="196"/>
              <w:spacing w:after="0"/>
              <w:rPr>
                <w:sz w:val="20"/>
                <w:szCs w:val="20"/>
                <w:color w:val="auto"/>
              </w:rPr>
            </w:pPr>
            <w:r>
              <w:rPr>
                <w:rFonts w:ascii="Arial" w:cs="Arial" w:eastAsia="Arial" w:hAnsi="Arial"/>
                <w:sz w:val="14"/>
                <w:szCs w:val="14"/>
                <w:b w:val="1"/>
                <w:bCs w:val="1"/>
                <w:color w:val="auto"/>
                <w:w w:val="93"/>
              </w:rPr>
              <w:t>Amount of (Loss) Gain Recognized in Other</w:t>
            </w: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Comprehensive Income on Derivatives (Effective Portion)</w:t>
            </w:r>
          </w:p>
        </w:tc>
      </w:tr>
      <w:tr>
        <w:trPr>
          <w:trHeight w:val="250"/>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center"/>
              <w:ind w:left="385"/>
              <w:spacing w:after="0"/>
              <w:rPr>
                <w:sz w:val="20"/>
                <w:szCs w:val="20"/>
                <w:color w:val="auto"/>
              </w:rPr>
            </w:pPr>
            <w:r>
              <w:rPr>
                <w:rFonts w:ascii="Arial" w:cs="Arial" w:eastAsia="Arial" w:hAnsi="Arial"/>
                <w:sz w:val="14"/>
                <w:szCs w:val="14"/>
                <w:b w:val="1"/>
                <w:bCs w:val="1"/>
                <w:color w:val="auto"/>
                <w:w w:val="92"/>
              </w:rPr>
              <w:t>Fiscal Year Ended September 30,</w:t>
            </w:r>
          </w:p>
        </w:tc>
        <w:tc>
          <w:tcPr>
            <w:tcW w:w="740" w:type="dxa"/>
            <w:vAlign w:val="bottom"/>
            <w:tcBorders>
              <w:bottom w:val="single" w:sz="8" w:color="auto"/>
            </w:tcBorders>
          </w:tcPr>
          <w:p>
            <w:pPr>
              <w:spacing w:after="0"/>
              <w:rPr>
                <w:sz w:val="21"/>
                <w:szCs w:val="21"/>
                <w:color w:val="auto"/>
              </w:rPr>
            </w:pPr>
          </w:p>
        </w:tc>
      </w:tr>
      <w:tr>
        <w:trPr>
          <w:trHeight w:val="264"/>
        </w:trPr>
        <w:tc>
          <w:tcPr>
            <w:tcW w:w="3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center"/>
              <w:ind w:right="316"/>
              <w:spacing w:after="0"/>
              <w:rPr>
                <w:sz w:val="20"/>
                <w:szCs w:val="20"/>
                <w:color w:val="auto"/>
              </w:rPr>
            </w:pPr>
            <w:r>
              <w:rPr>
                <w:rFonts w:ascii="Arial" w:cs="Arial" w:eastAsia="Arial" w:hAnsi="Arial"/>
                <w:sz w:val="14"/>
                <w:szCs w:val="14"/>
                <w:b w:val="1"/>
                <w:bCs w:val="1"/>
                <w:color w:val="auto"/>
                <w:w w:val="96"/>
              </w:rPr>
              <w:t>2013</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4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(453)</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2,388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45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jc w:val="right"/>
              <w:ind w:right="1736"/>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left="7820"/>
        <w:spacing w:after="0"/>
        <w:rPr>
          <w:sz w:val="20"/>
          <w:szCs w:val="20"/>
          <w:color w:val="auto"/>
        </w:rPr>
      </w:pPr>
      <w:r>
        <w:rPr>
          <w:rFonts w:ascii="Arial" w:cs="Arial" w:eastAsia="Arial" w:hAnsi="Arial"/>
          <w:sz w:val="13"/>
          <w:szCs w:val="13"/>
          <w:b w:val="1"/>
          <w:bCs w:val="1"/>
          <w:color w:val="auto"/>
        </w:rPr>
        <w:t>Amount of (Loss) Gain on Derivatives Reclassified into</w:t>
      </w:r>
    </w:p>
    <w:p>
      <w:pPr>
        <w:spacing w:after="0" w:line="14" w:lineRule="exact"/>
        <w:rPr>
          <w:sz w:val="20"/>
          <w:szCs w:val="20"/>
          <w:color w:val="auto"/>
        </w:rPr>
      </w:pPr>
    </w:p>
    <w:p>
      <w:pPr>
        <w:jc w:val="center"/>
        <w:ind w:left="7820"/>
        <w:spacing w:after="0"/>
        <w:rPr>
          <w:sz w:val="20"/>
          <w:szCs w:val="20"/>
          <w:color w:val="auto"/>
        </w:rPr>
      </w:pPr>
      <w:r>
        <w:rPr>
          <w:rFonts w:ascii="Arial" w:cs="Arial" w:eastAsia="Arial" w:hAnsi="Arial"/>
          <w:sz w:val="13"/>
          <w:szCs w:val="13"/>
          <w:b w:val="1"/>
          <w:bCs w:val="1"/>
          <w:color w:val="auto"/>
        </w:rPr>
        <w:t>Income from Accumulated Other Comprehensive Income</w:t>
      </w:r>
    </w:p>
    <w:p>
      <w:pPr>
        <w:jc w:val="center"/>
        <w:ind w:left="7820"/>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13335</wp:posOffset>
            </wp:positionV>
            <wp:extent cx="2298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73"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23495</wp:posOffset>
            </wp:positionV>
            <wp:extent cx="2298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340" w:type="dxa"/>
            <w:vAlign w:val="bottom"/>
            <w:gridSpan w:val="2"/>
          </w:tcPr>
          <w:p>
            <w:pPr>
              <w:ind w:left="1580"/>
              <w:spacing w:after="0"/>
              <w:rPr>
                <w:sz w:val="20"/>
                <w:szCs w:val="20"/>
                <w:color w:val="auto"/>
              </w:rPr>
            </w:pPr>
            <w:r>
              <w:rPr>
                <w:rFonts w:ascii="Arial" w:cs="Arial" w:eastAsia="Arial" w:hAnsi="Arial"/>
                <w:sz w:val="14"/>
                <w:szCs w:val="14"/>
                <w:b w:val="1"/>
                <w:bCs w:val="1"/>
                <w:color w:val="auto"/>
              </w:rPr>
              <w:t>Location of Gain</w:t>
            </w:r>
          </w:p>
        </w:tc>
        <w:tc>
          <w:tcPr>
            <w:tcW w:w="280" w:type="dxa"/>
            <w:vAlign w:val="bottom"/>
          </w:tcPr>
          <w:p>
            <w:pPr>
              <w:spacing w:after="0"/>
              <w:rPr>
                <w:sz w:val="16"/>
                <w:szCs w:val="16"/>
                <w:color w:val="auto"/>
              </w:rPr>
            </w:pPr>
          </w:p>
        </w:tc>
        <w:tc>
          <w:tcPr>
            <w:tcW w:w="900" w:type="dxa"/>
            <w:vAlign w:val="bottom"/>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2012</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i w:val="1"/>
                <w:iCs w:val="1"/>
                <w:color w:val="auto"/>
                <w:w w:val="92"/>
              </w:rPr>
              <w:t>(in thousands)</w:t>
            </w:r>
          </w:p>
        </w:tc>
        <w:tc>
          <w:tcPr>
            <w:tcW w:w="3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4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(income), net / Other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2,536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not designated as hedging instruments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 described in Note 9, in June 2014 we </w:t>
      </w:r>
      <w:r>
        <w:rPr>
          <w:rFonts w:ascii="Arial" w:cs="Arial" w:eastAsia="Arial" w:hAnsi="Arial"/>
          <w:sz w:val="16"/>
          <w:szCs w:val="16"/>
          <w:color w:val="252525"/>
        </w:rPr>
        <w:t>issued and settled $200.0 million aggregate principal amount of</w:t>
      </w:r>
      <w:r>
        <w:rPr>
          <w:rFonts w:ascii="Arial" w:cs="Arial" w:eastAsia="Arial" w:hAnsi="Arial"/>
          <w:sz w:val="16"/>
          <w:szCs w:val="16"/>
          <w:color w:val="auto"/>
        </w:rPr>
        <w:t xml:space="preserve"> Convertible Notes. We granted the initial purchasers the option to purchase up to an additional $30.0 million aggregate principal amount of Convertible Notes. On June 27, 2014, such option was exercised in full. On July 2, 2014, the purchase of the additional $30.0 million of Convertible Notes was settled. The conversion feature of the Convertible Notes can only be settled in cash and is required to be bifurcated from the Convertible Notes and treated as a separate derivative instrument. In order to offset the cash flow risk associated with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we purchased Convertible Notes Hedges, which are accounted for as derivative instruments. The Convertible Notes Embedded Derivative and the Convertible Notes Hedges are adjusted to fair value each reporting period and unrealized gains and losses are reflected in the consolidated income statements. We expect that the realized gain or loss from the Convertible Notes Hedges will substantially offset the realized loss or gain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upon maturity of the Convertible Notes. See Note 21 for additional information regarding the fair values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and the Convertible Notes Hedges.</w:t>
      </w:r>
    </w:p>
    <w:p>
      <w:pPr>
        <w:spacing w:after="0" w:line="11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During the fiscal year ended September 30, 2014, Grupo Finmart entered into cross currency forwards as part of the sale of certain long-term consumer loans on March 31, June 30, and September 30, 2014. See Note 20 for additional information regarding the loan sales. As part of that loan sale, Grupo Finmart also entered into agreements that transferred the rights and obligations of the cross currency forward to the trust and the agreements collectively met the definition of a foreign currency derivative which is accounted for separately. The cross currency forward and the derivative with the trust are adjusted to fair value each reporting period through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50"/>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21"/>
                <w:szCs w:val="2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gridSpan w:val="2"/>
          </w:tcPr>
          <w:p>
            <w:pPr>
              <w:ind w:left="30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22"/>
                <w:szCs w:val="22"/>
                <w:color w:val="auto"/>
              </w:rPr>
            </w:pPr>
          </w:p>
        </w:tc>
        <w:tc>
          <w:tcPr>
            <w:tcW w:w="1020" w:type="dxa"/>
            <w:vAlign w:val="bottom"/>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2012</w:t>
            </w: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 hedges</w:t>
            </w:r>
          </w:p>
        </w:tc>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Convertible notes embedded derivative</w:t>
            </w:r>
          </w:p>
        </w:tc>
        <w:tc>
          <w:tcPr>
            <w:tcW w:w="378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Net balance sheet asset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Foreign currency forwards</w:t>
            </w:r>
          </w:p>
        </w:tc>
        <w:tc>
          <w:tcPr>
            <w:tcW w:w="3780" w:type="dxa"/>
            <w:vAlign w:val="bottom"/>
            <w:gridSpan w:val="4"/>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Net balance sheet asset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4"/>
              </w:rPr>
              <w:t>Amount of Unrealized Gain on Derivatives</w:t>
            </w:r>
          </w:p>
        </w:tc>
      </w:tr>
      <w:tr>
        <w:trPr>
          <w:trHeight w:val="250"/>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21"/>
                <w:szCs w:val="2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gridSpan w:val="2"/>
          </w:tcPr>
          <w:p>
            <w:pPr>
              <w:ind w:left="900"/>
              <w:spacing w:after="0"/>
              <w:rPr>
                <w:sz w:val="20"/>
                <w:szCs w:val="20"/>
                <w:color w:val="auto"/>
              </w:rPr>
            </w:pPr>
            <w:r>
              <w:rPr>
                <w:rFonts w:ascii="Arial" w:cs="Arial" w:eastAsia="Arial" w:hAnsi="Arial"/>
                <w:sz w:val="14"/>
                <w:szCs w:val="14"/>
                <w:b w:val="1"/>
                <w:bCs w:val="1"/>
                <w:color w:val="auto"/>
              </w:rPr>
              <w:t>Location of Gain</w:t>
            </w:r>
          </w:p>
        </w:tc>
        <w:tc>
          <w:tcPr>
            <w:tcW w:w="240" w:type="dxa"/>
            <w:vAlign w:val="bottom"/>
          </w:tcPr>
          <w:p>
            <w:pPr>
              <w:spacing w:after="0"/>
              <w:rPr>
                <w:sz w:val="22"/>
                <w:szCs w:val="22"/>
                <w:color w:val="auto"/>
              </w:rPr>
            </w:pPr>
          </w:p>
        </w:tc>
        <w:tc>
          <w:tcPr>
            <w:tcW w:w="1020" w:type="dxa"/>
            <w:vAlign w:val="bottom"/>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2012</w:t>
            </w: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45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3"/>
          </w:tcPr>
          <w:p>
            <w:pPr>
              <w:jc w:val="right"/>
              <w:ind w:right="1397"/>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5180"/>
        <w:spacing w:after="0" w:line="346" w:lineRule="auto"/>
        <w:rPr>
          <w:sz w:val="20"/>
          <w:szCs w:val="20"/>
          <w:color w:val="auto"/>
        </w:rPr>
      </w:pPr>
      <w:r>
        <w:rPr>
          <w:rFonts w:ascii="Arial" w:cs="Arial" w:eastAsia="Arial" w:hAnsi="Arial"/>
          <w:sz w:val="18"/>
          <w:szCs w:val="18"/>
          <w:b w:val="1"/>
          <w:bCs w:val="1"/>
          <w:color w:val="auto"/>
        </w:rPr>
        <w:t xml:space="preserve">NOTE 23: SUPPLEMENTAL CONSOLIDATED FINANCIAL INFORMATION </w:t>
      </w:r>
      <w:r>
        <w:rPr>
          <w:rFonts w:ascii="Arial" w:cs="Arial" w:eastAsia="Arial" w:hAnsi="Arial"/>
          <w:sz w:val="18"/>
          <w:szCs w:val="18"/>
          <w:u w:val="single" w:color="auto"/>
          <w:color w:val="auto"/>
        </w:rPr>
        <w:t>Supplemental Consolidated Balance Sheets Information</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and interest receivable, inventory and prepaid expenses and other assets: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Gross pawn service charges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41,351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40,336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uncollectible pawn service charges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(9,974)</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Pawn service charges receivable,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31,044</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30,362</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and interest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Gross consumer loan fees and interest receivable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39,333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38,059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Consumer loan fees and interest receivable,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30,653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36,292</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gross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154,218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149,446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reserves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Inventory,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139,419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145,200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Receivable from sale of long-term consumer loan portfolio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43,780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prepaid expenses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34,217</w:t>
            </w:r>
          </w:p>
        </w:tc>
      </w:tr>
      <w:tr>
        <w:trPr>
          <w:trHeight w:val="250"/>
        </w:trPr>
        <w:tc>
          <w:tcPr>
            <w:tcW w:w="858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76,959</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8890</wp:posOffset>
            </wp:positionV>
            <wp:extent cx="18097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 For additional information, see Note 20.</w:t>
      </w:r>
    </w:p>
    <w:p>
      <w:pPr>
        <w:spacing w:after="0" w:line="113"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During the first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In the first quarter of December 31, 2013, we realized a gain of $6.3 million, which is included under “(Gain) loss on sale or disposal of assets” in our consolidated statements of operations. In addition, we recorded a deferred gain of $0.7 million, of which $0.6 million was realized in the second quarter ended March 31, 2014 when we settled the promissory note for $0.9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Consolidated Statements of Operations Information</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table below provides advertising expense for periods presented. Advertising costs are included in “Administrative” expense in our consolidated statements of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center"/>
              <w:ind w:right="122"/>
              <w:spacing w:after="0"/>
              <w:rPr>
                <w:sz w:val="20"/>
                <w:szCs w:val="20"/>
                <w:color w:val="auto"/>
              </w:rPr>
            </w:pPr>
            <w:r>
              <w:rPr>
                <w:rFonts w:ascii="Arial" w:cs="Arial" w:eastAsia="Arial" w:hAnsi="Arial"/>
                <w:sz w:val="14"/>
                <w:szCs w:val="14"/>
                <w:i w:val="1"/>
                <w:iCs w:val="1"/>
                <w:color w:val="auto"/>
                <w:w w:val="92"/>
              </w:rPr>
              <w:t>(in thousands)</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expense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8"/>
              </w:rPr>
              <w:t>7,435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7,220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5,159</w:t>
            </w:r>
          </w:p>
        </w:tc>
      </w:tr>
      <w:tr>
        <w:trPr>
          <w:trHeight w:val="27"/>
        </w:trPr>
        <w:tc>
          <w:tcPr>
            <w:tcW w:w="70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Supplemental Information</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carrying value of cash collateral and other assets, is included in “Prepaid expenses and other assets” in our consolidated balance sheets, expected LOC losses and accounts payable are included in “Accounts payable and other accrued expenses” in our consolidated balance sheets, maximum exposure for losses on letters of credit if all brokered loans defaulted and none was collected including the portion of that exposure secured by titles to customers’ automobiles, not included in our consolidated balance sheets, is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49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center"/>
              <w:ind w:left="518"/>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collateral and other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9,135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10,292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LOC losses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4,708</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1,010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Maximum exposure for LOC losses (1) (2)</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29,502</w:t>
            </w: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33,380</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amounts are not recorded in our consolidated balance sheets.</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$7.8 million and $9.9 million of this exposure as of September 30, 2014 and 2013, respectively, was secured by titles to customers’ automobiles.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Valuation and Qualifying Accounts: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071"/>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2"/>
          </w:tcPr>
          <w:p>
            <w:pPr>
              <w:jc w:val="right"/>
              <w:ind w:right="91"/>
              <w:spacing w:after="0" w:line="139" w:lineRule="exact"/>
              <w:rPr>
                <w:sz w:val="20"/>
                <w:szCs w:val="20"/>
                <w:color w:val="auto"/>
              </w:rPr>
            </w:pPr>
            <w:r>
              <w:rPr>
                <w:rFonts w:ascii="Arial" w:cs="Arial" w:eastAsia="Arial" w:hAnsi="Arial"/>
                <w:sz w:val="14"/>
                <w:szCs w:val="14"/>
                <w:b w:val="1"/>
                <w:bCs w:val="1"/>
                <w:color w:val="auto"/>
              </w:rPr>
              <w:t>Balance at Beginning</w:t>
            </w:r>
          </w:p>
        </w:tc>
        <w:tc>
          <w:tcPr>
            <w:tcW w:w="140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4"/>
              </w:rPr>
              <w:t>Charged to Expense</w:t>
            </w:r>
          </w:p>
        </w:tc>
        <w:tc>
          <w:tcPr>
            <w:tcW w:w="154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rPr>
              <w:t>Charged to Revenue</w:t>
            </w:r>
          </w:p>
        </w:tc>
        <w:tc>
          <w:tcPr>
            <w:tcW w:w="340" w:type="dxa"/>
            <w:vAlign w:val="bottom"/>
          </w:tcPr>
          <w:p>
            <w:pPr>
              <w:spacing w:after="0"/>
              <w:rPr>
                <w:sz w:val="12"/>
                <w:szCs w:val="12"/>
                <w:color w:val="auto"/>
              </w:rPr>
            </w:pPr>
          </w:p>
        </w:tc>
        <w:tc>
          <w:tcPr>
            <w:tcW w:w="11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w w:val="99"/>
              </w:rPr>
              <w:t>Deductions</w:t>
            </w:r>
          </w:p>
        </w:tc>
        <w:tc>
          <w:tcPr>
            <w:tcW w:w="2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of Period</w:t>
            </w:r>
          </w:p>
        </w:tc>
        <w:tc>
          <w:tcPr>
            <w:tcW w:w="140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2014</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4,246</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10,553</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14,799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5,574</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38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9,481</w:t>
            </w:r>
          </w:p>
        </w:tc>
        <w:tc>
          <w:tcPr>
            <w:tcW w:w="5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3,907</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Allowance for uncollectible pawn service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2014</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9,974</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333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11,427</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38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10,720</w:t>
            </w:r>
          </w:p>
        </w:tc>
        <w:tc>
          <w:tcPr>
            <w:tcW w:w="5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707</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Allowance for uncollectible consumer loan fees and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2014</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1,767</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6,913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4,430</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38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571</w:t>
            </w:r>
          </w:p>
        </w:tc>
        <w:tc>
          <w:tcPr>
            <w:tcW w:w="5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3,859</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2014</w:t>
            </w:r>
          </w:p>
        </w:tc>
        <w:tc>
          <w:tcPr>
            <w:tcW w:w="3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659</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 Ended September 30, 2013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2,242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Year Ended September 30, 2012</w:t>
            </w:r>
          </w:p>
        </w:tc>
        <w:tc>
          <w:tcPr>
            <w:tcW w:w="38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1,425</w:t>
            </w:r>
          </w:p>
        </w:tc>
        <w:tc>
          <w:tcPr>
            <w:tcW w:w="5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122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early fiscal 2013, the Audit Committee of the Board of Directors of the Company completed a competitive process to review the appointment of the Company's independent registered public accounting firm for the fiscal year ending September 30, 2013. As a result of that process, on December 3, 2012 the Audit Committee selected Deloitte &amp; Touche LLP as the Company's independent registered public accounting firm for the fiscal year ended September 30,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BDO USA, LLP is a registered public accounting firm and was our independent auditor from 2004 through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disagreements with its current or former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September 30, 2014. Based on that evaluation, our Chief Executive Officer and Chief Financial Officer concluded that our disclosure controls and procedures were effective as of September 30,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Securities Exchange Act) is a process designed to provide reasonable assurance regarding the reliability of financial reporting and the preparation of financial statements for external reporting purposes in accordance with generally accepted accounting principles in the United States of America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Chief Executive Officer and Chief Financial Officer, our management has assessed the effectiveness of our internal control over financial reporting as of September 30, 2014. To make this assessment, management utilized the criteria for effective internal control over financial reporting described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Based on this assessment, management has concluded that our internal control over financial reporting was effective as of September 30, 2014.</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internal control over financial reporting as of September 30, 2014 has been audited by Deloitte &amp; Touche, LLP, the independent registered public accounting firm that audited our financial statements included in this report, and their report follows immediately.</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125" w:right="2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EZCORP, Inc. and subsidiaries (the "Company") as of September 30, 2014, based on the criteria established in </w:t>
      </w:r>
      <w:r>
        <w:rPr>
          <w:rFonts w:ascii="Arial" w:cs="Arial" w:eastAsia="Arial" w:hAnsi="Arial"/>
          <w:sz w:val="17"/>
          <w:szCs w:val="17"/>
          <w:i w:val="1"/>
          <w:iCs w:val="1"/>
          <w:color w:val="auto"/>
        </w:rPr>
        <w:t>Internal Control - Integrated Framework (1992)</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September 30, 2014,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September 30, 2014 of the Company and our report dated November 26, 2014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125"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fiscal 2014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125"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69" w:lineRule="exact"/>
        <w:rPr>
          <w:sz w:val="20"/>
          <w:szCs w:val="20"/>
          <w:color w:val="auto"/>
        </w:rPr>
      </w:pPr>
    </w:p>
    <w:p>
      <w:pPr>
        <w:ind w:right="4480"/>
        <w:spacing w:after="0" w:line="440" w:lineRule="auto"/>
        <w:rPr>
          <w:sz w:val="20"/>
          <w:szCs w:val="20"/>
          <w:color w:val="auto"/>
        </w:rPr>
      </w:pPr>
      <w:r>
        <w:rPr>
          <w:rFonts w:ascii="Arial" w:cs="Arial" w:eastAsia="Arial" w:hAnsi="Arial"/>
          <w:sz w:val="18"/>
          <w:szCs w:val="18"/>
          <w:b w:val="1"/>
          <w:bCs w:val="1"/>
          <w:color w:val="auto"/>
        </w:rPr>
        <w:t>ITEM 10. DIRECTORS, EXECUTIVE OFFICERS AND CORPORATE GOVERNANCE Board of Directors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are the names of the persons who, as of November 1, 2014,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Committees</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 (Chairman)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 E. Kuchenrither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(Chair)</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 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(Chair), Compensation</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bl>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460" w:right="40" w:hanging="330"/>
        <w:spacing w:after="0" w:line="270"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Stuart I. Grimshaw </w:t>
      </w:r>
      <w:r>
        <w:rPr>
          <w:rFonts w:ascii="Arial" w:cs="Arial" w:eastAsia="Arial" w:hAnsi="Arial"/>
          <w:sz w:val="17"/>
          <w:szCs w:val="17"/>
          <w:color w:val="auto"/>
        </w:rPr>
        <w:t>— Mr. Grimshaw became Executive Chairman and a member of the Board of Directors on November 1, 2014.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EZCORP, he was Managing Director and Chief Executive Officer of Bank of Queensland Limited (ASX: BOQ), a consumer banking and financial services institution with branches in every Australian state and territory. During his 30-year career in financial services, Mr. Grimshaw held a wide variety of other roles at various banking and finance companies. From 2009 to 2011, he was Chief Executive Officer of Caledonia Investments Pty Ltd. Prior to that, Mr. Grimshaw spent eight years at Commonwealth Bank of Australia, where he served as Group Executive, Premium Business Services (2006 to 2009), Group Executive, Investment and Insurance Services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 1991). Mr. Grimshaw represented New Zealand in Field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460" w:right="160"/>
        <w:spacing w:after="0" w:line="336" w:lineRule="auto"/>
        <w:rPr>
          <w:sz w:val="20"/>
          <w:szCs w:val="20"/>
          <w:color w:val="auto"/>
        </w:rPr>
      </w:pPr>
      <w:r>
        <w:rPr>
          <w:rFonts w:ascii="Arial" w:cs="Arial" w:eastAsia="Arial" w:hAnsi="Arial"/>
          <w:sz w:val="17"/>
          <w:szCs w:val="17"/>
          <w:color w:val="auto"/>
        </w:rPr>
        <w:t>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as one of EZCORP’s nominee directors on the board of Cash Converters International Limited.</w:t>
      </w:r>
    </w:p>
    <w:p>
      <w:pPr>
        <w:spacing w:after="0" w:line="84"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hanging="330"/>
        <w:spacing w:after="0" w:line="272" w:lineRule="auto"/>
        <w:tabs>
          <w:tab w:leader="none" w:pos="500" w:val="left"/>
        </w:tabs>
        <w:numPr>
          <w:ilvl w:val="1"/>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Mark Kuchenrither </w:t>
      </w:r>
      <w:r>
        <w:rPr>
          <w:rFonts w:ascii="Arial" w:cs="Arial" w:eastAsia="Arial" w:hAnsi="Arial"/>
          <w:sz w:val="17"/>
          <w:szCs w:val="17"/>
          <w:color w:val="auto"/>
        </w:rPr>
        <w:t>— Mr. Kuchenrither serves as President and Chief Executive Officer of EZCORP, having been named to that position in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2014. Mr. Kuchenrither joined us as Senior Vice President, Strategic Development in March 2010 and was promoted to the position of President, Change Capital in October 2011 and to Executive Vice President in May 2012. Mr. Kuchenrither was also named Chief Financial Officer in October 2012 and continues to hold that position.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w:t>
      </w:r>
    </w:p>
    <w:p>
      <w:pPr>
        <w:spacing w:after="0" w:line="123" w:lineRule="exact"/>
        <w:rPr>
          <w:rFonts w:ascii="Arial" w:cs="Arial" w:eastAsia="Arial" w:hAnsi="Arial"/>
          <w:sz w:val="17"/>
          <w:szCs w:val="17"/>
          <w:i w:val="1"/>
          <w:iCs w:val="1"/>
          <w:color w:val="auto"/>
        </w:rPr>
      </w:pPr>
    </w:p>
    <w:p>
      <w:pPr>
        <w:ind w:left="500" w:right="100"/>
        <w:spacing w:after="0" w:line="264"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w:t>
      </w:r>
    </w:p>
    <w:p>
      <w:pPr>
        <w:spacing w:after="0" w:line="127" w:lineRule="exact"/>
        <w:rPr>
          <w:rFonts w:ascii="Arial" w:cs="Arial" w:eastAsia="Arial" w:hAnsi="Arial"/>
          <w:sz w:val="17"/>
          <w:szCs w:val="17"/>
          <w:i w:val="1"/>
          <w:iCs w:val="1"/>
          <w:color w:val="auto"/>
        </w:rPr>
      </w:pPr>
    </w:p>
    <w:p>
      <w:pPr>
        <w:ind w:left="460" w:hanging="330"/>
        <w:spacing w:after="0" w:line="28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Lachlan P. Given </w:t>
      </w:r>
      <w:r>
        <w:rPr>
          <w:rFonts w:ascii="Arial" w:cs="Arial" w:eastAsia="Arial" w:hAnsi="Arial"/>
          <w:sz w:val="16"/>
          <w:szCs w:val="16"/>
          <w:color w:val="auto"/>
        </w:rPr>
        <w:t>— Mr. Given was appointed to the Board of Directors as Non-Executive Chairman in July 2014 and became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August 2014. Mr. Given serves as Chair of the Compensation Committee. Mr. Given is the sole beneficial owner of LPG Limited (HK), a business and financial advisory firm, and prior to assuming the role of Executive Vice Chairman of EZCORP, provided international financial and advisory serves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w:t>
      </w:r>
    </w:p>
    <w:p>
      <w:pPr>
        <w:spacing w:after="0" w:line="4"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134-year old pre-eminent U.S. agricultural media company; Senetas Corporation Limited (ASX: SEN), the world's leading developer and manufacturer of certified, defense-grade encryption solutions; CANSTAR Pty Ltd, the leading Australian financial services ratings and research firm;</w:t>
      </w:r>
    </w:p>
    <w:p>
      <w:pPr>
        <w:spacing w:after="0" w:line="1" w:lineRule="exact"/>
        <w:rPr>
          <w:rFonts w:ascii="Arial" w:cs="Arial" w:eastAsia="Arial" w:hAnsi="Arial"/>
          <w:sz w:val="16"/>
          <w:szCs w:val="16"/>
          <w:color w:val="auto"/>
        </w:rPr>
      </w:pPr>
    </w:p>
    <w:p>
      <w:pPr>
        <w:ind w:left="460" w:right="60"/>
        <w:spacing w:after="0" w:line="254" w:lineRule="auto"/>
        <w:rPr>
          <w:rFonts w:ascii="Arial" w:cs="Arial" w:eastAsia="Arial" w:hAnsi="Arial"/>
          <w:sz w:val="16"/>
          <w:szCs w:val="16"/>
          <w:color w:val="auto"/>
        </w:rPr>
      </w:pPr>
      <w:r>
        <w:rPr>
          <w:rFonts w:ascii="Arial" w:cs="Arial" w:eastAsia="Arial" w:hAnsi="Arial"/>
          <w:sz w:val="18"/>
          <w:szCs w:val="18"/>
          <w:color w:val="auto"/>
        </w:rPr>
        <w:t>and RateCity.com Pty Ltd, one of Australia's largest Internet based financial services comparison organizations.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as one of EZCORP’s nominee directors on the board of Cash Converters International Limited.</w:t>
      </w:r>
    </w:p>
    <w:p>
      <w:pPr>
        <w:spacing w:after="0" w:line="136"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Director qualifications: broad business experience; financial experience and expertise; international experience and global perspective; industry knowledge; experience in developing growth strategies; understanding of our unique business environment.</w:t>
      </w:r>
    </w:p>
    <w:p>
      <w:pPr>
        <w:spacing w:after="0" w:line="116" w:lineRule="exact"/>
        <w:rPr>
          <w:sz w:val="20"/>
          <w:szCs w:val="20"/>
          <w:color w:val="auto"/>
        </w:rPr>
      </w:pPr>
    </w:p>
    <w:p>
      <w:pPr>
        <w:ind w:left="500" w:right="80" w:hanging="330"/>
        <w:spacing w:after="0" w:line="254" w:lineRule="auto"/>
        <w:tabs>
          <w:tab w:leader="none" w:pos="5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Santiago Creel Miranda </w:t>
      </w:r>
      <w:r>
        <w:rPr>
          <w:rFonts w:ascii="Arial" w:cs="Arial" w:eastAsia="Arial" w:hAnsi="Arial"/>
          <w:sz w:val="18"/>
          <w:szCs w:val="18"/>
          <w:color w:val="auto"/>
        </w:rPr>
        <w:t>— Mr. Creel joined EZCORP as a director in January 2014 and is a member of the Audit Committee. Mr. Creel is a former</w:t>
      </w:r>
      <w:r>
        <w:rPr>
          <w:rFonts w:ascii="Arial" w:cs="Arial" w:eastAsia="Arial" w:hAnsi="Arial"/>
          <w:sz w:val="18"/>
          <w:szCs w:val="18"/>
          <w:i w:val="1"/>
          <w:iCs w:val="1"/>
          <w:color w:val="auto"/>
        </w:rPr>
        <w:t xml:space="preserve"> </w:t>
      </w:r>
      <w:r>
        <w:rPr>
          <w:rFonts w:ascii="Arial" w:cs="Arial" w:eastAsia="Arial" w:hAnsi="Arial"/>
          <w:sz w:val="18"/>
          <w:szCs w:val="18"/>
          <w:color w:val="auto"/>
        </w:rPr>
        <w:t>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 Mr. Creel practiced law with the firm of Noriega y Escobedo in Mexico City for almost 20 years, and has been a legal consultant to many companies, both domestic and foreign, as well as to international organizations and to the Mexican government. Mr. Creel is now a member of the governing body of Pacto por México, which sponsors an extensive agenda of political, economic and structural changes in Mexico.</w:t>
      </w:r>
    </w:p>
    <w:p>
      <w:pPr>
        <w:spacing w:after="0" w:line="138" w:lineRule="exact"/>
        <w:rPr>
          <w:rFonts w:ascii="Arial" w:cs="Arial" w:eastAsia="Arial" w:hAnsi="Arial"/>
          <w:sz w:val="18"/>
          <w:szCs w:val="18"/>
          <w:i w:val="1"/>
          <w:iCs w:val="1"/>
          <w:color w:val="auto"/>
        </w:rPr>
      </w:pPr>
    </w:p>
    <w:p>
      <w:pPr>
        <w:ind w:left="500" w:right="3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Director qualifications: leadership experience; experience in developing, implementing and managing strategic plans; understanding of our unique business environment; government service experience.</w:t>
      </w:r>
    </w:p>
    <w:p>
      <w:pPr>
        <w:spacing w:after="0" w:line="116" w:lineRule="exact"/>
        <w:rPr>
          <w:rFonts w:ascii="Arial" w:cs="Arial" w:eastAsia="Arial" w:hAnsi="Arial"/>
          <w:sz w:val="18"/>
          <w:szCs w:val="18"/>
          <w:i w:val="1"/>
          <w:iCs w:val="1"/>
          <w:color w:val="auto"/>
        </w:rPr>
      </w:pPr>
    </w:p>
    <w:p>
      <w:pPr>
        <w:ind w:left="500" w:right="120" w:hanging="330"/>
        <w:spacing w:after="0" w:line="264" w:lineRule="auto"/>
        <w:tabs>
          <w:tab w:leader="none" w:pos="5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Peter Cumins </w:t>
      </w:r>
      <w:r>
        <w:rPr>
          <w:rFonts w:ascii="Arial" w:cs="Arial" w:eastAsia="Arial" w:hAnsi="Arial"/>
          <w:sz w:val="18"/>
          <w:szCs w:val="18"/>
          <w:color w:val="auto"/>
        </w:rPr>
        <w:t>— Mr. Cumins joined EZCORP as a director in July 2014. He is the Managing Director, and serves on the board of directors,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Converters International Limited (ASX: CCV), a public company headquartered in Perth, Western Australia. Cash Converters International owns and franchises retail and financial services stores in 21 countries.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125"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500" w:right="60"/>
        <w:spacing w:after="0" w:line="325" w:lineRule="auto"/>
        <w:rPr>
          <w:sz w:val="20"/>
          <w:szCs w:val="20"/>
          <w:color w:val="auto"/>
        </w:rPr>
      </w:pPr>
      <w:r>
        <w:rPr>
          <w:rFonts w:ascii="Arial" w:cs="Arial" w:eastAsia="Arial" w:hAnsi="Arial"/>
          <w:sz w:val="17"/>
          <w:szCs w:val="17"/>
          <w:color w:val="auto"/>
        </w:rPr>
        <w:t>Mr. Cumins joined Cash Converters International in August 1990 as Finance and Administration Manager, became General Manager in March 1992 and became Managing Director in April 1995. Mr. Cumins has overseen the major growth in the number of company-owned and franchised locations in Australia, as well as the international development of the Cash Converters International franchise system. Mr. Cumins is a qualified accountant, and his experience in the management of large organizations has included senior executive positions in the government health sector, specifically with the Fremantle Hospital Group, where he was Finance and Human Resources Manager.</w:t>
      </w:r>
    </w:p>
    <w:p>
      <w:pPr>
        <w:spacing w:after="0" w:line="95" w:lineRule="exact"/>
        <w:rPr>
          <w:sz w:val="20"/>
          <w:szCs w:val="20"/>
          <w:color w:val="auto"/>
        </w:rPr>
      </w:pPr>
    </w:p>
    <w:p>
      <w:pPr>
        <w:ind w:left="500" w:right="120"/>
        <w:spacing w:after="0" w:line="286" w:lineRule="auto"/>
        <w:rPr>
          <w:sz w:val="20"/>
          <w:szCs w:val="20"/>
          <w:color w:val="auto"/>
        </w:rPr>
      </w:pPr>
      <w:r>
        <w:rPr>
          <w:rFonts w:ascii="Arial" w:cs="Arial" w:eastAsia="Arial" w:hAnsi="Arial"/>
          <w:sz w:val="17"/>
          <w:szCs w:val="17"/>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11" w:lineRule="exact"/>
        <w:rPr>
          <w:sz w:val="20"/>
          <w:szCs w:val="20"/>
          <w:color w:val="auto"/>
        </w:rPr>
      </w:pPr>
    </w:p>
    <w:p>
      <w:pPr>
        <w:ind w:left="500" w:hanging="330"/>
        <w:spacing w:after="0" w:line="271" w:lineRule="auto"/>
        <w:tabs>
          <w:tab w:leader="none" w:pos="50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Pablo Lagos Espinosa </w:t>
      </w:r>
      <w:r>
        <w:rPr>
          <w:rFonts w:ascii="Arial" w:cs="Arial" w:eastAsia="Arial" w:hAnsi="Arial"/>
          <w:sz w:val="17"/>
          <w:szCs w:val="17"/>
          <w:color w:val="auto"/>
        </w:rPr>
        <w:t>— Mr. Lagos joined EZCORP as a director in October 2010 and is a member of the Audit Committee and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Residencial Puente de Piedra, a privately held enterprise focused on developing affordable housing projects in and around Mexico City.</w:t>
      </w:r>
    </w:p>
    <w:p>
      <w:pPr>
        <w:spacing w:after="0" w:line="124" w:lineRule="exact"/>
        <w:rPr>
          <w:rFonts w:ascii="Arial" w:cs="Arial" w:eastAsia="Arial" w:hAnsi="Arial"/>
          <w:sz w:val="17"/>
          <w:szCs w:val="17"/>
          <w:i w:val="1"/>
          <w:iCs w:val="1"/>
          <w:color w:val="auto"/>
        </w:rPr>
      </w:pPr>
    </w:p>
    <w:p>
      <w:pPr>
        <w:ind w:left="500" w:right="40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7"/>
          <w:szCs w:val="17"/>
          <w:i w:val="1"/>
          <w:iCs w:val="1"/>
          <w:color w:val="auto"/>
        </w:rPr>
      </w:pPr>
    </w:p>
    <w:p>
      <w:pPr>
        <w:ind w:left="500" w:right="220" w:hanging="330"/>
        <w:spacing w:after="0" w:line="293" w:lineRule="auto"/>
        <w:tabs>
          <w:tab w:leader="none" w:pos="50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Thomas C. Roberts </w:t>
      </w:r>
      <w:r>
        <w:rPr>
          <w:rFonts w:ascii="Arial" w:cs="Arial" w:eastAsia="Arial" w:hAnsi="Arial"/>
          <w:sz w:val="16"/>
          <w:szCs w:val="16"/>
          <w:color w:val="auto"/>
        </w:rPr>
        <w:t>— Mr. Roberts rejoined the Board of Directors in July 2014 and serves as Chair of the Audit Committee and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He previously served as a director from January 2005 to January 2014 and was Lead Director from November 2008 until September 2013. He also served as a member of both the Audit Committee and the Compensation Committee until September 2013. Since 1990, Mr. Roberts has been a private investor and is currently Chairman of the Board of Directors of Pensco, Inc., a financial services company, having previously served as a senior executive (including Chief Financial Officer) of Schlumberger, Ltd. (1970 to 1985) and President of Control Data Computer Systems and Services and a member of the board of directors of Control Data Corporation (1985 to 1989).</w:t>
      </w:r>
    </w:p>
    <w:p>
      <w:pPr>
        <w:spacing w:after="0" w:line="110" w:lineRule="exact"/>
        <w:rPr>
          <w:rFonts w:ascii="Arial" w:cs="Arial" w:eastAsia="Arial" w:hAnsi="Arial"/>
          <w:sz w:val="16"/>
          <w:szCs w:val="16"/>
          <w:i w:val="1"/>
          <w:iCs w:val="1"/>
          <w:color w:val="auto"/>
        </w:rPr>
      </w:pPr>
    </w:p>
    <w:p>
      <w:pPr>
        <w:ind w:left="500" w:right="28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spacing w:after="0" w:line="132" w:lineRule="exact"/>
        <w:rPr>
          <w:rFonts w:ascii="Arial" w:cs="Arial" w:eastAsia="Arial" w:hAnsi="Arial"/>
          <w:sz w:val="16"/>
          <w:szCs w:val="16"/>
          <w:i w:val="1"/>
          <w:iCs w:val="1"/>
          <w:color w:val="auto"/>
        </w:rPr>
      </w:pPr>
    </w:p>
    <w:p>
      <w:pPr>
        <w:ind w:left="500" w:right="20" w:hanging="330"/>
        <w:spacing w:after="0" w:line="271" w:lineRule="auto"/>
        <w:tabs>
          <w:tab w:leader="none" w:pos="50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Joseph L. Rotunda </w:t>
      </w:r>
      <w:r>
        <w:rPr>
          <w:rFonts w:ascii="Arial" w:cs="Arial" w:eastAsia="Arial" w:hAnsi="Arial"/>
          <w:sz w:val="17"/>
          <w:szCs w:val="17"/>
          <w:color w:val="auto"/>
        </w:rPr>
        <w:t>— Mr. Rotunda rejoined the EZCORP Board of Directors in July 2014, after a relationship with the Company that spans the past 14</w:t>
      </w:r>
      <w:r>
        <w:rPr>
          <w:rFonts w:ascii="Arial" w:cs="Arial" w:eastAsia="Arial" w:hAnsi="Arial"/>
          <w:sz w:val="17"/>
          <w:szCs w:val="17"/>
          <w:i w:val="1"/>
          <w:iCs w:val="1"/>
          <w:color w:val="auto"/>
        </w:rPr>
        <w:t xml:space="preserve"> </w:t>
      </w:r>
      <w:r>
        <w:rPr>
          <w:rFonts w:ascii="Arial" w:cs="Arial" w:eastAsia="Arial" w:hAnsi="Arial"/>
          <w:sz w:val="17"/>
          <w:szCs w:val="17"/>
          <w:color w:val="auto"/>
        </w:rPr>
        <w:t>years. Mr. Rotunda joined EZCORP as President and Chief Operating officer and a director in February 2000 and was promoted to its Chief Executive Officer in August 2000. He retired from that position, and as a member of the Board of Directors, in October 2010 and became a consultant to the Company pursuant to a five-year consulting agreement. That agreement was mutually terminated in November 2013. Prior to joining EZCORP in 2000, Mr. Rotunda was the Chief Operating Officer of G&amp;K Services, Inc. (1998 to 2000) and held several executive positions, including Executive Vice President and Chief Operating Officer, with Rent-A-Center, Inc. (1991 to 1998). Mr. Rotunda served as a director of EasyHome Ltd of Toronto, Canada from 2000 until 2010. He currently serves as a director of eCommission Financial Services, Inc., a privately held company focusing on commission advance products to real estate sales professionals.</w:t>
      </w:r>
    </w:p>
    <w:p>
      <w:pPr>
        <w:spacing w:after="0" w:line="124" w:lineRule="exact"/>
        <w:rPr>
          <w:rFonts w:ascii="Arial" w:cs="Arial" w:eastAsia="Arial" w:hAnsi="Arial"/>
          <w:sz w:val="17"/>
          <w:szCs w:val="17"/>
          <w:i w:val="1"/>
          <w:iCs w:val="1"/>
          <w:color w:val="auto"/>
        </w:rPr>
      </w:pPr>
    </w:p>
    <w:p>
      <w:pPr>
        <w:jc w:val="both"/>
        <w:ind w:left="500" w:right="160"/>
        <w:spacing w:after="0" w:line="312" w:lineRule="auto"/>
        <w:rPr>
          <w:rFonts w:ascii="Arial" w:cs="Arial" w:eastAsia="Arial" w:hAnsi="Arial"/>
          <w:sz w:val="17"/>
          <w:szCs w:val="17"/>
          <w:i w:val="1"/>
          <w:iCs w:val="1"/>
          <w:color w:val="auto"/>
        </w:rPr>
      </w:pPr>
      <w:r>
        <w:rPr>
          <w:rFonts w:ascii="Arial" w:cs="Arial" w:eastAsia="Arial" w:hAnsi="Arial"/>
          <w:sz w:val="16"/>
          <w:szCs w:val="16"/>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Set forth below are the name, age, position and biographical information of each of the persons serving as our executive officers as of November 1, 2014, except for Mr. Grimshaw, Mr. Kuchenrither and Mr. Given, whose biographical information is included under “Board of Directors”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26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Title</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Chairman</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 Kuchenrither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Chairman</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Eric Fosse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Pawn and Cash Converters America</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Jodie E. B. Maccarrone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Global Financial Services</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E. Wood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21"/>
                <w:szCs w:val="21"/>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Information Officer</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Eric Fosse </w:t>
      </w:r>
      <w:r>
        <w:rPr>
          <w:rFonts w:ascii="Arial" w:cs="Arial" w:eastAsia="Arial" w:hAnsi="Arial"/>
          <w:sz w:val="17"/>
          <w:szCs w:val="17"/>
          <w:color w:val="auto"/>
        </w:rPr>
        <w:t>— Mr. Fosse has been serving as President, Pawn and Cash Converters America since September 2014, when he rejoined the Company. 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originally joined EZCORP in September 2004 as Vice President of EZMoney Operations. He was promoted to President of the EZMoney Division in August 2007, to President of Pawn Americas in July 2009 and to President of North American Operations in March 2011. In April 2012, Mr. Fosse was named President of U.S. Financial and Online Services and served in that role until December 2012. From 1991 to 2004, Mr. Fosse held various operating positions and ultimately served as a Regional Vice President of G&amp;K Services, a $500 million provider of uniform and textile products. From December 2012 to September 2014, he was a private investor and consultant concentrating on pawn and financial services businesses.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Jodie E. B. Maccarrone </w:t>
      </w:r>
      <w:r>
        <w:rPr>
          <w:rFonts w:ascii="Arial" w:cs="Arial" w:eastAsia="Arial" w:hAnsi="Arial"/>
          <w:sz w:val="18"/>
          <w:szCs w:val="18"/>
          <w:color w:val="auto"/>
        </w:rPr>
        <w:t>— Ms. Maccarrone has been serving as President, Global Financial Services since July 2014. Ms. Maccarrone joined EZCORP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Change Capital in April 2012, and in July 2012 was promoted to Managing Director of Change Capital Operations, where she was responsible for the performance of Grupo Finmart and TUYO and EZCORP’s expansion into Latin America. Prior to joining EZCORP, she served as Director of Operations for Sun Capital Partners, a major private equity firm, where she was responsible for leading strategic growth and cost reduction activities within and across various portfolio companies with an emphasis on profit improvement. She has also held consulting and operational positions at the Monitor Group in Boston and at Honeywell International.</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Thomas H. Welch, Jr. — </w:t>
      </w:r>
      <w:r>
        <w:rPr>
          <w:rFonts w:ascii="Arial" w:cs="Arial" w:eastAsia="Arial" w:hAnsi="Arial"/>
          <w:sz w:val="18"/>
          <w:szCs w:val="18"/>
          <w:color w:val="auto"/>
        </w:rPr>
        <w:t>Mr. Welch joined us in April 2009 as Senior Vice President, General Counsel and Secretary. He joined Dell Inc.’s legal department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w:t>
      </w:r>
    </w:p>
    <w:p>
      <w:pPr>
        <w:spacing w:after="0" w:line="1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William E. Wood </w:t>
      </w:r>
      <w:r>
        <w:rPr>
          <w:rFonts w:ascii="Arial" w:cs="Arial" w:eastAsia="Arial" w:hAnsi="Arial"/>
          <w:sz w:val="17"/>
          <w:szCs w:val="17"/>
          <w:color w:val="auto"/>
        </w:rPr>
        <w:t>— Mr. Wood has been Senior Vice President and Chief Information Officer since joining us in April 2014. Mr. Wood has spent his career in</w:t>
      </w:r>
      <w:r>
        <w:rPr>
          <w:rFonts w:ascii="Arial" w:cs="Arial" w:eastAsia="Arial" w:hAnsi="Arial"/>
          <w:sz w:val="17"/>
          <w:szCs w:val="17"/>
          <w:i w:val="1"/>
          <w:iCs w:val="1"/>
          <w:color w:val="auto"/>
        </w:rPr>
        <w:t xml:space="preserve"> </w:t>
      </w:r>
      <w:r>
        <w:rPr>
          <w:rFonts w:ascii="Arial" w:cs="Arial" w:eastAsia="Arial" w:hAnsi="Arial"/>
          <w:sz w:val="17"/>
          <w:szCs w:val="17"/>
          <w:color w:val="auto"/>
        </w:rPr>
        <w:t>retail, working in various management and executive positions with PetSmart, Inc., Revco Drug Stores, Inc., Darice, Inc. and Dollar General Corporation before serving as Vice President, CIO, Supply Chain &amp; Customer Care for Brookstone, Inc. and Vice President and Chief Information Officer for Bass Pro Shops. Mr. Wood has served as a board member for several charities, including Goodwill of Middle Tennessee, Camp Allen, NH and Easter Seals of Central Texas. He graduated with an MBA from Vanderbilt University’s Owen Graduate School of Management in 2004.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Based on written representations and a review of the relevant Forms 3, 4 and 5, during fiscal 2014, all persons subject to Section 16 of the Securities Exchange Act of 1934 with respect to EZCORP timely filed all reports required by Section 16(a) of the Securities Exchange Act, except for the following:</w:t>
      </w:r>
    </w:p>
    <w:p>
      <w:pPr>
        <w:spacing w:after="0" w:line="70" w:lineRule="exact"/>
        <w:rPr>
          <w:sz w:val="20"/>
          <w:szCs w:val="20"/>
          <w:color w:val="auto"/>
        </w:rPr>
      </w:pPr>
    </w:p>
    <w:p>
      <w:pPr>
        <w:ind w:left="660" w:right="80" w:hanging="328"/>
        <w:spacing w:after="0" w:line="25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Barry W. Guest (former President, U.S. Retail) and Rodrigo Romo-Garcia (former President and Director General, Empeño Fácil) had 1,341 shares and 931 shares, respectively, withheld to cover the tax liability associated with the vesting of restricted shares on October 3, 2013. The withholdings should have been reported on Form 4 filings no later than October 5, 2013, but the vestings were mistakenly thought to be subject to performance standards that were not determined until November 2013. Therefore, the withholdings were reported on Form 4 filings on October 16, 2013, when the mistake was identified.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80" w:hanging="328"/>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William C. Love (former director) received a grant of 10,000 shares of restricted stock on October 11, 2013 that should have been reported on a Form 4 filing no later than October 15, 2013. An attempt to file the Form 4 reporting this grant was made on October 15, 2013, the due date for the filing, but a mistake in the filing process cause the filing to be delayed until October 23, 2013, when the mistake was identified.</w:t>
      </w:r>
    </w:p>
    <w:p>
      <w:pPr>
        <w:spacing w:after="0" w:line="111"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Santiago Creel Miranda was appointed to the Board of Directors on January 3, 2014, and his Form 3 (Initial Report) was due on January 13, 2014. That Form 3 was not filed until January 22, 2014 due to a delay in obtaining the necessary information required for the issuance of an SEC filing reference number for Mr. Creel.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a Code of Conduct that is applicable to all of our employees,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Recent Board of Directors and Governance Changes </w:t>
      </w:r>
      <w:r>
        <w:rPr>
          <w:rFonts w:ascii="Arial" w:cs="Arial" w:eastAsia="Arial" w:hAnsi="Arial"/>
          <w:sz w:val="17"/>
          <w:szCs w:val="17"/>
          <w:color w:val="auto"/>
        </w:rPr>
        <w:t>— On July 18, 2014, MS Pawn Limited Partnership, as the sole holder of all of the outstanding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Voting Common Stock, appointed Lachlan P. Given as Non-Executive Chairman and removed three of the six directors who were then serving on the Board of Directors: Paul E. Rothamel (who was also removed as President and Chief Executive Officer), William C. Love (who was then serving as Non-Executive Chairman, Chair of the Audit Committee and a member of the Compensation Committee) and Joseph S. Beal (who was then serving as Chair of the Compensation Committee and a member of the Audit Committee). Shortly following those actions, Charles A. Bauer, who had joined the Board effective July 1, 2014, resigned his director position, leaving three directors on the Board: two independent directors, Santiago Creel Miranda and Pablo Lagos Espinosa, and Mr. Given, who is not independent because of a prior consulting relationship with the Company. For a discussion of the standards by which the directors’ independence was assessed, see “Part III — Item 13 — Certain Relationships and Related Transactions, and Director Independence — Director Independence.”</w:t>
      </w:r>
    </w:p>
    <w:p>
      <w:pPr>
        <w:spacing w:after="0" w:line="12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July 23, 2014, the three directors unanimously appointed Mark Kuchenrither as a director. Mr. Kuchenrither was (and still is) the Company’s Chief Financial Officer and had been designated Interim President and Chief Executive Officer by the controlling shareholder.</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28, 2014, the four directors unanimously appointed Peter Cumins, Thomas C. Roberts and Joseph L. Rotunda to the Board, bringing the total number of directors to seven, three of whom are independent (Mr. Creel, Mr. Lagos and Mr. Roberts). On August 12, 2014, the Board appointed Stuart I. Grimshaw as Executive Chairman and Mr. Given became Executive Vice Chairman. Mr. Grimshaw officially assumed his position as Executive Chairman and a member of the Board on November 1, 2014.</w:t>
      </w:r>
    </w:p>
    <w:p>
      <w:pPr>
        <w:spacing w:after="0" w:line="13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Immediately before making the Board and management changes described above, MS Pawn Limited Partnership, as the sole holder of all of the outstanding shares of Class B Voting Common Stock, amended the Company’s Bylaws in several respects. Those amendments, which are described in the Company’s Current Report on Form 8-K dated July 18, 2014 and filed July 22, 2014, generally restructure certain aspects of the Company’s corporate governance. For example, the amendments (1) permit the voting stockholders to fill vacancies on the Board of Directors and appoint and remove the Chairman of the Board and officers of the Company; (2) provide that the presence of 100% of the directors is necessary to constitute a quorum at any meeting of the Board; and (3) provide that the affirmative vote of 100% of the directors is necessary to approve any resolution of the Board.</w:t>
      </w:r>
    </w:p>
    <w:p>
      <w:pPr>
        <w:spacing w:after="0" w:line="11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3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by MS Pawn Limited Partnership and beneficially by Phillip E. Cohen. We have not historically invoked NASDAQ’S Controlled Company exemption, but the Board of Directors has determined that it is appropriate to do so at the present time. See “Part III — Item 13 — Certain Relationships and Related Transactions and Director Independence — Director Independence” and “Part III — Item 10 — Directors, Executive Officers and Corporate Governance — Corporate Governance — Committees of the Board.”</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116" w:lineRule="exact"/>
        <w:rPr>
          <w:sz w:val="20"/>
          <w:szCs w:val="20"/>
          <w:color w:val="auto"/>
        </w:rPr>
      </w:pPr>
    </w:p>
    <w:p>
      <w:pPr>
        <w:ind w:left="500" w:hanging="330"/>
        <w:spacing w:after="0" w:line="255"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135" w:lineRule="exact"/>
        <w:rPr>
          <w:rFonts w:ascii="Arial" w:cs="Arial" w:eastAsia="Arial" w:hAnsi="Arial"/>
          <w:sz w:val="18"/>
          <w:szCs w:val="18"/>
          <w:color w:val="auto"/>
        </w:rPr>
      </w:pPr>
    </w:p>
    <w:p>
      <w:pPr>
        <w:ind w:left="500" w:right="10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Roberts, Chair of the committee, is a “financial expert” within the meaning of the current rules of the SEC.</w:t>
      </w:r>
    </w:p>
    <w:p>
      <w:pPr>
        <w:spacing w:after="0" w:line="134" w:lineRule="exact"/>
        <w:rPr>
          <w:rFonts w:ascii="Arial" w:cs="Arial" w:eastAsia="Arial" w:hAnsi="Arial"/>
          <w:sz w:val="18"/>
          <w:szCs w:val="18"/>
          <w:color w:val="auto"/>
        </w:rPr>
      </w:pPr>
    </w:p>
    <w:p>
      <w:pPr>
        <w:ind w:left="500" w:right="20" w:hanging="330"/>
        <w:spacing w:after="0" w:line="269"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 The Compensation Committee reviews and approves, on behalf of the Board, the amounts and types of compensation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be paid to our executive officers; reviews and recommends to the full Board the amount and type of compensation to be paid to our non-employee directors; reviews and approves, on behalf of the Board, all bonus and equity compensation to be paid to our other employees; and administers our stock compensation plans. Until September 2014, the Compensation Committee was comprised entirely of directors who satisfy the standards of independence described under “Item 13 — Certain Relationships and Related Transactions, and Director Independence — Director Independence,” as well as additional or supplemental independence standards applicable to compensation committee members established under applicable law and NASDAQ listing requirements. Since September 2014, pursuant to the NASDAQ Controlled Company exemption described above, the Compensation Committee has included two non-independent directors (Mr. Given and Mr. Rotunda). See “Part III — Item 11 — Executive Compensation — Compensation Discussion and Analysis — Composition of the Compensation Committee.” The committee has formed an “independent subcommittee,” consisting solely of independent directors, to consider and approve any items of compensation that are required to be approved solely by “independent,” “non-employee” or “outside” directors.</w:t>
      </w:r>
    </w:p>
    <w:p>
      <w:pPr>
        <w:spacing w:after="0" w:line="128" w:lineRule="exact"/>
        <w:rPr>
          <w:rFonts w:ascii="Arial" w:cs="Arial" w:eastAsia="Arial" w:hAnsi="Arial"/>
          <w:sz w:val="17"/>
          <w:szCs w:val="17"/>
          <w:color w:val="auto"/>
        </w:rPr>
      </w:pPr>
    </w:p>
    <w:p>
      <w:pPr>
        <w:ind w:left="500" w:right="300" w:hanging="330"/>
        <w:spacing w:after="0" w:line="302"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Governance Committee </w:t>
      </w:r>
      <w:r>
        <w:rPr>
          <w:rFonts w:ascii="Arial" w:cs="Arial" w:eastAsia="Arial" w:hAnsi="Arial"/>
          <w:sz w:val="16"/>
          <w:szCs w:val="16"/>
          <w:color w:val="auto"/>
        </w:rPr>
        <w:t>— In April 2014, when the former Executive Chairman announced his retirement, the Board formed the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(consisting of the four independent directors who were serving at the time) to evaluate board structure and other corporate governance matters. Since July, corporate governance matters have been considered either by the voting stockholder or by the full Board. It is expected that the Governance Committee will be reconstituted as part of the Board committee and corporate governance initiatives for fiscal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125"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Audit Committee and the Compensation Committee are governed by written charters, copies of which can be found in the Investor Relations section of our website at www.ezcorp.com.</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Because all of our voting stock is beneficially owned by Phillip E. Cohen and the remaining stockholders are not entitled to vote on the election of directors, we do not currently maintain a standing nominating committee of the Board of Directors. In the absence of a nominating committee, director nominees are typically considered by the full Board, which has historically been comprised of a majority of independent directors.</w:t>
      </w:r>
    </w:p>
    <w:p>
      <w:pPr>
        <w:spacing w:after="0" w:line="1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Meetings and Attendance </w:t>
      </w:r>
      <w:r>
        <w:rPr>
          <w:rFonts w:ascii="Arial" w:cs="Arial" w:eastAsia="Arial" w:hAnsi="Arial"/>
          <w:sz w:val="16"/>
          <w:szCs w:val="16"/>
          <w:color w:val="auto"/>
        </w:rPr>
        <w:t>— During fiscal 2014, the Board of Directors held eight meetings, the Audit Committee held seven meetings,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held six meetings. All directors attended at least 75% of the meetings of the Board and of the committees on which they served.</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80"/>
          </w:cols>
          <w:pgMar w:left="240" w:top="125" w:right="3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2014 by Mark E. Kuchenrither (who has been serving as principal executive officer since July 18, 2014 and served as principal financial officer during all of fiscal 2014), Paul E. Rothamel (who served as principal executive officer until July 18, 2014), and Lachlan P. Given, Thomas H. Welch, Jr. and Jodie E. B. Maccarrone (the three other most highly compensated executive officers who were serving as executive officers at the end of fiscal 2014). We are also providing compensation information for Sterling B. Brinkley and Barry Guest, both of whom would have been included among the three other most highly compensated executive officers except for the fact that they were not serving as executive officers at the end of the year. This group is referred to collectively as the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Compensation Committee</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composition of our Board of Directors changed significantly during fiscal 2014. See "Part III — Item 10 — Directors, Executive Officers and Corporate Governance — Corporate Governance — Recent Board of Directors and Governance Changes." Those changes resulted in consequent changes of the composition of the Committee. Specifically:</w:t>
      </w:r>
    </w:p>
    <w:p>
      <w:pPr>
        <w:spacing w:after="0" w:line="127" w:lineRule="exact"/>
        <w:rPr>
          <w:sz w:val="20"/>
          <w:szCs w:val="20"/>
          <w:color w:val="auto"/>
        </w:rPr>
      </w:pPr>
    </w:p>
    <w:p>
      <w:pPr>
        <w:ind w:left="660" w:right="1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the beginning of fiscal 2014 until July 18, 2014, the Committee was comprised of Joseph S. Beal (Chair), Pablo Lagos Espinosa and William C. Love.</w:t>
      </w:r>
    </w:p>
    <w:p>
      <w:pPr>
        <w:spacing w:after="0" w:line="116"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July 18, 2014, Mr. Beal and Mr. Love were removed from the Board of Directors by the controlling shareholder, and from that time until September 10, 2014, Mr. Lagos was the only member of the Committee.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September 10, 2014, the Board of Directors added Mr. Given (naming him Chair), Thomas C. Roberts and Joseph L. Rotunda to the Committee.</w:t>
      </w:r>
    </w:p>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Until September 10, 2014, the Committee was comprised of solely independent directors. Since that time, however, the Committee has included non-independent directors (Mr. Given and Mr. Rotunda), relying on the Controlled Company exemptions provided by the Listing Rules. See “Part III — Item 10</w:t>
      </w:r>
    </w:p>
    <w:p>
      <w:pPr>
        <w:ind w:right="60"/>
        <w:spacing w:after="0" w:line="295" w:lineRule="auto"/>
        <w:rPr>
          <w:sz w:val="20"/>
          <w:szCs w:val="20"/>
          <w:color w:val="auto"/>
        </w:rPr>
      </w:pPr>
      <w:r>
        <w:rPr>
          <w:rFonts w:ascii="Arial" w:cs="Arial" w:eastAsia="Arial" w:hAnsi="Arial"/>
          <w:sz w:val="16"/>
          <w:szCs w:val="16"/>
          <w:color w:val="auto"/>
        </w:rPr>
        <w:t>— Directors, Executive Officer and Corporate Governance — Corporate Governance — Controlled Company Exemptions.” The Board of Directors believes that, with the unique perspectives of the non-independent members combined with the perspectives of the independent members, the current Committee is well-situated to act in the interests of all Company stockholders. The Committee has formed a sub-committee consisting of only independent directors (Mr. Lagos and Mr. Roberts) to act on and approve any executive compensation matters that require approval of solely independent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philosophy is grounded in two fundamental principles:</w:t>
      </w:r>
    </w:p>
    <w:p>
      <w:pPr>
        <w:spacing w:after="0" w:line="171" w:lineRule="exact"/>
        <w:rPr>
          <w:sz w:val="20"/>
          <w:szCs w:val="20"/>
          <w:color w:val="auto"/>
        </w:rPr>
      </w:pPr>
    </w:p>
    <w:p>
      <w:pPr>
        <w:ind w:left="660" w:right="80" w:hanging="328"/>
        <w:spacing w:after="0" w:line="273" w:lineRule="auto"/>
        <w:tabs>
          <w:tab w:leader="none" w:pos="66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 for performance </w:t>
      </w:r>
      <w:r>
        <w:rPr>
          <w:rFonts w:ascii="Arial" w:cs="Arial" w:eastAsia="Arial" w:hAnsi="Arial"/>
          <w:sz w:val="17"/>
          <w:szCs w:val="17"/>
          <w:color w:val="auto"/>
        </w:rPr>
        <w:t>— Our philosophy is to expect diligent effort, unwavering commitment and hard work from our executives,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plans should recognize and reward superior results that generate significant shareholder value. Actual realized compensation should reflect Company and individual performance against specific and quantifiable objectives. While certain past performance-related compensation decisions may have concentrated on effort expended, the current Committee believes that, in order to earn performance-based compensation, efforts should be translated to results. Executives should be compensated based on their ability to achieve key operational, financial and strategic results. Compensation earned should parallel our sustained growth in terms of profitability and shareholder value.</w:t>
      </w:r>
    </w:p>
    <w:p>
      <w:pPr>
        <w:spacing w:after="0" w:line="124" w:lineRule="exact"/>
        <w:rPr>
          <w:rFonts w:ascii="Arial" w:cs="Arial" w:eastAsia="Arial" w:hAnsi="Arial"/>
          <w:sz w:val="17"/>
          <w:szCs w:val="17"/>
          <w:i w:val="1"/>
          <w:iCs w:val="1"/>
          <w:color w:val="auto"/>
        </w:rPr>
      </w:pPr>
    </w:p>
    <w:p>
      <w:pPr>
        <w:ind w:left="660" w:right="120" w:hanging="328"/>
        <w:spacing w:after="0" w:line="279" w:lineRule="auto"/>
        <w:tabs>
          <w:tab w:leader="none" w:pos="66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Attract and retain high performers </w:t>
      </w:r>
      <w:r>
        <w:rPr>
          <w:rFonts w:ascii="Arial" w:cs="Arial" w:eastAsia="Arial" w:hAnsi="Arial"/>
          <w:sz w:val="17"/>
          <w:szCs w:val="17"/>
          <w:color w:val="auto"/>
        </w:rPr>
        <w:t>— We want to build and maintain an organization that achieves consistently high results. Therefore, we strive to</w:t>
      </w:r>
      <w:r>
        <w:rPr>
          <w:rFonts w:ascii="Arial" w:cs="Arial" w:eastAsia="Arial" w:hAnsi="Arial"/>
          <w:sz w:val="17"/>
          <w:szCs w:val="17"/>
          <w:i w:val="1"/>
          <w:iCs w:val="1"/>
          <w:color w:val="auto"/>
        </w:rPr>
        <w:t xml:space="preserve"> </w:t>
      </w:r>
      <w:r>
        <w:rPr>
          <w:rFonts w:ascii="Arial" w:cs="Arial" w:eastAsia="Arial" w:hAnsi="Arial"/>
          <w:sz w:val="17"/>
          <w:szCs w:val="17"/>
          <w:color w:val="auto"/>
        </w:rPr>
        <w:t>pay at levels that will attract and retain high quality executives capable of performing at the highest levels and willing to be accountable for the achievement of results. In line with our philosophy of paying well for strong performance, a majority of executive compensation is in the form of incentives that are at risk, but offer significantly higher rewards for the achievement of outstanding results.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this philosophy, the Committee has designed compensation plans that provide:</w:t>
      </w:r>
    </w:p>
    <w:p>
      <w:pPr>
        <w:spacing w:after="0" w:line="11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Competitive base salaries;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Incentive opportunities based on overall Company financial performance, business unit financial performance (in appropriate cases), individual contribution and performance and creation of stockholder value;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Retention of top performers over the long-term;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Alignment of executive interests with the long-term interests of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Characteristics That Align Management With Shareholders</w:t>
      </w:r>
    </w:p>
    <w:p>
      <w:pPr>
        <w:spacing w:after="0" w:line="12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majority of executive pay is at risk in the form of annual and long-term incentive compensation.</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equity awards are subject to achievement of specific performance criteria.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stock ownership requirements for directors and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Committee retains the services of an independent compensation advisor.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Design</w:t>
      </w:r>
    </w:p>
    <w:p>
      <w:pPr>
        <w:spacing w:after="0" w:line="198" w:lineRule="exact"/>
        <w:rPr>
          <w:sz w:val="20"/>
          <w:szCs w:val="20"/>
          <w:color w:val="auto"/>
        </w:rPr>
      </w:pPr>
    </w:p>
    <w:p>
      <w:pPr>
        <w:ind w:right="300"/>
        <w:spacing w:after="0" w:line="329" w:lineRule="auto"/>
        <w:rPr>
          <w:sz w:val="20"/>
          <w:szCs w:val="20"/>
          <w:color w:val="auto"/>
        </w:rPr>
      </w:pPr>
      <w:r>
        <w:rPr>
          <w:rFonts w:ascii="Arial" w:cs="Arial" w:eastAsia="Arial" w:hAnsi="Arial"/>
          <w:sz w:val="18"/>
          <w:szCs w:val="18"/>
          <w:i w:val="1"/>
          <w:iCs w:val="1"/>
          <w:color w:val="auto"/>
        </w:rPr>
        <w:t xml:space="preserve">Goals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support of the principles of our compensation philosophy and our interest in ensuring stockholder alignment, we have designed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programs to accomplish the following primary goals:</w:t>
      </w:r>
    </w:p>
    <w:p>
      <w:pPr>
        <w:spacing w:after="0" w:line="7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4"/>
          <w:szCs w:val="14"/>
          <w:b w:val="1"/>
          <w:bCs w:val="1"/>
          <w:color w:val="auto"/>
        </w:rPr>
        <w:t>Goal</w:t>
      </w:r>
      <w:r>
        <w:rPr>
          <w:sz w:val="20"/>
          <w:szCs w:val="20"/>
          <w:color w:val="auto"/>
        </w:rPr>
        <w:tab/>
      </w:r>
      <w:r>
        <w:rPr>
          <w:rFonts w:ascii="Arial" w:cs="Arial" w:eastAsia="Arial" w:hAnsi="Arial"/>
          <w:sz w:val="14"/>
          <w:szCs w:val="14"/>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943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361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64" w:lineRule="exact"/>
        <w:rPr>
          <w:sz w:val="20"/>
          <w:szCs w:val="20"/>
          <w:color w:val="auto"/>
        </w:rPr>
      </w:pPr>
    </w:p>
    <w:p>
      <w:pPr>
        <w:ind w:left="40"/>
        <w:spacing w:after="0" w:line="281" w:lineRule="auto"/>
        <w:rPr>
          <w:sz w:val="20"/>
          <w:szCs w:val="20"/>
          <w:color w:val="auto"/>
        </w:rPr>
      </w:pPr>
      <w:r>
        <w:rPr>
          <w:rFonts w:ascii="Arial" w:cs="Arial" w:eastAsia="Arial" w:hAnsi="Arial"/>
          <w:sz w:val="16"/>
          <w:szCs w:val="16"/>
          <w:b w:val="1"/>
          <w:bCs w:val="1"/>
          <w:color w:val="auto"/>
        </w:rPr>
        <w:t xml:space="preserve">Pay for performance — </w:t>
      </w:r>
      <w:r>
        <w:rPr>
          <w:rFonts w:ascii="Arial" w:cs="Arial" w:eastAsia="Arial" w:hAnsi="Arial"/>
          <w:sz w:val="16"/>
          <w:szCs w:val="16"/>
          <w:color w:val="auto"/>
        </w:rPr>
        <w:t>Design of compensation plans will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payouts that are closely aligned with the actual financial results of the 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137" w:right="380" w:firstLine="137"/>
        <w:spacing w:after="0" w:line="265" w:lineRule="auto"/>
        <w:tabs>
          <w:tab w:leader="none" w:pos="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Executive total compensation opportunities will include a significant portion of performance-based incentives tied to achievement of specific financial or strategic objectives and the growth in stockholder value.</w:t>
      </w:r>
    </w:p>
    <w:p>
      <w:pPr>
        <w:spacing w:after="0" w:line="2" w:lineRule="exact"/>
        <w:rPr>
          <w:rFonts w:ascii="Arial" w:cs="Arial" w:eastAsia="Arial" w:hAnsi="Arial"/>
          <w:sz w:val="16"/>
          <w:szCs w:val="16"/>
          <w:color w:val="auto"/>
        </w:rPr>
      </w:pPr>
    </w:p>
    <w:p>
      <w:pPr>
        <w:ind w:left="-137" w:right="60" w:firstLine="137"/>
        <w:spacing w:after="0" w:line="264" w:lineRule="auto"/>
        <w:tabs>
          <w:tab w:leader="none" w:pos="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Incentive objectives will be specific, quantifiable and measurable, but may also include goals that require an element of subjective evaluation.</w:t>
      </w:r>
    </w:p>
    <w:p>
      <w:pPr>
        <w:ind w:left="-137" w:right="80" w:firstLine="137"/>
        <w:spacing w:after="0" w:line="288" w:lineRule="auto"/>
        <w:tabs>
          <w:tab w:leader="none" w:pos="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Long-term incentives will have both retention and performance requirements and therefore will vest over time so long as specific objectives are achieved.</w:t>
      </w:r>
    </w:p>
    <w:p>
      <w:pPr>
        <w:spacing w:after="0" w:line="14" w:lineRule="exact"/>
        <w:rPr>
          <w:sz w:val="20"/>
          <w:szCs w:val="20"/>
          <w:color w:val="auto"/>
        </w:rPr>
      </w:pPr>
    </w:p>
    <w:p>
      <w:pPr>
        <w:sectPr>
          <w:pgSz w:w="11900" w:h="16838" w:orient="portrait"/>
          <w:cols w:equalWidth="0" w:num="2">
            <w:col w:w="3960" w:space="437"/>
            <w:col w:w="6983"/>
          </w:cols>
          <w:pgMar w:left="240" w:top="125" w:right="279" w:bottom="1440" w:gutter="0" w:footer="0" w:header="0"/>
          <w:type w:val="continuous"/>
        </w:sectPr>
      </w:pPr>
    </w:p>
    <w:p>
      <w:pPr>
        <w:spacing w:after="0" w:line="36" w:lineRule="exact"/>
        <w:rPr>
          <w:sz w:val="20"/>
          <w:szCs w:val="20"/>
          <w:color w:val="auto"/>
        </w:rPr>
      </w:pPr>
    </w:p>
    <w:p>
      <w:pPr>
        <w:ind w:left="40"/>
        <w:spacing w:after="0" w:line="275" w:lineRule="auto"/>
        <w:rPr>
          <w:sz w:val="20"/>
          <w:szCs w:val="20"/>
          <w:color w:val="auto"/>
        </w:rPr>
      </w:pPr>
      <w:r>
        <w:rPr>
          <w:rFonts w:ascii="Arial" w:cs="Arial" w:eastAsia="Arial" w:hAnsi="Arial"/>
          <w:sz w:val="16"/>
          <w:szCs w:val="16"/>
          <w:b w:val="1"/>
          <w:bCs w:val="1"/>
          <w:color w:val="auto"/>
        </w:rPr>
        <w:t xml:space="preserve">Attract and retain high performers — </w:t>
      </w:r>
      <w:r>
        <w:rPr>
          <w:rFonts w:ascii="Arial" w:cs="Arial" w:eastAsia="Arial" w:hAnsi="Arial"/>
          <w:sz w:val="16"/>
          <w:szCs w:val="16"/>
          <w:color w:val="auto"/>
        </w:rPr>
        <w:t>We want to pay at</w:t>
      </w:r>
      <w:r>
        <w:rPr>
          <w:rFonts w:ascii="Arial" w:cs="Arial" w:eastAsia="Arial" w:hAnsi="Arial"/>
          <w:sz w:val="16"/>
          <w:szCs w:val="16"/>
          <w:b w:val="1"/>
          <w:bCs w:val="1"/>
          <w:color w:val="auto"/>
        </w:rPr>
        <w:t xml:space="preserve"> </w:t>
      </w:r>
      <w:r>
        <w:rPr>
          <w:rFonts w:ascii="Arial" w:cs="Arial" w:eastAsia="Arial" w:hAnsi="Arial"/>
          <w:sz w:val="16"/>
          <w:szCs w:val="16"/>
          <w:color w:val="auto"/>
        </w:rPr>
        <w:t>levels that will help us attract and retain highly qualified individuals capable of leading us to achieve our business objectives.</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Shareholder alignment and long-term commitment</w:t>
      </w:r>
    </w:p>
    <w:p>
      <w:pPr>
        <w:spacing w:after="0" w:line="20" w:lineRule="exact"/>
        <w:rPr>
          <w:sz w:val="20"/>
          <w:szCs w:val="20"/>
          <w:color w:val="auto"/>
        </w:rPr>
      </w:pPr>
      <w:r>
        <w:rPr>
          <w:sz w:val="20"/>
          <w:szCs w:val="20"/>
          <w:color w:val="auto"/>
        </w:rPr>
        <w:br w:type="column"/>
      </w:r>
    </w:p>
    <w:p>
      <w:pPr>
        <w:ind w:left="-137" w:right="140" w:firstLine="137"/>
        <w:spacing w:after="0" w:line="265" w:lineRule="auto"/>
        <w:tabs>
          <w:tab w:leader="none" w:pos="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total compensation plans are designed to provide base salaries and short- and long-term incentive opportunities that will result in highly competitive pay levels when performance objectives are achieved, as well as above-market opportunities when outstanding results are achieved.</w:t>
      </w:r>
    </w:p>
    <w:p>
      <w:pPr>
        <w:spacing w:after="0" w:line="2" w:lineRule="exact"/>
        <w:rPr>
          <w:rFonts w:ascii="Arial" w:cs="Arial" w:eastAsia="Arial" w:hAnsi="Arial"/>
          <w:sz w:val="16"/>
          <w:szCs w:val="16"/>
          <w:color w:val="auto"/>
        </w:rPr>
      </w:pPr>
    </w:p>
    <w:p>
      <w:pPr>
        <w:ind w:left="-137" w:right="360" w:firstLine="137"/>
        <w:spacing w:after="0" w:line="288" w:lineRule="auto"/>
        <w:tabs>
          <w:tab w:leader="none" w:pos="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incentive plans provide clear and measurable objectives for top performers to achieve high-level compensation.</w:t>
      </w:r>
    </w:p>
    <w:p>
      <w:pPr>
        <w:spacing w:after="0" w:line="256" w:lineRule="exact"/>
        <w:rPr>
          <w:rFonts w:ascii="Arial" w:cs="Arial" w:eastAsia="Arial" w:hAnsi="Arial"/>
          <w:sz w:val="16"/>
          <w:szCs w:val="16"/>
          <w:color w:val="auto"/>
        </w:rPr>
      </w:pPr>
    </w:p>
    <w:p>
      <w:pPr>
        <w:ind w:left="-137" w:firstLine="137"/>
        <w:spacing w:after="0" w:line="266" w:lineRule="auto"/>
        <w:tabs>
          <w:tab w:leader="none" w:pos="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Senior executives are required to be shareholders and own a minimum level of Company stock throughout their employment.</w:t>
      </w:r>
    </w:p>
    <w:p>
      <w:pPr>
        <w:spacing w:after="0" w:line="1" w:lineRule="exact"/>
        <w:rPr>
          <w:rFonts w:ascii="Arial" w:cs="Arial" w:eastAsia="Arial" w:hAnsi="Arial"/>
          <w:sz w:val="16"/>
          <w:szCs w:val="16"/>
          <w:color w:val="auto"/>
        </w:rPr>
      </w:pPr>
    </w:p>
    <w:p>
      <w:pPr>
        <w:ind w:left="-137" w:right="120" w:firstLine="137"/>
        <w:spacing w:after="0" w:line="288" w:lineRule="auto"/>
        <w:tabs>
          <w:tab w:leader="none" w:pos="7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vesting of equity incentive awards is tied directly to continued multi-year service (retention) and the achievement of specific long-term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-550545</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517"/>
            <w:col w:w="6983"/>
          </w:cols>
          <w:pgMar w:left="240" w:top="125" w:right="27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380"/>
          </w:cols>
          <w:pgMar w:left="240" w:top="125" w:right="27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“total direct” compensation is composed of three principal components, each one contributing to the accomplishment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goals: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Compensation Component</w:t>
            </w:r>
          </w:p>
        </w:tc>
        <w:tc>
          <w:tcPr>
            <w:tcW w:w="306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204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9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6"/>
        </w:trPr>
        <w:tc>
          <w:tcPr>
            <w:tcW w:w="286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2040" w:type="dxa"/>
            <w:vAlign w:val="bottom"/>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Alignment</w:t>
            </w:r>
          </w:p>
        </w:tc>
        <w:tc>
          <w:tcPr>
            <w:tcW w:w="9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9"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4"/>
          <w:szCs w:val="14"/>
          <w:color w:val="auto"/>
        </w:rPr>
        <w:t>•A market-competitive salary is an essential factor in attracting and</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retaining qualified personnel.</w:t>
      </w:r>
    </w:p>
    <w:p>
      <w:pPr>
        <w:spacing w:after="0" w:line="65" w:lineRule="exact"/>
        <w:rPr>
          <w:sz w:val="20"/>
          <w:szCs w:val="20"/>
          <w:color w:val="auto"/>
        </w:rPr>
      </w:pPr>
    </w:p>
    <w:p>
      <w:pPr>
        <w:ind w:left="40"/>
        <w:spacing w:after="0"/>
        <w:tabs>
          <w:tab w:leader="none" w:pos="2140" w:val="left"/>
        </w:tabs>
        <w:rPr>
          <w:sz w:val="20"/>
          <w:szCs w:val="20"/>
          <w:color w:val="auto"/>
        </w:rPr>
      </w:pPr>
      <w:r>
        <w:rPr>
          <w:rFonts w:ascii="Arial" w:cs="Arial" w:eastAsia="Arial" w:hAnsi="Arial"/>
          <w:sz w:val="16"/>
          <w:szCs w:val="16"/>
          <w:b w:val="1"/>
          <w:bCs w:val="1"/>
          <w:color w:val="auto"/>
        </w:rPr>
        <w:t>Annual Incentives</w:t>
      </w:r>
      <w:r>
        <w:rPr>
          <w:sz w:val="20"/>
          <w:szCs w:val="20"/>
          <w:color w:val="auto"/>
        </w:rPr>
        <w:tab/>
      </w:r>
      <w:r>
        <w:rPr>
          <w:rFonts w:ascii="Arial" w:cs="Arial" w:eastAsia="Arial" w:hAnsi="Arial"/>
          <w:sz w:val="14"/>
          <w:szCs w:val="14"/>
          <w:color w:val="auto"/>
        </w:rPr>
        <w:t>•Annual cash bonus opportunity.</w:t>
      </w:r>
    </w:p>
    <w:p>
      <w:pPr>
        <w:spacing w:after="0" w:line="26" w:lineRule="exact"/>
        <w:rPr>
          <w:sz w:val="20"/>
          <w:szCs w:val="20"/>
          <w:color w:val="auto"/>
        </w:rPr>
      </w:pPr>
    </w:p>
    <w:p>
      <w:pPr>
        <w:ind w:left="2100" w:firstLine="54"/>
        <w:spacing w:after="0" w:line="304" w:lineRule="auto"/>
        <w:rPr>
          <w:sz w:val="20"/>
          <w:szCs w:val="20"/>
          <w:color w:val="auto"/>
        </w:rPr>
      </w:pPr>
      <w:r>
        <w:rPr>
          <w:rFonts w:ascii="Arial" w:cs="Arial" w:eastAsia="Arial" w:hAnsi="Arial"/>
          <w:sz w:val="15"/>
          <w:szCs w:val="15"/>
          <w:color w:val="auto"/>
        </w:rPr>
        <w:t>•Awards are tied to an assessment of annual corporate and business unit financial performance, as well as individual contribution.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172"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63" w:lineRule="exact"/>
        <w:rPr>
          <w:sz w:val="20"/>
          <w:szCs w:val="20"/>
          <w:color w:val="auto"/>
        </w:rPr>
      </w:pPr>
    </w:p>
    <w:p>
      <w:pPr>
        <w:sectPr>
          <w:pgSz w:w="11900" w:h="16838" w:orient="portrait"/>
          <w:cols w:equalWidth="0" w:num="2">
            <w:col w:w="6820" w:space="560"/>
            <w:col w:w="40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8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Long-term Incentives</w:t>
            </w:r>
          </w:p>
        </w:tc>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Equity incentive grants.</w:t>
            </w:r>
          </w:p>
        </w:tc>
        <w:tc>
          <w:tcPr>
            <w:tcW w:w="1080" w:type="dxa"/>
            <w:vAlign w:val="bottom"/>
            <w:vMerge w:val="restart"/>
            <w:shd w:val="clear" w:color="auto" w:fill="CCEEFF"/>
          </w:tcPr>
          <w:p>
            <w:pPr>
              <w:ind w:left="440"/>
              <w:spacing w:after="0"/>
              <w:rPr>
                <w:sz w:val="20"/>
                <w:szCs w:val="20"/>
                <w:color w:val="auto"/>
              </w:rPr>
            </w:pPr>
            <w:r>
              <w:rPr>
                <w:rFonts w:ascii="Arial" w:cs="Arial" w:eastAsia="Arial" w:hAnsi="Arial"/>
                <w:sz w:val="25"/>
                <w:szCs w:val="25"/>
                <w:color w:val="auto"/>
              </w:rPr>
              <w:t>ü</w:t>
            </w:r>
          </w:p>
        </w:tc>
        <w:tc>
          <w:tcPr>
            <w:tcW w:w="1140" w:type="dxa"/>
            <w:vAlign w:val="bottom"/>
            <w:vMerge w:val="restart"/>
            <w:shd w:val="clear" w:color="auto" w:fill="CCEEFF"/>
          </w:tcPr>
          <w:p>
            <w:pPr>
              <w:ind w:left="500"/>
              <w:spacing w:after="0"/>
              <w:rPr>
                <w:sz w:val="20"/>
                <w:szCs w:val="20"/>
                <w:color w:val="auto"/>
              </w:rPr>
            </w:pPr>
            <w:r>
              <w:rPr>
                <w:rFonts w:ascii="Arial" w:cs="Arial" w:eastAsia="Arial" w:hAnsi="Arial"/>
                <w:sz w:val="25"/>
                <w:szCs w:val="25"/>
                <w:color w:val="auto"/>
              </w:rPr>
              <w:t>ü</w:t>
            </w:r>
          </w:p>
        </w:tc>
        <w:tc>
          <w:tcPr>
            <w:tcW w:w="1120" w:type="dxa"/>
            <w:vAlign w:val="bottom"/>
            <w:vMerge w:val="restart"/>
            <w:shd w:val="clear" w:color="auto" w:fill="CCEEFF"/>
          </w:tcPr>
          <w:p>
            <w:pPr>
              <w:ind w:left="500"/>
              <w:spacing w:after="0"/>
              <w:rPr>
                <w:sz w:val="20"/>
                <w:szCs w:val="20"/>
                <w:color w:val="auto"/>
              </w:rPr>
            </w:pPr>
            <w:r>
              <w:rPr>
                <w:rFonts w:ascii="Arial" w:cs="Arial" w:eastAsia="Arial" w:hAnsi="Arial"/>
                <w:sz w:val="25"/>
                <w:szCs w:val="25"/>
                <w:color w:val="auto"/>
              </w:rPr>
              <w:t>ü</w:t>
            </w:r>
          </w:p>
        </w:tc>
        <w:tc>
          <w:tcPr>
            <w:tcW w:w="1140" w:type="dxa"/>
            <w:vAlign w:val="bottom"/>
            <w:vMerge w:val="restart"/>
            <w:shd w:val="clear" w:color="auto" w:fill="CCEEFF"/>
          </w:tcPr>
          <w:p>
            <w:pPr>
              <w:ind w:left="500"/>
              <w:spacing w:after="0"/>
              <w:rPr>
                <w:sz w:val="20"/>
                <w:szCs w:val="20"/>
                <w:color w:val="auto"/>
              </w:rPr>
            </w:pPr>
            <w:r>
              <w:rPr>
                <w:rFonts w:ascii="Arial" w:cs="Arial" w:eastAsia="Arial" w:hAnsi="Arial"/>
                <w:sz w:val="25"/>
                <w:szCs w:val="25"/>
                <w:color w:val="auto"/>
              </w:rPr>
              <w:t>ü</w:t>
            </w:r>
          </w:p>
        </w:tc>
        <w:tc>
          <w:tcPr>
            <w:tcW w:w="0" w:type="dxa"/>
            <w:vAlign w:val="bottom"/>
          </w:tcPr>
          <w:p>
            <w:pPr>
              <w:spacing w:after="0"/>
              <w:rPr>
                <w:sz w:val="1"/>
                <w:szCs w:val="1"/>
                <w:color w:val="auto"/>
              </w:rPr>
            </w:pPr>
          </w:p>
        </w:tc>
      </w:tr>
      <w:tr>
        <w:trPr>
          <w:trHeight w:val="123"/>
        </w:trPr>
        <w:tc>
          <w:tcPr>
            <w:tcW w:w="1820" w:type="dxa"/>
            <w:vAlign w:val="bottom"/>
            <w:shd w:val="clear" w:color="auto" w:fill="CCEEFF"/>
          </w:tcPr>
          <w:p>
            <w:pPr>
              <w:spacing w:after="0"/>
              <w:rPr>
                <w:sz w:val="10"/>
                <w:szCs w:val="10"/>
                <w:color w:val="auto"/>
              </w:rPr>
            </w:pPr>
          </w:p>
        </w:tc>
        <w:tc>
          <w:tcPr>
            <w:tcW w:w="512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w w:val="99"/>
              </w:rPr>
              <w:t>• Performance-vested restricted stock grants tied to achievement of</w:t>
            </w:r>
          </w:p>
        </w:tc>
        <w:tc>
          <w:tcPr>
            <w:tcW w:w="108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5120" w:type="dxa"/>
            <w:vAlign w:val="bottom"/>
            <w:vMerge w:val="continue"/>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spacing w:after="0"/>
              <w:rPr>
                <w:sz w:val="17"/>
                <w:szCs w:val="17"/>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consistent multi-year growth in earnings and stockholder value.</w:t>
            </w: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82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0</wp:posOffset>
            </wp:positionV>
            <wp:extent cx="4570730" cy="2418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073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spacing w:after="0" w:line="228" w:lineRule="auto"/>
        <w:rPr>
          <w:sz w:val="20"/>
          <w:szCs w:val="20"/>
          <w:color w:val="auto"/>
        </w:rPr>
      </w:pPr>
      <w:r>
        <w:rPr>
          <w:rFonts w:ascii="Arial" w:cs="Arial" w:eastAsia="Arial" w:hAnsi="Arial"/>
          <w:sz w:val="18"/>
          <w:szCs w:val="18"/>
          <w:i w:val="1"/>
          <w:iCs w:val="1"/>
          <w:color w:val="auto"/>
        </w:rPr>
        <w:t xml:space="preserve">Competitive Posture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attract and retain the best executives for key management positions, we target our compensation plans to approximate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competitive marketplace. The Committee believes that this competitive positioning is appropriate in order for us to attract and retain the caliber of executives required to maintain exceptional operational and financial results over time.</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It is important to note, however, that the majority of pay opportunities for our top executives are incentive-based and that actual realizable compensation is heavily dependent upon actual Company results. Failure to achieve targeted results may result in realized compensation being below the 75th percentile, and perhaps below the market median. On the other hand, our incentive compensation programs provide opportunities for compensation to exceed the 75th percentile if specified objectives are achieved at targeted levels or higher. The Committee believes that actual realizable compensation for our top executives is well aligned with our performance.</w:t>
      </w:r>
    </w:p>
    <w:p>
      <w:pPr>
        <w:spacing w:after="0" w:line="130"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i w:val="1"/>
          <w:iCs w:val="1"/>
          <w:color w:val="auto"/>
        </w:rPr>
        <w:t xml:space="preserve">Pay Mix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reviews the mix of base salary, cash bonus and long-term incentives annually. The Committee does not target a fixed percentage</w:t>
      </w:r>
      <w:r>
        <w:rPr>
          <w:rFonts w:ascii="Arial" w:cs="Arial" w:eastAsia="Arial" w:hAnsi="Arial"/>
          <w:sz w:val="17"/>
          <w:szCs w:val="17"/>
          <w:i w:val="1"/>
          <w:iCs w:val="1"/>
          <w:color w:val="auto"/>
        </w:rPr>
        <w:t xml:space="preserve"> </w:t>
      </w:r>
      <w:r>
        <w:rPr>
          <w:rFonts w:ascii="Arial" w:cs="Arial" w:eastAsia="Arial" w:hAnsi="Arial"/>
          <w:sz w:val="17"/>
          <w:szCs w:val="17"/>
          <w:color w:val="auto"/>
        </w:rPr>
        <w:t>allocation among the compensation elements, but rather aims to provide the majority of executive officer compensation opportunities in the form of incentive compensation. The charts below show the mix of target compensation opportunities for our Named Executive Officers in fiscal 2014.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17145</wp:posOffset>
            </wp:positionV>
            <wp:extent cx="5866130" cy="2538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613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light of the significant changes among our senior management team during the last quarter of fiscal 2014, the Committee is reevaluating the appropriate mix for fiscal 2015 and beyond, including a particular emphasis on performance-based long-term incentive compensation with challenging strategic and stock price performance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(except with respect to our executive officers), but retains responsibility for ensuring that the plan administration is consistent with the Company's policies.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equity-based compensation plans and long-term cash incentive plans for all other employees.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fiscal 2014, the Committee retained Pearl Meyer &amp; Partners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attends meetings of the Committee, as requested, and communicates with the Chair of the Committee between meetings; however, the Committee makes all decisions regarding the compensation of the Company's senior executives.</w:t>
      </w:r>
    </w:p>
    <w:p>
      <w:pPr>
        <w:spacing w:after="0" w:line="1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Pearl Meyer provides various executive compensation services to the Committee with respect to the executive officers pursuant to a written consulting agreement with the Committee. The services Pearl Meyer provides under the agreement include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Committee regularly reviews the services provided by its outside consultants and believes that Pearl Meyer is independent in providing executive compensation consulting services. In making this determination, the Committee noted that during fiscal 2014:</w:t>
      </w:r>
    </w:p>
    <w:p>
      <w:pPr>
        <w:spacing w:after="0" w:line="116" w:lineRule="exact"/>
        <w:rPr>
          <w:sz w:val="20"/>
          <w:szCs w:val="20"/>
          <w:color w:val="auto"/>
        </w:rPr>
      </w:pPr>
    </w:p>
    <w:p>
      <w:pPr>
        <w:ind w:left="660" w:right="200" w:hanging="328"/>
        <w:spacing w:after="0" w:line="28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Pearl Meyer did not provide any services to the Company or management other than services requested by or with the approval of the Committee, and its services were limited to executive compensation consulting. Specifically, Pearl Meyer does not provide, directly or indirectly through affiliates, any non-executive compensation services, including pension consulting or human resource outsourcing.</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we paid to Pearl Meyer were less than 1% of Pearl Meyer's total revenue.</w:t>
      </w:r>
    </w:p>
    <w:p>
      <w:pPr>
        <w:spacing w:after="0" w:line="171"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Pearl Meyer maintains a conflicts policy, which was provided to the Committee, with specific policies and procedures designed to ensure independence.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None of the Pearl Meyer consultants working for the Company, or Pearl Meyer, had any business or personal relationship with Committee members.</w:t>
      </w:r>
    </w:p>
    <w:p>
      <w:pPr>
        <w:spacing w:after="0" w:line="194"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Pearl Meyer consultants working for the Company, or Pearl Meyer, had any business or personal relationship with any executive officer of the Company.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Pearl Meyer consultants working on Company matters directly own Company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continues to monitor the independence of its compensation consultant on a periodic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Committee also receives data regarding compensation trends, issues and recommendations from management. One member of management, Mr. Given, is a member of the Committee (see "Composition of the Compensation Committee" above) and participates in Committee discussions, deliberations and decisions (except for those matters that require approval solely of independent directors, in which case the decisions are made by a subcommittee of the Committee consisting of Mr. Lagos and Mr. Roberts).</w:t>
      </w:r>
    </w:p>
    <w:p>
      <w:pPr>
        <w:spacing w:after="0" w:line="13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Other members of management, including our Executive Chairman, Chief Executive Officer, Senior Vice President of Human Resources and our General Counsel,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Peer Group Data</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their deliberations in order to ensure that the pay opportunities offered to our executives are appropriate in light of our performance relative to our peers. In fiscal 2014, the Committee asked Pearl Meyer to conduct a competitive compensation review for our executive officers, including our Named Executive Officers. Data in the Pearl Meyer study were collected from several sources, including published compensation surveys and peer company proxy statements.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Competitive pay data for our Named Executive Officers was collected from SEC filings for a peer group of 16 publicly traded companies. The peer group, which was approved by the Committee in consultation with management and Pearl Meyer, includes companies that are direct competitors within our industry, have similar business models to our company or have comparable key executive roles.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125"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Compensation Peer Group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Peer Company</w:t>
            </w:r>
          </w:p>
        </w:tc>
        <w:tc>
          <w:tcPr>
            <w:tcW w:w="27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Stock Symbol</w:t>
            </w:r>
          </w:p>
        </w:tc>
        <w:tc>
          <w:tcPr>
            <w:tcW w:w="33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Primary Business</w:t>
            </w: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Car Mart</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CRMT</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Auto Retail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Cardtronics Inc.</w:t>
            </w:r>
          </w:p>
        </w:tc>
        <w:tc>
          <w:tcPr>
            <w:tcW w:w="2700" w:type="dxa"/>
            <w:vAlign w:val="bottom"/>
          </w:tcPr>
          <w:p>
            <w:pPr>
              <w:ind w:left="1520"/>
              <w:spacing w:after="0"/>
              <w:rPr>
                <w:sz w:val="20"/>
                <w:szCs w:val="20"/>
                <w:color w:val="auto"/>
              </w:rPr>
            </w:pPr>
            <w:r>
              <w:rPr>
                <w:rFonts w:ascii="Arial" w:cs="Arial" w:eastAsia="Arial" w:hAnsi="Arial"/>
                <w:sz w:val="18"/>
                <w:szCs w:val="18"/>
                <w:color w:val="auto"/>
              </w:rPr>
              <w:t>CATM</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Specialty Finance</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America</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CSH</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Pawn &amp; Payday Lending</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Coinstar Inc.</w:t>
            </w:r>
          </w:p>
        </w:tc>
        <w:tc>
          <w:tcPr>
            <w:tcW w:w="2700" w:type="dxa"/>
            <w:vAlign w:val="bottom"/>
          </w:tcPr>
          <w:p>
            <w:pPr>
              <w:ind w:left="1520"/>
              <w:spacing w:after="0"/>
              <w:rPr>
                <w:sz w:val="20"/>
                <w:szCs w:val="20"/>
                <w:color w:val="auto"/>
              </w:rPr>
            </w:pPr>
            <w:r>
              <w:rPr>
                <w:rFonts w:ascii="Arial" w:cs="Arial" w:eastAsia="Arial" w:hAnsi="Arial"/>
                <w:sz w:val="18"/>
                <w:szCs w:val="18"/>
                <w:color w:val="auto"/>
              </w:rPr>
              <w:t>CSTR</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Specialty Finance</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Acceptance</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CACC</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Consumer Finance</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DFC Global</w:t>
            </w:r>
          </w:p>
        </w:tc>
        <w:tc>
          <w:tcPr>
            <w:tcW w:w="2700" w:type="dxa"/>
            <w:vAlign w:val="bottom"/>
          </w:tcPr>
          <w:p>
            <w:pPr>
              <w:ind w:left="1520"/>
              <w:spacing w:after="0"/>
              <w:rPr>
                <w:sz w:val="20"/>
                <w:szCs w:val="20"/>
                <w:color w:val="auto"/>
              </w:rPr>
            </w:pPr>
            <w:r>
              <w:rPr>
                <w:rFonts w:ascii="Arial" w:cs="Arial" w:eastAsia="Arial" w:hAnsi="Arial"/>
                <w:sz w:val="18"/>
                <w:szCs w:val="18"/>
                <w:color w:val="auto"/>
              </w:rPr>
              <w:t>DLLR</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Payday Lending</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Cash Financial</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FCFS</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Pawn &amp; Payday Lending</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Green Dot Corp.</w:t>
            </w:r>
          </w:p>
        </w:tc>
        <w:tc>
          <w:tcPr>
            <w:tcW w:w="2700" w:type="dxa"/>
            <w:vAlign w:val="bottom"/>
          </w:tcPr>
          <w:p>
            <w:pPr>
              <w:ind w:left="1520"/>
              <w:spacing w:after="0"/>
              <w:rPr>
                <w:sz w:val="20"/>
                <w:szCs w:val="20"/>
                <w:color w:val="auto"/>
              </w:rPr>
            </w:pPr>
            <w:r>
              <w:rPr>
                <w:rFonts w:ascii="Arial" w:cs="Arial" w:eastAsia="Arial" w:hAnsi="Arial"/>
                <w:sz w:val="18"/>
                <w:szCs w:val="18"/>
                <w:color w:val="auto"/>
              </w:rPr>
              <w:t>GDOT</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Debit Cards</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 Acceptance</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WRLD</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Small Loans</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Aaron's Inc.</w:t>
            </w:r>
          </w:p>
        </w:tc>
        <w:tc>
          <w:tcPr>
            <w:tcW w:w="2700" w:type="dxa"/>
            <w:vAlign w:val="bottom"/>
          </w:tcPr>
          <w:p>
            <w:pPr>
              <w:ind w:left="1520"/>
              <w:spacing w:after="0"/>
              <w:rPr>
                <w:sz w:val="20"/>
                <w:szCs w:val="20"/>
                <w:color w:val="auto"/>
              </w:rPr>
            </w:pPr>
            <w:r>
              <w:rPr>
                <w:rFonts w:ascii="Arial" w:cs="Arial" w:eastAsia="Arial" w:hAnsi="Arial"/>
                <w:sz w:val="18"/>
                <w:szCs w:val="18"/>
                <w:color w:val="auto"/>
              </w:rPr>
              <w:t>AAN</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Retail</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Jos. A. Bank</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JOSB</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Retail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Netspend</w:t>
            </w:r>
          </w:p>
        </w:tc>
        <w:tc>
          <w:tcPr>
            <w:tcW w:w="2700" w:type="dxa"/>
            <w:vAlign w:val="bottom"/>
          </w:tcPr>
          <w:p>
            <w:pPr>
              <w:ind w:left="1520"/>
              <w:spacing w:after="0"/>
              <w:rPr>
                <w:sz w:val="20"/>
                <w:szCs w:val="20"/>
                <w:color w:val="auto"/>
              </w:rPr>
            </w:pPr>
            <w:r>
              <w:rPr>
                <w:rFonts w:ascii="Arial" w:cs="Arial" w:eastAsia="Arial" w:hAnsi="Arial"/>
                <w:sz w:val="18"/>
                <w:szCs w:val="18"/>
                <w:color w:val="auto"/>
              </w:rPr>
              <w:t>NTSP</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Debit Cards</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PriceSmart Inc.</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PSMT</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Retail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Rent-a-Center</w:t>
            </w:r>
          </w:p>
        </w:tc>
        <w:tc>
          <w:tcPr>
            <w:tcW w:w="2700" w:type="dxa"/>
            <w:vAlign w:val="bottom"/>
          </w:tcPr>
          <w:p>
            <w:pPr>
              <w:ind w:left="1520"/>
              <w:spacing w:after="0"/>
              <w:rPr>
                <w:sz w:val="20"/>
                <w:szCs w:val="20"/>
                <w:color w:val="auto"/>
              </w:rPr>
            </w:pPr>
            <w:r>
              <w:rPr>
                <w:rFonts w:ascii="Arial" w:cs="Arial" w:eastAsia="Arial" w:hAnsi="Arial"/>
                <w:sz w:val="18"/>
                <w:szCs w:val="18"/>
                <w:color w:val="auto"/>
              </w:rPr>
              <w:t>RCII</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Retail</w:t>
            </w:r>
          </w:p>
        </w:tc>
      </w:tr>
      <w:tr>
        <w:trPr>
          <w:trHeight w:val="27"/>
        </w:trPr>
        <w:tc>
          <w:tcPr>
            <w:tcW w:w="2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Ulta Salon</w:t>
            </w:r>
          </w:p>
        </w:tc>
        <w:tc>
          <w:tcPr>
            <w:tcW w:w="27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ULTA</w:t>
            </w:r>
          </w:p>
        </w:tc>
        <w:tc>
          <w:tcPr>
            <w:tcW w:w="24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Retail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WEX Inc.</w:t>
            </w:r>
          </w:p>
        </w:tc>
        <w:tc>
          <w:tcPr>
            <w:tcW w:w="2700" w:type="dxa"/>
            <w:vAlign w:val="bottom"/>
          </w:tcPr>
          <w:p>
            <w:pPr>
              <w:ind w:left="1520"/>
              <w:spacing w:after="0"/>
              <w:rPr>
                <w:sz w:val="20"/>
                <w:szCs w:val="20"/>
                <w:color w:val="auto"/>
              </w:rPr>
            </w:pPr>
            <w:r>
              <w:rPr>
                <w:rFonts w:ascii="Arial" w:cs="Arial" w:eastAsia="Arial" w:hAnsi="Arial"/>
                <w:sz w:val="18"/>
                <w:szCs w:val="18"/>
                <w:color w:val="auto"/>
              </w:rPr>
              <w:t>WEX</w:t>
            </w:r>
          </w:p>
        </w:tc>
        <w:tc>
          <w:tcPr>
            <w:tcW w:w="2440" w:type="dxa"/>
            <w:vAlign w:val="bottom"/>
          </w:tcPr>
          <w:p>
            <w:pPr>
              <w:spacing w:after="0"/>
              <w:rPr>
                <w:sz w:val="21"/>
                <w:szCs w:val="21"/>
                <w:color w:val="auto"/>
              </w:rPr>
            </w:pPr>
          </w:p>
        </w:tc>
        <w:tc>
          <w:tcPr>
            <w:tcW w:w="3300" w:type="dxa"/>
            <w:vAlign w:val="bottom"/>
          </w:tcPr>
          <w:p>
            <w:pPr>
              <w:ind w:left="940"/>
              <w:spacing w:after="0"/>
              <w:rPr>
                <w:sz w:val="20"/>
                <w:szCs w:val="20"/>
                <w:color w:val="auto"/>
              </w:rPr>
            </w:pPr>
            <w:r>
              <w:rPr>
                <w:rFonts w:ascii="Arial" w:cs="Arial" w:eastAsia="Arial" w:hAnsi="Arial"/>
                <w:sz w:val="18"/>
                <w:szCs w:val="18"/>
                <w:color w:val="auto"/>
              </w:rPr>
              <w:t>Payment Card Solutions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Survey Data</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supplement peer group data, Pearl Meyer also provided compensation statistics from a review of published compensation surveys. Survey data reflected compensation rates across a broad group of general industry companies with revenues of around $1 billion. Using a robust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Competitive Posture</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noted above, the Committee generally targets total compensation at the 75th percentile for our executive officers as a group. However, it does not consider that philosophy to be a prescription for each individual executive officer. Various factors affect the relationship between target total direct compensation for each individual executive and our targeted market reference point, including specific retention concerns, tenure, internal equity, year-over-year volatility of market data, the comparability of available market benchmarks and the difference in the strategic value of a position among the companies in our peer group. No single position in the survey data or within our peer group fully captures the breadth of the responsibilities of certain of our executive officers.</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Based on Pearl Meyer's fiscal 2014 competitive review, target total direct compensation opportunities for fiscal 2014 fell at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percentile for our Named Executive Officers and at the 61st percentile for all of our executive officers as a group. As previously stated, the actual total compensation of our executive officers is heavily dependent upon actual performance. During fiscal 2014, the Company's financial and operating performance fell short of the goals specified by the Board, and as a result, no annual incentive bonuses were paid during fiscal 2014.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Competitive Posture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experienced significant changes in our senior management team in the last quarter of fiscal 2014, not all of which are reflected in our current Named Executive Officer group. Mr. Brinkley, Mr. Rothamel and Mr. Guest are no longer with the Company; Mr. Kuchenrither was promoted to President and Chief Executive Officer; and Stuart I. Grimshaw was named Executive Chairman (effective November 1, 2014), Mr. Given was named Executive Vice Chairman and Eric Fosse was named President, Pawn and Cash Converters Americas.</w:t>
      </w:r>
    </w:p>
    <w:p>
      <w:pPr>
        <w:spacing w:after="0" w:line="133" w:lineRule="exact"/>
        <w:rPr>
          <w:sz w:val="20"/>
          <w:szCs w:val="20"/>
          <w:color w:val="auto"/>
        </w:rPr>
      </w:pPr>
    </w:p>
    <w:p>
      <w:pPr>
        <w:jc w:val="both"/>
        <w:ind w:right="160"/>
        <w:spacing w:after="0" w:line="262" w:lineRule="auto"/>
        <w:rPr>
          <w:sz w:val="20"/>
          <w:szCs w:val="20"/>
          <w:color w:val="auto"/>
        </w:rPr>
      </w:pPr>
      <w:r>
        <w:rPr>
          <w:rFonts w:ascii="Arial" w:cs="Arial" w:eastAsia="Arial" w:hAnsi="Arial"/>
          <w:sz w:val="16"/>
          <w:szCs w:val="16"/>
          <w:color w:val="auto"/>
        </w:rPr>
        <w:t>As noted above, it is the Committee's intent to design our compensation plans to approximate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for target total direct compensation for our executive officers as a group, with a significant portion of total compensation being delivered in the form of performance-based long-term incentive awards, so that actual realized compensation will be heavily dependent upon performance and directly aligned with long-term growth in stockholder value.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 taking.</w:t>
      </w:r>
    </w:p>
    <w:p>
      <w:pPr>
        <w:spacing w:after="0" w:line="1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a strong set of internal controls that minimize the risk that financial performance can be misstated in order to achieve incentive compensation payouts. Furthermore, our executive compensation program provides a balance of short-term and long-term incentives that reward achievement of profitable, consistent and sustainable results:</w:t>
      </w:r>
    </w:p>
    <w:p>
      <w:pPr>
        <w:spacing w:after="0" w:line="127" w:lineRule="exact"/>
        <w:rPr>
          <w:sz w:val="20"/>
          <w:szCs w:val="20"/>
          <w:color w:val="auto"/>
        </w:rPr>
      </w:pPr>
    </w:p>
    <w:p>
      <w:pPr>
        <w:ind w:left="660" w:right="1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net income, EBITDA and/or business unit operating contribution);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Meaningful equity incentive opportunities that provide an incentive to deliver sustained long-term growth in shareholder value and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and Performance Alignment</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Committee's consultant, Pearl Meyer, reviewed the relationship between total compensation for our Named Executive Officers and our performance against our compensation peer group for fiscal 2014. Company performance was defined as a blend of total shareholder return (“TSR”) and growth in EBITDA.</w:t>
      </w:r>
    </w:p>
    <w:p>
      <w:pPr>
        <w:spacing w:after="0" w:line="168" w:lineRule="exact"/>
        <w:rPr>
          <w:sz w:val="20"/>
          <w:szCs w:val="20"/>
          <w:color w:val="auto"/>
        </w:rPr>
      </w:pPr>
    </w:p>
    <w:p>
      <w:pPr>
        <w:ind w:right="80"/>
        <w:spacing w:after="0" w:line="371" w:lineRule="auto"/>
        <w:rPr>
          <w:sz w:val="20"/>
          <w:szCs w:val="20"/>
          <w:color w:val="auto"/>
        </w:rPr>
      </w:pPr>
      <w:r>
        <w:rPr>
          <w:rFonts w:ascii="Arial" w:cs="Arial" w:eastAsia="Arial" w:hAnsi="Arial"/>
          <w:sz w:val="18"/>
          <w:szCs w:val="18"/>
          <w:color w:val="auto"/>
        </w:rPr>
        <w:t>Compensation for our Named Executive Officers was measured in terms of the following components of realizable pay, as compared to realizable pay for the most highly compensated executives at each of the peer companies:</w:t>
      </w:r>
    </w:p>
    <w:p>
      <w:pPr>
        <w:spacing w:after="0" w:line="67" w:lineRule="exact"/>
        <w:rPr>
          <w:sz w:val="20"/>
          <w:szCs w:val="20"/>
          <w:color w:val="auto"/>
        </w:rPr>
      </w:pPr>
    </w:p>
    <w:p>
      <w:pPr>
        <w:ind w:left="40"/>
        <w:spacing w:after="0"/>
        <w:tabs>
          <w:tab w:leader="none" w:pos="5480" w:val="left"/>
          <w:tab w:leader="none" w:pos="9980" w:val="left"/>
        </w:tabs>
        <w:rPr>
          <w:sz w:val="20"/>
          <w:szCs w:val="20"/>
          <w:color w:val="auto"/>
        </w:rPr>
      </w:pPr>
      <w:r>
        <w:rPr>
          <w:rFonts w:ascii="Arial" w:cs="Arial" w:eastAsia="Arial" w:hAnsi="Arial"/>
          <w:sz w:val="14"/>
          <w:szCs w:val="14"/>
          <w:b w:val="1"/>
          <w:bCs w:val="1"/>
          <w:color w:val="auto"/>
        </w:rPr>
        <w:t>Components of Pay</w:t>
      </w:r>
      <w:r>
        <w:rPr>
          <w:sz w:val="20"/>
          <w:szCs w:val="20"/>
          <w:color w:val="auto"/>
        </w:rPr>
        <w:tab/>
      </w:r>
      <w:r>
        <w:rPr>
          <w:rFonts w:ascii="Arial" w:cs="Arial" w:eastAsia="Arial" w:hAnsi="Arial"/>
          <w:sz w:val="14"/>
          <w:szCs w:val="14"/>
          <w:b w:val="1"/>
          <w:bCs w:val="1"/>
          <w:color w:val="auto"/>
        </w:rPr>
        <w:t>Portion Included in Realizable Pay</w:t>
      </w:r>
      <w:r>
        <w:rPr>
          <w:sz w:val="20"/>
          <w:szCs w:val="20"/>
          <w:color w:val="auto"/>
        </w:rPr>
        <w:tab/>
      </w:r>
      <w:r>
        <w:rPr>
          <w:rFonts w:ascii="Arial" w:cs="Arial" w:eastAsia="Arial" w:hAnsi="Arial"/>
          <w:sz w:val="13"/>
          <w:szCs w:val="13"/>
          <w:b w:val="1"/>
          <w:bCs w:val="1"/>
          <w:color w:val="auto"/>
        </w:rPr>
        <w:t>Provided by EZCORP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Salary</w:t>
      </w:r>
      <w:r>
        <w:rPr>
          <w:sz w:val="20"/>
          <w:szCs w:val="20"/>
          <w:color w:val="auto"/>
        </w:rPr>
        <w:tab/>
      </w:r>
      <w:r>
        <w:rPr>
          <w:rFonts w:ascii="Arial" w:cs="Arial" w:eastAsia="Arial" w:hAnsi="Arial"/>
          <w:sz w:val="18"/>
          <w:szCs w:val="18"/>
          <w:color w:val="auto"/>
        </w:rPr>
        <w:t>• Salary paid over the period</w:t>
      </w:r>
    </w:p>
    <w:p>
      <w:pPr>
        <w:spacing w:after="0" w:line="144"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Annual Incentive</w:t>
      </w:r>
      <w:r>
        <w:rPr>
          <w:sz w:val="20"/>
          <w:szCs w:val="20"/>
          <w:color w:val="auto"/>
        </w:rPr>
        <w:tab/>
      </w:r>
      <w:r>
        <w:rPr>
          <w:rFonts w:ascii="Arial" w:cs="Arial" w:eastAsia="Arial" w:hAnsi="Arial"/>
          <w:sz w:val="16"/>
          <w:szCs w:val="16"/>
          <w:color w:val="auto"/>
        </w:rPr>
        <w:t>• Annual bonus earned for performance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24"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Stock Options</w:t>
      </w:r>
      <w:r>
        <w:rPr>
          <w:sz w:val="20"/>
          <w:szCs w:val="20"/>
          <w:color w:val="auto"/>
        </w:rPr>
        <w:tab/>
      </w:r>
      <w:r>
        <w:rPr>
          <w:rFonts w:ascii="Arial" w:cs="Arial" w:eastAsia="Arial" w:hAnsi="Arial"/>
          <w:sz w:val="16"/>
          <w:szCs w:val="16"/>
          <w:color w:val="auto"/>
        </w:rPr>
        <w:t>• In-the-money value of all options granted during period, valued at the end of most recent</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fiscal year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ü</w:t>
      </w:r>
    </w:p>
    <w:p>
      <w:pPr>
        <w:spacing w:after="0" w:line="598" w:lineRule="exact"/>
        <w:rPr>
          <w:sz w:val="20"/>
          <w:szCs w:val="20"/>
          <w:color w:val="auto"/>
        </w:rPr>
      </w:pPr>
    </w:p>
    <w:p>
      <w:pPr>
        <w:sectPr>
          <w:pgSz w:w="11900" w:h="16838" w:orient="portrait"/>
          <w:cols w:equalWidth="0" w:num="2">
            <w:col w:w="9900" w:space="720"/>
            <w:col w:w="8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58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7580" w:type="dxa"/>
            <w:vAlign w:val="bottom"/>
          </w:tcPr>
          <w:p>
            <w:pPr>
              <w:ind w:left="660"/>
              <w:spacing w:after="0"/>
              <w:rPr>
                <w:sz w:val="20"/>
                <w:szCs w:val="20"/>
                <w:color w:val="auto"/>
              </w:rPr>
            </w:pPr>
            <w:r>
              <w:rPr>
                <w:rFonts w:ascii="Arial" w:cs="Arial" w:eastAsia="Arial" w:hAnsi="Arial"/>
                <w:sz w:val="18"/>
                <w:szCs w:val="18"/>
                <w:color w:val="auto"/>
                <w:w w:val="98"/>
              </w:rPr>
              <w:t>• Face value of all restricted shares granted during period, valued at the end of the most</w:t>
            </w:r>
          </w:p>
        </w:tc>
        <w:tc>
          <w:tcPr>
            <w:tcW w:w="126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p>
        </w:tc>
        <w:tc>
          <w:tcPr>
            <w:tcW w:w="7580" w:type="dxa"/>
            <w:vAlign w:val="bottom"/>
          </w:tcPr>
          <w:p>
            <w:pPr>
              <w:ind w:left="820"/>
              <w:spacing w:after="0"/>
              <w:rPr>
                <w:sz w:val="20"/>
                <w:szCs w:val="20"/>
                <w:color w:val="auto"/>
              </w:rPr>
            </w:pPr>
            <w:r>
              <w:rPr>
                <w:rFonts w:ascii="Arial" w:cs="Arial" w:eastAsia="Arial" w:hAnsi="Arial"/>
                <w:sz w:val="18"/>
                <w:szCs w:val="18"/>
                <w:color w:val="auto"/>
              </w:rPr>
              <w:t>recent fiscal year</w:t>
            </w:r>
          </w:p>
        </w:tc>
        <w:tc>
          <w:tcPr>
            <w:tcW w:w="126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cash</w:t>
            </w:r>
          </w:p>
        </w:tc>
        <w:tc>
          <w:tcPr>
            <w:tcW w:w="7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 Cash payout earned based upon performance within the period</w:t>
            </w:r>
          </w:p>
        </w:tc>
        <w:tc>
          <w:tcPr>
            <w:tcW w:w="1260" w:type="dxa"/>
            <w:vAlign w:val="bottom"/>
            <w:tcBorders>
              <w:bottom w:val="single" w:sz="8" w:color="CCEEFF"/>
            </w:tcBorders>
            <w:shd w:val="clear" w:color="auto" w:fill="CCEEFF"/>
          </w:tcPr>
          <w:p>
            <w:pPr>
              <w:spacing w:after="0"/>
              <w:rPr>
                <w:sz w:val="21"/>
                <w:szCs w:val="21"/>
                <w:color w:val="auto"/>
              </w:rPr>
            </w:pPr>
          </w:p>
        </w:tc>
      </w:tr>
      <w:tr>
        <w:trPr>
          <w:trHeight w:val="245"/>
        </w:trPr>
        <w:tc>
          <w:tcPr>
            <w:tcW w:w="2580" w:type="dxa"/>
            <w:vAlign w:val="bottom"/>
          </w:tcPr>
          <w:p>
            <w:pPr>
              <w:ind w:left="40"/>
              <w:spacing w:after="0"/>
              <w:rPr>
                <w:sz w:val="20"/>
                <w:szCs w:val="20"/>
                <w:color w:val="auto"/>
              </w:rPr>
            </w:pPr>
            <w:r>
              <w:rPr>
                <w:rFonts w:ascii="Arial" w:cs="Arial" w:eastAsia="Arial" w:hAnsi="Arial"/>
                <w:sz w:val="18"/>
                <w:szCs w:val="18"/>
                <w:color w:val="auto"/>
              </w:rPr>
              <w:t>Performance-based equity</w:t>
            </w:r>
          </w:p>
        </w:tc>
        <w:tc>
          <w:tcPr>
            <w:tcW w:w="7580" w:type="dxa"/>
            <w:vAlign w:val="bottom"/>
          </w:tcPr>
          <w:p>
            <w:pPr>
              <w:ind w:left="660"/>
              <w:spacing w:after="0"/>
              <w:rPr>
                <w:sz w:val="20"/>
                <w:szCs w:val="20"/>
                <w:color w:val="auto"/>
              </w:rPr>
            </w:pPr>
            <w:r>
              <w:rPr>
                <w:rFonts w:ascii="Arial" w:cs="Arial" w:eastAsia="Arial" w:hAnsi="Arial"/>
                <w:sz w:val="18"/>
                <w:szCs w:val="18"/>
                <w:color w:val="auto"/>
                <w:w w:val="95"/>
              </w:rPr>
              <w:t>• Performance shares earned based on performance within the period, valued at the end of</w:t>
            </w:r>
          </w:p>
        </w:tc>
        <w:tc>
          <w:tcPr>
            <w:tcW w:w="1260" w:type="dxa"/>
            <w:vAlign w:val="bottom"/>
          </w:tcPr>
          <w:p>
            <w:pPr>
              <w:ind w:left="460"/>
              <w:spacing w:after="0" w:line="245" w:lineRule="exact"/>
              <w:rPr>
                <w:sz w:val="20"/>
                <w:szCs w:val="20"/>
                <w:color w:val="auto"/>
              </w:rPr>
            </w:pPr>
            <w:r>
              <w:rPr>
                <w:rFonts w:ascii="Arial" w:cs="Arial" w:eastAsia="Arial" w:hAnsi="Arial"/>
                <w:sz w:val="25"/>
                <w:szCs w:val="25"/>
                <w:color w:val="auto"/>
              </w:rPr>
              <w:t>ü</w:t>
            </w:r>
          </w:p>
        </w:tc>
      </w:tr>
      <w:tr>
        <w:trPr>
          <w:trHeight w:val="230"/>
        </w:trPr>
        <w:tc>
          <w:tcPr>
            <w:tcW w:w="2580" w:type="dxa"/>
            <w:vAlign w:val="bottom"/>
          </w:tcPr>
          <w:p>
            <w:pPr>
              <w:spacing w:after="0"/>
              <w:rPr>
                <w:sz w:val="20"/>
                <w:szCs w:val="20"/>
                <w:color w:val="auto"/>
              </w:rPr>
            </w:pPr>
          </w:p>
        </w:tc>
        <w:tc>
          <w:tcPr>
            <w:tcW w:w="7580" w:type="dxa"/>
            <w:vAlign w:val="bottom"/>
          </w:tcPr>
          <w:p>
            <w:pPr>
              <w:ind w:left="820"/>
              <w:spacing w:after="0"/>
              <w:rPr>
                <w:sz w:val="20"/>
                <w:szCs w:val="20"/>
                <w:color w:val="auto"/>
              </w:rPr>
            </w:pPr>
            <w:r>
              <w:rPr>
                <w:rFonts w:ascii="Arial" w:cs="Arial" w:eastAsia="Arial" w:hAnsi="Arial"/>
                <w:sz w:val="18"/>
                <w:szCs w:val="18"/>
                <w:color w:val="auto"/>
              </w:rPr>
              <w:t>the most recent fiscal year</w:t>
            </w:r>
          </w:p>
        </w:tc>
        <w:tc>
          <w:tcPr>
            <w:tcW w:w="1260" w:type="dxa"/>
            <w:vAlign w:val="bottom"/>
          </w:tcPr>
          <w:p>
            <w:pPr>
              <w:spacing w:after="0"/>
              <w:rPr>
                <w:sz w:val="20"/>
                <w:szCs w:val="20"/>
                <w:color w:val="auto"/>
              </w:rPr>
            </w:pPr>
          </w:p>
        </w:tc>
      </w:tr>
      <w:tr>
        <w:trPr>
          <w:trHeight w:val="470"/>
        </w:trPr>
        <w:tc>
          <w:tcPr>
            <w:tcW w:w="2580" w:type="dxa"/>
            <w:vAlign w:val="bottom"/>
          </w:tcPr>
          <w:p>
            <w:pPr>
              <w:spacing w:after="0"/>
              <w:rPr>
                <w:sz w:val="24"/>
                <w:szCs w:val="24"/>
                <w:color w:val="auto"/>
              </w:rPr>
            </w:pPr>
          </w:p>
        </w:tc>
        <w:tc>
          <w:tcPr>
            <w:tcW w:w="7580" w:type="dxa"/>
            <w:vAlign w:val="bottom"/>
          </w:tcPr>
          <w:p>
            <w:pPr>
              <w:ind w:left="3000"/>
              <w:spacing w:after="0"/>
              <w:rPr>
                <w:sz w:val="20"/>
                <w:szCs w:val="20"/>
                <w:color w:val="auto"/>
              </w:rPr>
            </w:pPr>
            <w:r>
              <w:rPr>
                <w:rFonts w:ascii="Arial" w:cs="Arial" w:eastAsia="Arial" w:hAnsi="Arial"/>
                <w:sz w:val="18"/>
                <w:szCs w:val="18"/>
                <w:color w:val="auto"/>
              </w:rPr>
              <w:t>139</w:t>
            </w: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The results of Pearl Meyer's analysis are shown in the chart below, revealing that our average percentile ranking for performance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was substantially aligned with our ranking for realizable pay over the period (19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41275</wp:posOffset>
            </wp:positionV>
            <wp:extent cx="5866130" cy="425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6130"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primary objective with respect to the base salary levels of our executive officers is to provide sufficient fixed cash income to retain and attract these experienced and valuable executives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the tenure of the officers, economic conditions and the base salaries of the officers relative to one another.</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125" w:right="4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1, 2013, our Named Executive Officers received the salary increases indicated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Calendar 2013</w:t>
            </w:r>
          </w:p>
        </w:tc>
        <w:tc>
          <w:tcPr>
            <w:tcW w:w="220" w:type="dxa"/>
            <w:vAlign w:val="bottom"/>
          </w:tcPr>
          <w:p>
            <w:pPr>
              <w:spacing w:after="0"/>
              <w:rPr>
                <w:sz w:val="16"/>
                <w:szCs w:val="16"/>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6"/>
        </w:trPr>
        <w:tc>
          <w:tcPr>
            <w:tcW w:w="28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4040" w:type="dxa"/>
            <w:vAlign w:val="bottom"/>
          </w:tcPr>
          <w:p>
            <w:pPr>
              <w:ind w:left="2200"/>
              <w:spacing w:after="0"/>
              <w:rPr>
                <w:sz w:val="20"/>
                <w:szCs w:val="20"/>
                <w:color w:val="auto"/>
              </w:rPr>
            </w:pPr>
            <w:r>
              <w:rPr>
                <w:rFonts w:ascii="Arial" w:cs="Arial" w:eastAsia="Arial" w:hAnsi="Arial"/>
                <w:sz w:val="14"/>
                <w:szCs w:val="14"/>
                <w:b w:val="1"/>
                <w:bCs w:val="1"/>
                <w:color w:val="auto"/>
              </w:rPr>
              <w:t>Position</w:t>
            </w:r>
          </w:p>
        </w:tc>
        <w:tc>
          <w:tcPr>
            <w:tcW w:w="24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Base Salary</w:t>
            </w:r>
          </w:p>
        </w:tc>
        <w:tc>
          <w:tcPr>
            <w:tcW w:w="220" w:type="dxa"/>
            <w:vAlign w:val="bottom"/>
          </w:tcPr>
          <w:p>
            <w:pPr>
              <w:spacing w:after="0"/>
              <w:rPr>
                <w:sz w:val="24"/>
                <w:szCs w:val="2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24"/>
                <w:szCs w:val="24"/>
                <w:color w:val="auto"/>
              </w:rPr>
            </w:pPr>
          </w:p>
        </w:tc>
        <w:tc>
          <w:tcPr>
            <w:tcW w:w="1560" w:type="dxa"/>
            <w:vAlign w:val="bottom"/>
          </w:tcPr>
          <w:p>
            <w:pPr>
              <w:jc w:val="right"/>
              <w:ind w:right="434"/>
              <w:spacing w:after="0"/>
              <w:rPr>
                <w:sz w:val="20"/>
                <w:szCs w:val="20"/>
                <w:color w:val="auto"/>
              </w:rPr>
            </w:pPr>
            <w:r>
              <w:rPr>
                <w:rFonts w:ascii="Arial" w:cs="Arial" w:eastAsia="Arial" w:hAnsi="Arial"/>
                <w:sz w:val="14"/>
                <w:szCs w:val="14"/>
                <w:b w:val="1"/>
                <w:bCs w:val="1"/>
                <w:color w:val="auto"/>
              </w:rPr>
              <w:t>Increase</w:t>
            </w:r>
          </w:p>
        </w:tc>
      </w:tr>
      <w:tr>
        <w:trPr>
          <w:trHeight w:val="228"/>
        </w:trPr>
        <w:tc>
          <w:tcPr>
            <w:tcW w:w="2820" w:type="dxa"/>
            <w:vAlign w:val="bottom"/>
            <w:tcBorders>
              <w:top w:val="single" w:sz="8" w:color="auto"/>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5"/>
              </w:rPr>
              <w:t>President and Chief Executive Officer and</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E. Kuchenrither (a)</w:t>
            </w:r>
          </w:p>
        </w:tc>
        <w:tc>
          <w:tcPr>
            <w:tcW w:w="4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Chief Financial Officer</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spacing w:after="0"/>
              <w:rPr>
                <w:sz w:val="19"/>
                <w:szCs w:val="19"/>
                <w:color w:val="auto"/>
              </w:rPr>
            </w:pPr>
          </w:p>
        </w:tc>
        <w:tc>
          <w:tcPr>
            <w:tcW w:w="4040" w:type="dxa"/>
            <w:vAlign w:val="bottom"/>
          </w:tcPr>
          <w:p>
            <w:pPr>
              <w:ind w:left="840"/>
              <w:spacing w:after="0"/>
              <w:rPr>
                <w:sz w:val="20"/>
                <w:szCs w:val="20"/>
                <w:color w:val="auto"/>
              </w:rPr>
            </w:pPr>
            <w:r>
              <w:rPr>
                <w:rFonts w:ascii="Arial" w:cs="Arial" w:eastAsia="Arial" w:hAnsi="Arial"/>
                <w:sz w:val="18"/>
                <w:szCs w:val="18"/>
                <w:color w:val="auto"/>
              </w:rPr>
              <w:t>Former President and Chief Executive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rPr>
              <w:t>Paul E. Rothamel (b)</w:t>
            </w:r>
          </w:p>
        </w:tc>
        <w:tc>
          <w:tcPr>
            <w:tcW w:w="4040" w:type="dxa"/>
            <w:vAlign w:val="bottom"/>
          </w:tcPr>
          <w:p>
            <w:pPr>
              <w:ind w:left="840"/>
              <w:spacing w:after="0"/>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Lachlan P. Given (c)</w:t>
            </w:r>
          </w:p>
        </w:tc>
        <w:tc>
          <w:tcPr>
            <w:tcW w:w="4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Executive Vice Chairman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Thomas H. Welch, Jr.</w:t>
            </w:r>
          </w:p>
        </w:tc>
        <w:tc>
          <w:tcPr>
            <w:tcW w:w="4040" w:type="dxa"/>
            <w:vAlign w:val="bottom"/>
          </w:tcPr>
          <w:p>
            <w:pPr>
              <w:ind w:left="840"/>
              <w:spacing w:after="0"/>
              <w:rPr>
                <w:sz w:val="20"/>
                <w:szCs w:val="20"/>
                <w:color w:val="auto"/>
              </w:rPr>
            </w:pPr>
            <w:r>
              <w:rPr>
                <w:rFonts w:ascii="Arial" w:cs="Arial" w:eastAsia="Arial" w:hAnsi="Arial"/>
                <w:sz w:val="18"/>
                <w:szCs w:val="18"/>
                <w:color w:val="auto"/>
                <w:w w:val="91"/>
              </w:rPr>
              <w:t>Senior Vice President and General Counsel</w:t>
            </w:r>
          </w:p>
        </w:tc>
        <w:tc>
          <w:tcPr>
            <w:tcW w:w="2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375,000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Jodie E. B. Maccarrone (d)</w:t>
            </w:r>
          </w:p>
        </w:tc>
        <w:tc>
          <w:tcPr>
            <w:tcW w:w="4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President, Global Financial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Sterling B. Brinkley (e)</w:t>
            </w:r>
          </w:p>
        </w:tc>
        <w:tc>
          <w:tcPr>
            <w:tcW w:w="4040" w:type="dxa"/>
            <w:vAlign w:val="bottom"/>
          </w:tcPr>
          <w:p>
            <w:pPr>
              <w:ind w:left="840"/>
              <w:spacing w:after="0"/>
              <w:rPr>
                <w:sz w:val="20"/>
                <w:szCs w:val="20"/>
                <w:color w:val="auto"/>
              </w:rPr>
            </w:pPr>
            <w:r>
              <w:rPr>
                <w:rFonts w:ascii="Arial" w:cs="Arial" w:eastAsia="Arial" w:hAnsi="Arial"/>
                <w:sz w:val="18"/>
                <w:szCs w:val="18"/>
                <w:color w:val="auto"/>
              </w:rPr>
              <w:t>Former Executive Chairman</w:t>
            </w:r>
          </w:p>
        </w:tc>
        <w:tc>
          <w:tcPr>
            <w:tcW w:w="2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Barry Guest (f)</w:t>
            </w:r>
          </w:p>
        </w:tc>
        <w:tc>
          <w:tcPr>
            <w:tcW w:w="40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Former President, U.S. Pawn &amp; Retail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Average</w:t>
            </w:r>
          </w:p>
        </w:tc>
        <w:tc>
          <w:tcPr>
            <w:tcW w:w="40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527,143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635,000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62"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Kuchenrither was promoted to President and Chief Executive officer in August 2014.</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Rothamel left the Company effective July 18, 2014 and is no longer an executive officer.</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Given became an executive officer effective August 12, 2014. The amount shown represents Mr. Given's annualized base salary as of that date.</w:t>
      </w:r>
    </w:p>
    <w:p>
      <w:pPr>
        <w:spacing w:after="0" w:line="55" w:lineRule="exact"/>
        <w:rPr>
          <w:rFonts w:ascii="Arial" w:cs="Arial" w:eastAsia="Arial" w:hAnsi="Arial"/>
          <w:sz w:val="14"/>
          <w:szCs w:val="14"/>
          <w:color w:val="auto"/>
        </w:rPr>
      </w:pPr>
    </w:p>
    <w:p>
      <w:pPr>
        <w:ind w:right="100" w:firstLine="8"/>
        <w:spacing w:after="0" w:line="273" w:lineRule="auto"/>
        <w:tabs>
          <w:tab w:leader="none" w:pos="312" w:val="left"/>
        </w:tabs>
        <w:numPr>
          <w:ilvl w:val="0"/>
          <w:numId w:val="61"/>
        </w:numPr>
        <w:rPr>
          <w:rFonts w:ascii="Arial" w:cs="Arial" w:eastAsia="Arial" w:hAnsi="Arial"/>
          <w:sz w:val="14"/>
          <w:szCs w:val="14"/>
          <w:color w:val="auto"/>
        </w:rPr>
      </w:pPr>
      <w:r>
        <w:rPr>
          <w:rFonts w:ascii="Arial" w:cs="Arial" w:eastAsia="Arial" w:hAnsi="Arial"/>
          <w:sz w:val="14"/>
          <w:szCs w:val="14"/>
          <w:color w:val="auto"/>
        </w:rPr>
        <w:t>Ms. Maccarrone did not become an executive officer until July 23, 2014 when she was promoted to President, Global Financial Services. In connection with that promotion, Ms. Maccarrone's base salary was increased to $400,000.</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Brinkley left the Company effective June 30, 2014 and is no longer an executive officer.</w:t>
      </w:r>
    </w:p>
    <w:p>
      <w:pPr>
        <w:spacing w:after="0" w:line="55" w:lineRule="exact"/>
        <w:rPr>
          <w:rFonts w:ascii="Arial" w:cs="Arial" w:eastAsia="Arial" w:hAnsi="Arial"/>
          <w:sz w:val="14"/>
          <w:szCs w:val="14"/>
          <w:color w:val="auto"/>
        </w:rPr>
      </w:pPr>
    </w:p>
    <w:p>
      <w:pPr>
        <w:ind w:right="140" w:firstLine="8"/>
        <w:spacing w:after="0" w:line="273" w:lineRule="auto"/>
        <w:tabs>
          <w:tab w:leader="none" w:pos="288" w:val="left"/>
        </w:tabs>
        <w:numPr>
          <w:ilvl w:val="0"/>
          <w:numId w:val="61"/>
        </w:numPr>
        <w:rPr>
          <w:rFonts w:ascii="Arial" w:cs="Arial" w:eastAsia="Arial" w:hAnsi="Arial"/>
          <w:sz w:val="14"/>
          <w:szCs w:val="14"/>
          <w:color w:val="auto"/>
        </w:rPr>
      </w:pPr>
      <w:r>
        <w:rPr>
          <w:rFonts w:ascii="Arial" w:cs="Arial" w:eastAsia="Arial" w:hAnsi="Arial"/>
          <w:sz w:val="14"/>
          <w:szCs w:val="14"/>
          <w:color w:val="auto"/>
        </w:rPr>
        <w:t>Mr. Guest's base salary was increased to $460,000 in April 2014, reflecting additional responsibilities. Mr. Guest left the Company effective September 12, 2014 and is no longer an executive officer.</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Committee has approved the following base salaries for fiscal 2015 for each of the continuing Named Executive Officers (effective October 1, 2014, unless otherwise noted):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4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Fiscal 2015 Base Salary</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Mr. Given (a)</w:t>
            </w:r>
          </w:p>
        </w:tc>
        <w:tc>
          <w:tcPr>
            <w:tcW w:w="41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600,000</w:t>
            </w:r>
          </w:p>
        </w:tc>
      </w:tr>
      <w:tr>
        <w:trPr>
          <w:trHeight w:val="27"/>
        </w:trPr>
        <w:tc>
          <w:tcPr>
            <w:tcW w:w="5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410,000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Ms. Maccarrone (b)</w:t>
            </w:r>
          </w:p>
        </w:tc>
        <w:tc>
          <w:tcPr>
            <w:tcW w:w="41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400,000</w:t>
            </w:r>
          </w:p>
        </w:tc>
      </w:tr>
    </w:tbl>
    <w:p>
      <w:pPr>
        <w:spacing w:after="0" w:line="116"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Given's base salary as shown was effective August 12, 2014 upon his becoming an executive officer.</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Ms. Maccarrone's base salary as shown was effective in July 2014 upon her promotion to President, Global Financial Services.</w:t>
      </w:r>
    </w:p>
    <w:p>
      <w:pPr>
        <w:spacing w:after="0" w:line="3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 discussion of the fiscal 2015 compensation arrangements for the Company's new executive officers, see "Compensation for New Executive Officers"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executive officers, as well as other key employees, are eligible to participate in our annual Incentive Compensation Plan.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 The plan is administered by the Committee, which has the authority to:</w:t>
      </w:r>
    </w:p>
    <w:p>
      <w:pPr>
        <w:spacing w:after="0" w:line="13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Designate eligible participants for each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annual performance goals and incentive opportunities under the plan; and</w:t>
      </w:r>
    </w:p>
    <w:p>
      <w:pPr>
        <w:spacing w:after="0" w:line="171"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Adjust, approve or decline to pay the incentive bonus for each participant (subject to the restriction that the Committee does not have the power to increase, or make adjustments that would have the effect of increasing, the incentive bonus otherwise payable to any executive officer).</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Committee has the right to delegate to the Chief Executive Officer its authority and responsibilities with respect to the incentive bonuses payable to employees other than executive officers.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 fiscal 2014, the incentive bonus for each senior executive was a function of a designated target amount (stated as a percentage of base salary), a business performance modifier ranging from 0% to 150% based on the achievement of specified levels of consolidated net income and/or business unit contribution, and an individual performance modifier ranging from 0% to 100%.</w:t>
      </w:r>
    </w:p>
    <w:p>
      <w:pPr>
        <w:spacing w:after="0" w:line="12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For the Named Executive Officers, the Compensation Committee established the following incentive bonus targets (stated as a percentage of base salary) for fiscal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880" w:type="dxa"/>
            <w:vAlign w:val="bottom"/>
          </w:tcPr>
          <w:p>
            <w:pPr>
              <w:jc w:val="center"/>
              <w:ind w:left="994"/>
              <w:spacing w:after="0"/>
              <w:rPr>
                <w:sz w:val="20"/>
                <w:szCs w:val="20"/>
                <w:color w:val="auto"/>
              </w:rPr>
            </w:pPr>
            <w:r>
              <w:rPr>
                <w:rFonts w:ascii="Arial" w:cs="Arial" w:eastAsia="Arial" w:hAnsi="Arial"/>
                <w:sz w:val="14"/>
                <w:szCs w:val="14"/>
                <w:b w:val="1"/>
                <w:bCs w:val="1"/>
                <w:color w:val="auto"/>
                <w:w w:val="94"/>
              </w:rPr>
              <w:t>FY 2014 Target Amount</w:t>
            </w:r>
          </w:p>
        </w:tc>
        <w:tc>
          <w:tcPr>
            <w:tcW w:w="5720" w:type="dxa"/>
            <w:vAlign w:val="bottom"/>
          </w:tcPr>
          <w:p>
            <w:pPr>
              <w:spacing w:after="0"/>
              <w:rPr>
                <w:sz w:val="16"/>
                <w:szCs w:val="16"/>
                <w:color w:val="auto"/>
              </w:rPr>
            </w:pPr>
          </w:p>
        </w:tc>
      </w:tr>
      <w:tr>
        <w:trPr>
          <w:trHeight w:val="209"/>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80" w:type="dxa"/>
            <w:vAlign w:val="bottom"/>
            <w:tcBorders>
              <w:bottom w:val="single" w:sz="8" w:color="auto"/>
            </w:tcBorders>
          </w:tcPr>
          <w:p>
            <w:pPr>
              <w:jc w:val="center"/>
              <w:ind w:left="994"/>
              <w:spacing w:after="0"/>
              <w:rPr>
                <w:sz w:val="20"/>
                <w:szCs w:val="20"/>
                <w:color w:val="auto"/>
              </w:rPr>
            </w:pPr>
            <w:r>
              <w:rPr>
                <w:rFonts w:ascii="Arial" w:cs="Arial" w:eastAsia="Arial" w:hAnsi="Arial"/>
                <w:sz w:val="14"/>
                <w:szCs w:val="14"/>
                <w:b w:val="1"/>
                <w:bCs w:val="1"/>
                <w:color w:val="auto"/>
                <w:w w:val="93"/>
              </w:rPr>
              <w:t>(as a % of base salary)</w:t>
            </w:r>
          </w:p>
        </w:tc>
        <w:tc>
          <w:tcPr>
            <w:tcW w:w="57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Business Performance Modifier Based On</w:t>
            </w: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2880" w:type="dxa"/>
            <w:vAlign w:val="bottom"/>
            <w:tcBorders>
              <w:bottom w:val="single" w:sz="8" w:color="CCEEFF"/>
            </w:tcBorders>
            <w:shd w:val="clear" w:color="auto" w:fill="CCEEFF"/>
          </w:tcPr>
          <w:p>
            <w:pPr>
              <w:jc w:val="center"/>
              <w:ind w:left="994"/>
              <w:spacing w:after="0"/>
              <w:rPr>
                <w:sz w:val="20"/>
                <w:szCs w:val="20"/>
                <w:color w:val="auto"/>
              </w:rPr>
            </w:pPr>
            <w:r>
              <w:rPr>
                <w:rFonts w:ascii="Arial" w:cs="Arial" w:eastAsia="Arial" w:hAnsi="Arial"/>
                <w:sz w:val="18"/>
                <w:szCs w:val="18"/>
                <w:color w:val="auto"/>
                <w:w w:val="88"/>
              </w:rPr>
              <w:t>75%</w:t>
            </w: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net income attributable to EZCORP, Inc.</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Mr. Rothamel</w:t>
            </w:r>
          </w:p>
        </w:tc>
        <w:tc>
          <w:tcPr>
            <w:tcW w:w="2880" w:type="dxa"/>
            <w:vAlign w:val="bottom"/>
          </w:tcPr>
          <w:p>
            <w:pPr>
              <w:jc w:val="center"/>
              <w:ind w:left="1014"/>
              <w:spacing w:after="0"/>
              <w:rPr>
                <w:sz w:val="20"/>
                <w:szCs w:val="20"/>
                <w:color w:val="auto"/>
              </w:rPr>
            </w:pPr>
            <w:r>
              <w:rPr>
                <w:rFonts w:ascii="Arial" w:cs="Arial" w:eastAsia="Arial" w:hAnsi="Arial"/>
                <w:sz w:val="18"/>
                <w:szCs w:val="18"/>
                <w:color w:val="auto"/>
                <w:w w:val="91"/>
              </w:rPr>
              <w:t>200%</w:t>
            </w:r>
          </w:p>
        </w:tc>
        <w:tc>
          <w:tcPr>
            <w:tcW w:w="5720" w:type="dxa"/>
            <w:vAlign w:val="bottom"/>
          </w:tcPr>
          <w:p>
            <w:pPr>
              <w:ind w:left="160"/>
              <w:spacing w:after="0"/>
              <w:rPr>
                <w:sz w:val="20"/>
                <w:szCs w:val="20"/>
                <w:color w:val="auto"/>
              </w:rPr>
            </w:pPr>
            <w:r>
              <w:rPr>
                <w:rFonts w:ascii="Arial" w:cs="Arial" w:eastAsia="Arial" w:hAnsi="Arial"/>
                <w:sz w:val="18"/>
                <w:szCs w:val="18"/>
                <w:color w:val="auto"/>
                <w:w w:val="92"/>
              </w:rPr>
              <w:t>90% Consolidated net income attributable to EZCORP, Inc. 10% Combined</w:t>
            </w:r>
          </w:p>
        </w:tc>
      </w:tr>
      <w:tr>
        <w:trPr>
          <w:trHeight w:val="230"/>
        </w:trPr>
        <w:tc>
          <w:tcPr>
            <w:tcW w:w="28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contribution from online lending units</w:t>
            </w:r>
          </w:p>
        </w:tc>
      </w:tr>
      <w:tr>
        <w:trPr>
          <w:trHeight w:val="27"/>
        </w:trPr>
        <w:tc>
          <w:tcPr>
            <w:tcW w:w="28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(a)</w:t>
            </w:r>
          </w:p>
        </w:tc>
        <w:tc>
          <w:tcPr>
            <w:tcW w:w="2880" w:type="dxa"/>
            <w:vAlign w:val="bottom"/>
            <w:tcBorders>
              <w:bottom w:val="single" w:sz="8" w:color="CCEEFF"/>
            </w:tcBorders>
            <w:shd w:val="clear" w:color="auto" w:fill="CCEEFF"/>
          </w:tcPr>
          <w:p>
            <w:pPr>
              <w:jc w:val="center"/>
              <w:ind w:left="994"/>
              <w:spacing w:after="0"/>
              <w:rPr>
                <w:sz w:val="20"/>
                <w:szCs w:val="20"/>
                <w:color w:val="auto"/>
              </w:rPr>
            </w:pPr>
            <w:r>
              <w:rPr>
                <w:rFonts w:ascii="Arial" w:cs="Arial" w:eastAsia="Arial" w:hAnsi="Arial"/>
                <w:sz w:val="18"/>
                <w:szCs w:val="18"/>
                <w:color w:val="auto"/>
              </w:rPr>
              <w:t>N/A</w:t>
            </w: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N/A</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Mr. Welch</w:t>
            </w:r>
          </w:p>
        </w:tc>
        <w:tc>
          <w:tcPr>
            <w:tcW w:w="2880" w:type="dxa"/>
            <w:vAlign w:val="bottom"/>
          </w:tcPr>
          <w:p>
            <w:pPr>
              <w:jc w:val="center"/>
              <w:ind w:left="994"/>
              <w:spacing w:after="0"/>
              <w:rPr>
                <w:sz w:val="20"/>
                <w:szCs w:val="20"/>
                <w:color w:val="auto"/>
              </w:rPr>
            </w:pPr>
            <w:r>
              <w:rPr>
                <w:rFonts w:ascii="Arial" w:cs="Arial" w:eastAsia="Arial" w:hAnsi="Arial"/>
                <w:sz w:val="18"/>
                <w:szCs w:val="18"/>
                <w:color w:val="auto"/>
                <w:w w:val="88"/>
              </w:rPr>
              <w:t>60%</w:t>
            </w:r>
          </w:p>
        </w:tc>
        <w:tc>
          <w:tcPr>
            <w:tcW w:w="5720" w:type="dxa"/>
            <w:vAlign w:val="bottom"/>
          </w:tcPr>
          <w:p>
            <w:pPr>
              <w:ind w:left="160"/>
              <w:spacing w:after="0"/>
              <w:rPr>
                <w:sz w:val="20"/>
                <w:szCs w:val="20"/>
                <w:color w:val="auto"/>
              </w:rPr>
            </w:pPr>
            <w:r>
              <w:rPr>
                <w:rFonts w:ascii="Arial" w:cs="Arial" w:eastAsia="Arial" w:hAnsi="Arial"/>
                <w:sz w:val="18"/>
                <w:szCs w:val="18"/>
                <w:color w:val="auto"/>
              </w:rPr>
              <w:t>Consolidated net income attributable to EZCORP, Inc.</w:t>
            </w:r>
          </w:p>
        </w:tc>
      </w:tr>
      <w:tr>
        <w:trPr>
          <w:trHeight w:val="27"/>
        </w:trPr>
        <w:tc>
          <w:tcPr>
            <w:tcW w:w="28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2880" w:type="dxa"/>
            <w:vAlign w:val="bottom"/>
            <w:tcBorders>
              <w:bottom w:val="single" w:sz="8" w:color="CCEEFF"/>
            </w:tcBorders>
            <w:shd w:val="clear" w:color="auto" w:fill="CCEEFF"/>
          </w:tcPr>
          <w:p>
            <w:pPr>
              <w:jc w:val="center"/>
              <w:ind w:left="994"/>
              <w:spacing w:after="0"/>
              <w:rPr>
                <w:sz w:val="20"/>
                <w:szCs w:val="20"/>
                <w:color w:val="auto"/>
              </w:rPr>
            </w:pPr>
            <w:r>
              <w:rPr>
                <w:rFonts w:ascii="Arial" w:cs="Arial" w:eastAsia="Arial" w:hAnsi="Arial"/>
                <w:sz w:val="18"/>
                <w:szCs w:val="18"/>
                <w:color w:val="auto"/>
                <w:w w:val="88"/>
              </w:rPr>
              <w:t>60%</w:t>
            </w: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net income attributable to EZCORP, Inc.</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Mr. Brinkley</w:t>
            </w:r>
          </w:p>
        </w:tc>
        <w:tc>
          <w:tcPr>
            <w:tcW w:w="2880" w:type="dxa"/>
            <w:vAlign w:val="bottom"/>
          </w:tcPr>
          <w:p>
            <w:pPr>
              <w:jc w:val="center"/>
              <w:ind w:left="1014"/>
              <w:spacing w:after="0"/>
              <w:rPr>
                <w:sz w:val="20"/>
                <w:szCs w:val="20"/>
                <w:color w:val="auto"/>
              </w:rPr>
            </w:pPr>
            <w:r>
              <w:rPr>
                <w:rFonts w:ascii="Arial" w:cs="Arial" w:eastAsia="Arial" w:hAnsi="Arial"/>
                <w:sz w:val="18"/>
                <w:szCs w:val="18"/>
                <w:color w:val="auto"/>
                <w:w w:val="91"/>
              </w:rPr>
              <w:t>100%</w:t>
            </w:r>
          </w:p>
        </w:tc>
        <w:tc>
          <w:tcPr>
            <w:tcW w:w="5720" w:type="dxa"/>
            <w:vAlign w:val="bottom"/>
          </w:tcPr>
          <w:p>
            <w:pPr>
              <w:ind w:left="160"/>
              <w:spacing w:after="0"/>
              <w:rPr>
                <w:sz w:val="20"/>
                <w:szCs w:val="20"/>
                <w:color w:val="auto"/>
              </w:rPr>
            </w:pPr>
            <w:r>
              <w:rPr>
                <w:rFonts w:ascii="Arial" w:cs="Arial" w:eastAsia="Arial" w:hAnsi="Arial"/>
                <w:sz w:val="18"/>
                <w:szCs w:val="18"/>
                <w:color w:val="auto"/>
              </w:rPr>
              <w:t>Consolidated net income attributable to EZCORP, Inc.</w:t>
            </w:r>
          </w:p>
        </w:tc>
      </w:tr>
      <w:tr>
        <w:trPr>
          <w:trHeight w:val="27"/>
        </w:trPr>
        <w:tc>
          <w:tcPr>
            <w:tcW w:w="28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72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w:t>
            </w:r>
          </w:p>
        </w:tc>
        <w:tc>
          <w:tcPr>
            <w:tcW w:w="2880" w:type="dxa"/>
            <w:vAlign w:val="bottom"/>
            <w:shd w:val="clear" w:color="auto" w:fill="CCEEFF"/>
          </w:tcPr>
          <w:p>
            <w:pPr>
              <w:jc w:val="center"/>
              <w:ind w:left="994"/>
              <w:spacing w:after="0"/>
              <w:rPr>
                <w:sz w:val="20"/>
                <w:szCs w:val="20"/>
                <w:color w:val="auto"/>
              </w:rPr>
            </w:pPr>
            <w:r>
              <w:rPr>
                <w:rFonts w:ascii="Arial" w:cs="Arial" w:eastAsia="Arial" w:hAnsi="Arial"/>
                <w:sz w:val="18"/>
                <w:szCs w:val="18"/>
                <w:color w:val="auto"/>
                <w:w w:val="88"/>
              </w:rPr>
              <w:t>60%</w:t>
            </w: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25% Consolidated net income attributable to EZCORP, Inc. 65% U.S. Pawn</w:t>
            </w:r>
          </w:p>
        </w:tc>
      </w:tr>
      <w:tr>
        <w:trPr>
          <w:trHeight w:val="230"/>
        </w:trPr>
        <w:tc>
          <w:tcPr>
            <w:tcW w:w="28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&amp; Retail contribution 15% Cash Converters North America contribution</w:t>
            </w:r>
          </w:p>
        </w:tc>
      </w:tr>
      <w:tr>
        <w:trPr>
          <w:trHeight w:val="27"/>
        </w:trPr>
        <w:tc>
          <w:tcPr>
            <w:tcW w:w="28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500" w:hanging="478"/>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Given became executive officer in August 2014 and was not a participant in the annual incentive bonus plan for fiscal 2014.</w:t>
      </w:r>
    </w:p>
    <w:p>
      <w:pPr>
        <w:spacing w:after="0" w:line="3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2014, the Company did not achieve the business performance goals as established by the Committee at the consolidated level, and therefore, no annual incentive bonuses were paid under the fiscal 2014 Incentive Bonus Plan based on consolidated net income achievement. However, the business unit level performance goal was met for the U.S. Pawn business and, therefore, bonuses were paid to participants with U.S. Pawn performance targets. None of the executive officers received any incentive bonus for fiscal 2014.</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November 2014, the Committee approved the incentive bonus plan for fiscal 2015. In fiscal 2015, the incentive bonus for each participant will be a function of a designated target amount (stated as a percentage of base salary) and a business performance modifier ranging from 0% to 150% based on the achievement of specified levels of consolidated net income. Whether a participant is awarded the full payout will depend on the evaluation of such participant’s individual performance against specified key performance indicators for each participant.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fiscal 2015 incentive bonus targets for the Named Executive Officers (stated as a percentage of base salary)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5800" w:type="dxa"/>
            <w:vAlign w:val="bottom"/>
            <w:tcBorders>
              <w:bottom w:val="single" w:sz="8" w:color="auto"/>
            </w:tcBorders>
          </w:tcPr>
          <w:p>
            <w:pPr>
              <w:ind w:left="4020"/>
              <w:spacing w:after="0"/>
              <w:rPr>
                <w:sz w:val="20"/>
                <w:szCs w:val="20"/>
                <w:color w:val="auto"/>
              </w:rPr>
            </w:pPr>
            <w:r>
              <w:rPr>
                <w:rFonts w:ascii="Arial" w:cs="Arial" w:eastAsia="Arial" w:hAnsi="Arial"/>
                <w:sz w:val="14"/>
                <w:szCs w:val="14"/>
                <w:b w:val="1"/>
                <w:bCs w:val="1"/>
                <w:color w:val="auto"/>
              </w:rPr>
              <w:t>FY 2015 Target Amount</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5800" w:type="dxa"/>
            <w:vAlign w:val="bottom"/>
            <w:tcBorders>
              <w:bottom w:val="single" w:sz="8" w:color="CCEEFF"/>
            </w:tcBorders>
            <w:shd w:val="clear" w:color="auto" w:fill="CCEEFF"/>
          </w:tcPr>
          <w:p>
            <w:pPr>
              <w:jc w:val="center"/>
              <w:ind w:left="3654"/>
              <w:spacing w:after="0"/>
              <w:rPr>
                <w:sz w:val="20"/>
                <w:szCs w:val="20"/>
                <w:color w:val="auto"/>
              </w:rPr>
            </w:pPr>
            <w:r>
              <w:rPr>
                <w:rFonts w:ascii="Arial" w:cs="Arial" w:eastAsia="Arial" w:hAnsi="Arial"/>
                <w:sz w:val="18"/>
                <w:szCs w:val="18"/>
                <w:color w:val="auto"/>
                <w:w w:val="91"/>
              </w:rPr>
              <w:t>150%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Mr. Given</w:t>
            </w:r>
          </w:p>
        </w:tc>
        <w:tc>
          <w:tcPr>
            <w:tcW w:w="5800" w:type="dxa"/>
            <w:vAlign w:val="bottom"/>
          </w:tcPr>
          <w:p>
            <w:pPr>
              <w:jc w:val="center"/>
              <w:ind w:left="3654"/>
              <w:spacing w:after="0"/>
              <w:rPr>
                <w:sz w:val="20"/>
                <w:szCs w:val="20"/>
                <w:color w:val="auto"/>
              </w:rPr>
            </w:pPr>
            <w:r>
              <w:rPr>
                <w:rFonts w:ascii="Arial" w:cs="Arial" w:eastAsia="Arial" w:hAnsi="Arial"/>
                <w:sz w:val="18"/>
                <w:szCs w:val="18"/>
                <w:color w:val="auto"/>
                <w:w w:val="91"/>
              </w:rPr>
              <w:t>150%</w:t>
            </w:r>
          </w:p>
        </w:tc>
      </w:tr>
      <w:tr>
        <w:trPr>
          <w:trHeight w:val="27"/>
        </w:trPr>
        <w:tc>
          <w:tcPr>
            <w:tcW w:w="562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5800" w:type="dxa"/>
            <w:vAlign w:val="bottom"/>
            <w:tcBorders>
              <w:bottom w:val="single" w:sz="8" w:color="CCEEFF"/>
            </w:tcBorders>
            <w:shd w:val="clear" w:color="auto" w:fill="CCEEFF"/>
          </w:tcPr>
          <w:p>
            <w:pPr>
              <w:jc w:val="center"/>
              <w:ind w:left="3654"/>
              <w:spacing w:after="0"/>
              <w:rPr>
                <w:sz w:val="20"/>
                <w:szCs w:val="20"/>
                <w:color w:val="auto"/>
              </w:rPr>
            </w:pPr>
            <w:r>
              <w:rPr>
                <w:rFonts w:ascii="Arial" w:cs="Arial" w:eastAsia="Arial" w:hAnsi="Arial"/>
                <w:sz w:val="18"/>
                <w:szCs w:val="18"/>
                <w:color w:val="auto"/>
                <w:w w:val="94"/>
              </w:rPr>
              <w:t>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5800" w:type="dxa"/>
            <w:vAlign w:val="bottom"/>
          </w:tcPr>
          <w:p>
            <w:pPr>
              <w:jc w:val="center"/>
              <w:ind w:left="3654"/>
              <w:spacing w:after="0"/>
              <w:rPr>
                <w:sz w:val="20"/>
                <w:szCs w:val="20"/>
                <w:color w:val="auto"/>
              </w:rPr>
            </w:pPr>
            <w:r>
              <w:rPr>
                <w:rFonts w:ascii="Arial" w:cs="Arial" w:eastAsia="Arial" w:hAnsi="Arial"/>
                <w:sz w:val="18"/>
                <w:szCs w:val="18"/>
                <w:color w:val="auto"/>
                <w:w w:val="91"/>
              </w:rPr>
              <w:t>100%</w:t>
            </w:r>
          </w:p>
        </w:tc>
      </w:tr>
    </w:tbl>
    <w:p>
      <w:pPr>
        <w:spacing w:after="0" w:line="229"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For a discussion of the fiscal 2015 compensation arrangements for the Company’s new executive officers, see “Compensation of New Executive Officers”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Bonuses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fiscal 2013, the Company did not achieve the specified business performance goals necessary for the payment of incentive bonuses under the fiscal 2013 annual incentive bonus plan. Nevertheless, the Committee (as it was constituted at the time) approved the payment of discretionary bonuses for fiscal 2013 to certain executives. The Committee declined to award any fiscal 2013 bonus to Mr. Brinkley, Mr. Rothamel or Mr. Kuchenrither, and the Board charged them with quickly developing a plan to address the Company’s challenges over the next several quarters. The Committee reviewed that plan in November 2013. Following that review and analysis, the Committee determined that management, led by Mr. Brinkley, Mr. Rothamel and Mr. Kuchenrither, had formulated an effective plan for fiscal 2014, and on November 22, 2013, approved the following bonuses payable for the completion of the strategic plan for fiscal 2014: Mr. Brinkley, $1,000,000; Mr. Rothamel, $1,000,000; and Mr. Kuchenrither, $350,000.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performance-vested or time-vested equity awards, is a key component in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helping to encourage long-term commitment, shareholder alignment and long-term performance orientation. The value of equity awards over time bears a direct relationship to the price of our shares and the returns experienced by our shareholders. These awards are made under the EZCORP 2010 Long-Term Incentive Plan.</w:t>
      </w:r>
    </w:p>
    <w:p>
      <w:pPr>
        <w:spacing w:after="0" w:line="13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All of our executive officers are eligible to receive equity incentive awards. Our approach to long-term incentive compensation for our executive officers for fiscal 2014 provides for equity awards that vest over multiple years based upon achievement of sustained earnings growth as measured by the compound annual growth rate in EBITDA over the performance period. The Committee believes that the value delivered to executives through long-term equity awards should reflect the value realized by all stockholders. Therefore, the grants to executive officers are subject to performance-based vesting requirements tied to measurable financial objectives, in addition to time-based vesting, which encourages retention and a long-term strategic view of creating stockholder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Eligibility and participation level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long-term incentive plan is based on the following criteria:</w:t>
      </w:r>
    </w:p>
    <w:p>
      <w:pPr>
        <w:spacing w:after="0" w:line="17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Analysis of competitive information for comparable positions;</w:t>
      </w:r>
    </w:p>
    <w:p>
      <w:pPr>
        <w:spacing w:after="0" w:line="171" w:lineRule="exact"/>
        <w:rPr>
          <w:rFonts w:ascii="Arial" w:cs="Arial" w:eastAsia="Arial" w:hAnsi="Arial"/>
          <w:sz w:val="18"/>
          <w:szCs w:val="18"/>
          <w:color w:val="auto"/>
        </w:rPr>
      </w:pPr>
    </w:p>
    <w:p>
      <w:pPr>
        <w:ind w:left="660" w:hanging="314"/>
        <w:spacing w:after="0"/>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Evaluation of the value added to the Company by hiring or retaining specific executives; and</w:t>
      </w:r>
    </w:p>
    <w:p>
      <w:pPr>
        <w:spacing w:after="0" w:line="171" w:lineRule="exact"/>
        <w:rPr>
          <w:rFonts w:ascii="Arial" w:cs="Arial" w:eastAsia="Arial" w:hAnsi="Arial"/>
          <w:sz w:val="18"/>
          <w:szCs w:val="18"/>
          <w:color w:val="auto"/>
        </w:rPr>
      </w:pPr>
    </w:p>
    <w:p>
      <w:pPr>
        <w:ind w:left="660" w:right="200" w:hanging="314"/>
        <w:spacing w:after="0" w:line="277" w:lineRule="auto"/>
        <w:tabs>
          <w:tab w:leader="none" w:pos="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executive's long-term potential contributions to the Company in terms of impacting overall performance, strategic direction, financial results and stockholder value</w:t>
      </w:r>
      <w:r>
        <w:rPr>
          <w:rFonts w:ascii="Arial" w:cs="Arial" w:eastAsia="Arial" w:hAnsi="Arial"/>
          <w:sz w:val="18"/>
          <w:szCs w:val="18"/>
          <w:i w:val="1"/>
          <w:iCs w:val="1"/>
          <w:color w:val="auto"/>
        </w:rPr>
        <w:t>.</w:t>
      </w:r>
    </w:p>
    <w:p>
      <w:pPr>
        <w:spacing w:after="0" w:line="11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Although equity awards may be made at any time as determined by the Committee, they are generally made on the first business day of our fiscal year (or as soon as practicable thereafter) or on or around the recipient's hire date (in the case of new-hire grants).</w:t>
      </w:r>
    </w:p>
    <w:p>
      <w:pPr>
        <w:spacing w:after="0" w:line="116"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Following an assessment of available market data, the need to entice top quality leaders, internal equity, anticipated impact and past awards, on February 18, 2014 the Committee approved grants of a total of 407,416 restricted stock units (“RSUs”) for 32 key employees. The RSUs vest generally over a three-year period, with one-third vesting on October 1, 2014, one-third vesting on October 1, 2015 and one-third vesting on October 1, 2016. The RSUs granted to the executive officers are subject to an additional performance-based vesting requirement based on sustained growth in EBITDA. Each RSU entitles the holder, upon vesting of the RSU, to receive one share of our Class A Non-voting Common Stock or the equivalent value in cash. The decision to settle vested RSUs in stock or cash is made by the Committee in its sole discretion. The following awards were made to the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4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Vesting Period</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Grant Date Value</w:t>
            </w: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 (a)</w:t>
            </w:r>
          </w:p>
        </w:tc>
        <w:tc>
          <w:tcPr>
            <w:tcW w:w="4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Mr. Rothamel (b)</w:t>
            </w:r>
          </w:p>
        </w:tc>
        <w:tc>
          <w:tcPr>
            <w:tcW w:w="4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(c)</w:t>
            </w:r>
          </w:p>
        </w:tc>
        <w:tc>
          <w:tcPr>
            <w:tcW w:w="4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Mr. Welch</w:t>
            </w:r>
          </w:p>
        </w:tc>
        <w:tc>
          <w:tcPr>
            <w:tcW w:w="4140" w:type="dxa"/>
            <w:vAlign w:val="bottom"/>
          </w:tcPr>
          <w:p>
            <w:pPr>
              <w:jc w:val="right"/>
              <w:ind w:right="92"/>
              <w:spacing w:after="0"/>
              <w:rPr>
                <w:sz w:val="20"/>
                <w:szCs w:val="20"/>
                <w:color w:val="auto"/>
              </w:rPr>
            </w:pPr>
            <w:r>
              <w:rPr>
                <w:rFonts w:ascii="Arial" w:cs="Arial" w:eastAsia="Arial" w:hAnsi="Arial"/>
                <w:sz w:val="18"/>
                <w:szCs w:val="18"/>
                <w:color w:val="auto"/>
              </w:rPr>
              <w:t>34,400</w:t>
            </w:r>
          </w:p>
        </w:tc>
        <w:tc>
          <w:tcPr>
            <w:tcW w:w="1260" w:type="dxa"/>
            <w:vAlign w:val="bottom"/>
          </w:tcPr>
          <w:p>
            <w:pPr>
              <w:jc w:val="right"/>
              <w:spacing w:after="0"/>
              <w:rPr>
                <w:sz w:val="20"/>
                <w:szCs w:val="20"/>
                <w:color w:val="auto"/>
              </w:rPr>
            </w:pPr>
            <w:r>
              <w:rPr>
                <w:rFonts w:ascii="Arial" w:cs="Arial" w:eastAsia="Arial" w:hAnsi="Arial"/>
                <w:sz w:val="18"/>
                <w:szCs w:val="18"/>
                <w:color w:val="auto"/>
              </w:rPr>
              <w:t>3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450,984</w:t>
            </w:r>
          </w:p>
        </w:tc>
      </w:tr>
      <w:tr>
        <w:trPr>
          <w:trHeight w:val="27"/>
        </w:trPr>
        <w:tc>
          <w:tcPr>
            <w:tcW w:w="4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4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27,500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360,525</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Mr. Brinkley (b)</w:t>
            </w:r>
          </w:p>
        </w:tc>
        <w:tc>
          <w:tcPr>
            <w:tcW w:w="4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 (d)</w:t>
            </w:r>
          </w:p>
        </w:tc>
        <w:tc>
          <w:tcPr>
            <w:tcW w:w="4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34,400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450,984</w:t>
            </w:r>
          </w:p>
        </w:tc>
      </w:tr>
      <w:tr>
        <w:trPr>
          <w:trHeight w:val="27"/>
        </w:trPr>
        <w:tc>
          <w:tcPr>
            <w:tcW w:w="438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500" w:right="360" w:hanging="478"/>
        <w:spacing w:after="0" w:line="273"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January 2013, Mr. Kuchenrither received a multi-year grant (200,000 shares vesting over six years), and therefore, the Committee did not make an annual grant to Mr. Kuchenrither during fiscal 2014.</w:t>
      </w:r>
    </w:p>
    <w:p>
      <w:pPr>
        <w:spacing w:after="0" w:line="173" w:lineRule="exact"/>
        <w:rPr>
          <w:rFonts w:ascii="Arial" w:cs="Arial" w:eastAsia="Arial" w:hAnsi="Arial"/>
          <w:sz w:val="14"/>
          <w:szCs w:val="14"/>
          <w:color w:val="auto"/>
        </w:rPr>
      </w:pPr>
    </w:p>
    <w:p>
      <w:pPr>
        <w:ind w:left="500" w:right="260" w:hanging="478"/>
        <w:spacing w:after="0" w:line="273"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October 2010, Mr. Rothamel and Mr. Brinkley each received a multi-year grant (300,000 shares vesting over six years), and therefore, the Committee did not make an annual grant to either Mr. Rothamel or Mr. Brinkley during fiscal 2014.</w:t>
      </w:r>
    </w:p>
    <w:p>
      <w:pPr>
        <w:spacing w:after="0" w:line="65" w:lineRule="exact"/>
        <w:rPr>
          <w:rFonts w:ascii="Arial" w:cs="Arial" w:eastAsia="Arial" w:hAnsi="Arial"/>
          <w:sz w:val="14"/>
          <w:szCs w:val="14"/>
          <w:color w:val="auto"/>
        </w:rPr>
      </w:pPr>
    </w:p>
    <w:p>
      <w:pPr>
        <w:ind w:left="500" w:hanging="478"/>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Given became an executive officer on August 12, 2014 and did not receive any equity award during fiscal 2014.</w:t>
      </w:r>
    </w:p>
    <w:p>
      <w:pPr>
        <w:spacing w:after="0" w:line="109" w:lineRule="exact"/>
        <w:rPr>
          <w:rFonts w:ascii="Arial" w:cs="Arial" w:eastAsia="Arial" w:hAnsi="Arial"/>
          <w:sz w:val="14"/>
          <w:szCs w:val="14"/>
          <w:color w:val="auto"/>
        </w:rPr>
      </w:pPr>
    </w:p>
    <w:p>
      <w:pPr>
        <w:ind w:left="500" w:hanging="478"/>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of these RSUs were forfeited when Mr. Guest left the Company in September 2014.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Committee (as currently constituted) has adopted a more performance-based approach for the long-term equity program for fiscal 2015. First, it has added a performance-based vesting requirement (measured by sustained growth in EBITDA) to all equity grants, not just those made to the executive officers. Second, for the executive officers, it has bifurcated the annual grant into two tranches, one of which is subject to both time- and performance-based vesting as in the past, and the other of which is subject to vesting that is tied to the achievement of specified per-share trading prices of our Class A Non-voting Common Stock. In November 2014, the Committee approved the following equity grants for the continuing Named Executive Officers: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Performance-Based Vesting</w:t>
            </w:r>
          </w:p>
        </w:tc>
        <w:tc>
          <w:tcPr>
            <w:tcW w:w="22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Stock Price-Based Vesting (a)</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4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46,800 (b)</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120,000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Mr. Given</w:t>
            </w:r>
          </w:p>
        </w:tc>
        <w:tc>
          <w:tcPr>
            <w:tcW w:w="4840" w:type="dxa"/>
            <w:vAlign w:val="bottom"/>
          </w:tcPr>
          <w:p>
            <w:pPr>
              <w:jc w:val="right"/>
              <w:ind w:right="74"/>
              <w:spacing w:after="0"/>
              <w:rPr>
                <w:sz w:val="20"/>
                <w:szCs w:val="20"/>
                <w:color w:val="auto"/>
              </w:rPr>
            </w:pPr>
            <w:r>
              <w:rPr>
                <w:rFonts w:ascii="Arial" w:cs="Arial" w:eastAsia="Arial" w:hAnsi="Arial"/>
                <w:sz w:val="18"/>
                <w:szCs w:val="18"/>
                <w:color w:val="auto"/>
              </w:rPr>
              <w:t>300,000 (c)</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120,000</w:t>
            </w:r>
          </w:p>
        </w:tc>
      </w:tr>
      <w:tr>
        <w:trPr>
          <w:trHeight w:val="27"/>
        </w:trPr>
        <w:tc>
          <w:tcPr>
            <w:tcW w:w="43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24,000 (d)</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16,000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4840" w:type="dxa"/>
            <w:vAlign w:val="bottom"/>
          </w:tcPr>
          <w:p>
            <w:pPr>
              <w:jc w:val="right"/>
              <w:ind w:right="74"/>
              <w:spacing w:after="0"/>
              <w:rPr>
                <w:sz w:val="20"/>
                <w:szCs w:val="20"/>
                <w:color w:val="auto"/>
              </w:rPr>
            </w:pPr>
            <w:r>
              <w:rPr>
                <w:rFonts w:ascii="Arial" w:cs="Arial" w:eastAsia="Arial" w:hAnsi="Arial"/>
                <w:sz w:val="18"/>
                <w:szCs w:val="18"/>
                <w:color w:val="auto"/>
              </w:rPr>
              <w:t>24,000 (d)</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16,000</w:t>
            </w:r>
          </w:p>
        </w:tc>
      </w:tr>
    </w:tbl>
    <w:p>
      <w:pPr>
        <w:spacing w:after="0" w:line="238" w:lineRule="exact"/>
        <w:rPr>
          <w:sz w:val="20"/>
          <w:szCs w:val="20"/>
          <w:color w:val="auto"/>
        </w:rPr>
      </w:pPr>
    </w:p>
    <w:p>
      <w:pPr>
        <w:jc w:val="both"/>
        <w:ind w:left="500" w:right="220" w:hanging="478"/>
        <w:spacing w:after="0" w:line="257" w:lineRule="auto"/>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shares vest over a six-year period in specified amounts if the per-share trading price of our Class A Non-voting Common Stock achieves specified levels ranging from $15 to $80. Any shares that vest during this six-year period will remain subject to a transfer restriction until the end of such six-year period, and any shares that remain unvested at the end of the six-year period because the stock price has not achieved the specified levels will be forfeited.</w:t>
      </w:r>
    </w:p>
    <w:p>
      <w:pPr>
        <w:spacing w:after="0" w:line="23" w:lineRule="exact"/>
        <w:rPr>
          <w:rFonts w:ascii="Arial" w:cs="Arial" w:eastAsia="Arial" w:hAnsi="Arial"/>
          <w:sz w:val="14"/>
          <w:szCs w:val="14"/>
          <w:color w:val="auto"/>
        </w:rPr>
      </w:pPr>
    </w:p>
    <w:p>
      <w:pPr>
        <w:ind w:left="500" w:right="540" w:hanging="478"/>
        <w:spacing w:after="0" w:line="273" w:lineRule="auto"/>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shares vest over a four-year period (one-half on September 30, 2016 and one-half on September 30, 2018) so long as, in each case, specified performance objectives based on EBITDA growth have been achieved.</w:t>
      </w:r>
    </w:p>
    <w:p>
      <w:pPr>
        <w:spacing w:after="0" w:line="11" w:lineRule="exact"/>
        <w:rPr>
          <w:rFonts w:ascii="Arial" w:cs="Arial" w:eastAsia="Arial" w:hAnsi="Arial"/>
          <w:sz w:val="14"/>
          <w:szCs w:val="14"/>
          <w:color w:val="auto"/>
        </w:rPr>
      </w:pPr>
    </w:p>
    <w:p>
      <w:pPr>
        <w:ind w:left="500" w:right="140" w:hanging="478"/>
        <w:spacing w:after="0" w:line="273" w:lineRule="auto"/>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shares vest over a six-year period (25% on September 30, 2015, 25% on September 30, 2016, 25% on September 30, 2018 and 25% on September 30, 2020) so long as, in each case specified performance objectives based on EBITDA growth have been achieved.</w:t>
      </w:r>
    </w:p>
    <w:p>
      <w:pPr>
        <w:spacing w:after="0" w:line="11" w:lineRule="exact"/>
        <w:rPr>
          <w:rFonts w:ascii="Arial" w:cs="Arial" w:eastAsia="Arial" w:hAnsi="Arial"/>
          <w:sz w:val="14"/>
          <w:szCs w:val="14"/>
          <w:color w:val="auto"/>
        </w:rPr>
      </w:pPr>
    </w:p>
    <w:p>
      <w:pPr>
        <w:ind w:left="500" w:right="340" w:hanging="478"/>
        <w:spacing w:after="0" w:line="273" w:lineRule="auto"/>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shares vest over a three-year period (one-third on September 30, 2015, one-third on September 30, 2016 and one-third on September 30, 2017) so long as, in each case, specified performance objectives based on EBITDA growth have been achieved.</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Committee believes that this new long-term compensation program structure enhances the alignment of executive interests with stockholder interests due to its focus on consistent and sustainable earnings growth (shares subject to performance-based vesting) and increase in long-term stockholder value (shares subject to stock price-based vesting).</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discussion of the fiscal 2015 compensation arrangements for the Company's new executive officers, see "Compensation of New Executive Officers"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2014, the Committee approved contributions to the SERP for each of the executive officers equal to 9% of the sum of base salary plus target annual incentive bonus. This resulted in the following contributions to the SERP for each of the Named Executive Officers: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8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Fiscal 2014 SERP Contribution</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3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141,750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Rothamel (a)</w:t>
            </w:r>
          </w:p>
        </w:tc>
        <w:tc>
          <w:tcPr>
            <w:tcW w:w="3840" w:type="dxa"/>
            <w:vAlign w:val="bottom"/>
          </w:tcPr>
          <w:p>
            <w:pPr>
              <w:spacing w:after="0"/>
              <w:rPr>
                <w:sz w:val="21"/>
                <w:szCs w:val="21"/>
                <w:color w:val="auto"/>
              </w:rPr>
            </w:pPr>
          </w:p>
        </w:tc>
        <w:tc>
          <w:tcPr>
            <w:tcW w:w="2380" w:type="dxa"/>
            <w:vAlign w:val="bottom"/>
          </w:tcPr>
          <w:p>
            <w:pPr>
              <w:jc w:val="right"/>
              <w:ind w:right="12"/>
              <w:spacing w:after="0"/>
              <w:rPr>
                <w:sz w:val="20"/>
                <w:szCs w:val="20"/>
                <w:color w:val="auto"/>
              </w:rPr>
            </w:pPr>
            <w:r>
              <w:rPr>
                <w:rFonts w:ascii="Arial" w:cs="Arial" w:eastAsia="Arial" w:hAnsi="Arial"/>
                <w:sz w:val="18"/>
                <w:szCs w:val="18"/>
                <w:color w:val="auto"/>
              </w:rPr>
              <w:t>270,000</w:t>
            </w:r>
          </w:p>
        </w:tc>
      </w:tr>
      <w:tr>
        <w:trPr>
          <w:trHeight w:val="27"/>
        </w:trPr>
        <w:tc>
          <w:tcPr>
            <w:tcW w:w="5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(b)</w:t>
            </w:r>
          </w:p>
        </w:tc>
        <w:tc>
          <w:tcPr>
            <w:tcW w:w="38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Welch</w:t>
            </w:r>
          </w:p>
        </w:tc>
        <w:tc>
          <w:tcPr>
            <w:tcW w:w="3840" w:type="dxa"/>
            <w:vAlign w:val="bottom"/>
          </w:tcPr>
          <w:p>
            <w:pPr>
              <w:spacing w:after="0"/>
              <w:rPr>
                <w:sz w:val="21"/>
                <w:szCs w:val="21"/>
                <w:color w:val="auto"/>
              </w:rPr>
            </w:pPr>
          </w:p>
        </w:tc>
        <w:tc>
          <w:tcPr>
            <w:tcW w:w="2380" w:type="dxa"/>
            <w:vAlign w:val="bottom"/>
          </w:tcPr>
          <w:p>
            <w:pPr>
              <w:jc w:val="right"/>
              <w:ind w:right="12"/>
              <w:spacing w:after="0"/>
              <w:rPr>
                <w:sz w:val="20"/>
                <w:szCs w:val="20"/>
                <w:color w:val="auto"/>
              </w:rPr>
            </w:pPr>
            <w:r>
              <w:rPr>
                <w:rFonts w:ascii="Arial" w:cs="Arial" w:eastAsia="Arial" w:hAnsi="Arial"/>
                <w:sz w:val="18"/>
                <w:szCs w:val="18"/>
                <w:color w:val="auto"/>
              </w:rPr>
              <w:t>54,000</w:t>
            </w:r>
          </w:p>
        </w:tc>
      </w:tr>
      <w:tr>
        <w:trPr>
          <w:trHeight w:val="27"/>
        </w:trPr>
        <w:tc>
          <w:tcPr>
            <w:tcW w:w="5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 (c)</w:t>
            </w:r>
          </w:p>
        </w:tc>
        <w:tc>
          <w:tcPr>
            <w:tcW w:w="38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21,760</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Mr. Brinkley</w:t>
            </w:r>
          </w:p>
        </w:tc>
        <w:tc>
          <w:tcPr>
            <w:tcW w:w="3840" w:type="dxa"/>
            <w:vAlign w:val="bottom"/>
          </w:tcPr>
          <w:p>
            <w:pPr>
              <w:spacing w:after="0"/>
              <w:rPr>
                <w:sz w:val="21"/>
                <w:szCs w:val="21"/>
                <w:color w:val="auto"/>
              </w:rPr>
            </w:pPr>
          </w:p>
        </w:tc>
        <w:tc>
          <w:tcPr>
            <w:tcW w:w="2380" w:type="dxa"/>
            <w:vAlign w:val="bottom"/>
          </w:tcPr>
          <w:p>
            <w:pPr>
              <w:jc w:val="right"/>
              <w:ind w:right="12"/>
              <w:spacing w:after="0"/>
              <w:rPr>
                <w:sz w:val="20"/>
                <w:szCs w:val="20"/>
                <w:color w:val="auto"/>
              </w:rPr>
            </w:pPr>
            <w:r>
              <w:rPr>
                <w:rFonts w:ascii="Arial" w:cs="Arial" w:eastAsia="Arial" w:hAnsi="Arial"/>
                <w:sz w:val="18"/>
                <w:szCs w:val="18"/>
                <w:color w:val="auto"/>
              </w:rPr>
              <w:t>270,000</w:t>
            </w:r>
          </w:p>
        </w:tc>
      </w:tr>
      <w:tr>
        <w:trPr>
          <w:trHeight w:val="27"/>
        </w:trPr>
        <w:tc>
          <w:tcPr>
            <w:tcW w:w="5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w:t>
            </w:r>
          </w:p>
        </w:tc>
        <w:tc>
          <w:tcPr>
            <w:tcW w:w="3840" w:type="dxa"/>
            <w:vAlign w:val="bottom"/>
            <w:shd w:val="clear" w:color="auto" w:fill="CCEEFF"/>
          </w:tcPr>
          <w:p>
            <w:pPr>
              <w:spacing w:after="0"/>
              <w:rPr>
                <w:sz w:val="21"/>
                <w:szCs w:val="21"/>
                <w:color w:val="auto"/>
              </w:rPr>
            </w:pPr>
          </w:p>
        </w:tc>
        <w:tc>
          <w:tcPr>
            <w:tcW w:w="2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61,920</w:t>
            </w:r>
          </w:p>
        </w:tc>
      </w:tr>
      <w:tr>
        <w:trPr>
          <w:trHeight w:val="27"/>
        </w:trPr>
        <w:tc>
          <w:tcPr>
            <w:tcW w:w="52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500" w:hanging="478"/>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contribution was subject to time-based vesting and was forfeited when the executive left the Company prior to vesting.</w:t>
      </w:r>
    </w:p>
    <w:p>
      <w:pPr>
        <w:spacing w:after="0" w:line="55" w:lineRule="exact"/>
        <w:rPr>
          <w:rFonts w:ascii="Arial" w:cs="Arial" w:eastAsia="Arial" w:hAnsi="Arial"/>
          <w:sz w:val="14"/>
          <w:szCs w:val="14"/>
          <w:color w:val="auto"/>
        </w:rPr>
      </w:pPr>
    </w:p>
    <w:p>
      <w:pPr>
        <w:ind w:left="500" w:hanging="478"/>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Given became an executive officer in August 2014 and, therefore, did not receive a SERP contribution for fiscal 2014.</w:t>
      </w:r>
    </w:p>
    <w:p>
      <w:pPr>
        <w:spacing w:after="0" w:line="55" w:lineRule="exact"/>
        <w:rPr>
          <w:rFonts w:ascii="Arial" w:cs="Arial" w:eastAsia="Arial" w:hAnsi="Arial"/>
          <w:sz w:val="14"/>
          <w:szCs w:val="14"/>
          <w:color w:val="auto"/>
        </w:rPr>
      </w:pPr>
    </w:p>
    <w:p>
      <w:pPr>
        <w:ind w:left="500" w:hanging="478"/>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Ms. Maccarrone was not an executive officer at the time this contribution was approved, and this amount represents 6% of the sum of base salary plus target annual incentive bonus.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2015, the Committee (as currently constituted) has approved contributions to the SERP equal to 10% of base salary only. The Committee believes that this better reflects the objective of the SERP, which is to provide replacement value for retirement benefits lost due to the 401(k) plan contribution limitations. The approved fiscal 2015 SERP contributions for each of the continuing Named Executive Officers are set forth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8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9"/>
              </w:rPr>
              <w:t>Fiscal 2015 SERP Contribution</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Mr. Given</w:t>
            </w:r>
          </w:p>
        </w:tc>
        <w:tc>
          <w:tcPr>
            <w:tcW w:w="3800" w:type="dxa"/>
            <w:vAlign w:val="bottom"/>
          </w:tcPr>
          <w:p>
            <w:pPr>
              <w:spacing w:after="0"/>
              <w:rPr>
                <w:sz w:val="21"/>
                <w:szCs w:val="21"/>
                <w:color w:val="auto"/>
              </w:rPr>
            </w:pPr>
          </w:p>
        </w:tc>
        <w:tc>
          <w:tcPr>
            <w:tcW w:w="2460" w:type="dxa"/>
            <w:vAlign w:val="bottom"/>
          </w:tcPr>
          <w:p>
            <w:pPr>
              <w:jc w:val="right"/>
              <w:ind w:right="14"/>
              <w:spacing w:after="0"/>
              <w:rPr>
                <w:sz w:val="20"/>
                <w:szCs w:val="20"/>
                <w:color w:val="auto"/>
              </w:rPr>
            </w:pPr>
            <w:r>
              <w:rPr>
                <w:rFonts w:ascii="Arial" w:cs="Arial" w:eastAsia="Arial" w:hAnsi="Arial"/>
                <w:sz w:val="18"/>
                <w:szCs w:val="18"/>
                <w:color w:val="auto"/>
              </w:rPr>
              <w:t>60,000</w:t>
            </w:r>
          </w:p>
        </w:tc>
      </w:tr>
      <w:tr>
        <w:trPr>
          <w:trHeight w:val="27"/>
        </w:trPr>
        <w:tc>
          <w:tcPr>
            <w:tcW w:w="5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38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41,000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3800" w:type="dxa"/>
            <w:vAlign w:val="bottom"/>
          </w:tcPr>
          <w:p>
            <w:pPr>
              <w:spacing w:after="0"/>
              <w:rPr>
                <w:sz w:val="21"/>
                <w:szCs w:val="21"/>
                <w:color w:val="auto"/>
              </w:rPr>
            </w:pPr>
          </w:p>
        </w:tc>
        <w:tc>
          <w:tcPr>
            <w:tcW w:w="2460" w:type="dxa"/>
            <w:vAlign w:val="bottom"/>
          </w:tcPr>
          <w:p>
            <w:pPr>
              <w:jc w:val="right"/>
              <w:ind w:right="14"/>
              <w:spacing w:after="0"/>
              <w:rPr>
                <w:sz w:val="20"/>
                <w:szCs w:val="20"/>
                <w:color w:val="auto"/>
              </w:rPr>
            </w:pPr>
            <w:r>
              <w:rPr>
                <w:rFonts w:ascii="Arial" w:cs="Arial" w:eastAsia="Arial" w:hAnsi="Arial"/>
                <w:sz w:val="18"/>
                <w:szCs w:val="18"/>
                <w:color w:val="auto"/>
              </w:rPr>
              <w:t>40,000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Named Executive Officers during fiscal 2014 is included in the “All Other Compensation” table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i w:val="1"/>
          <w:iCs w:val="1"/>
          <w:color w:val="auto"/>
        </w:rPr>
        <w:t xml:space="preserve">Employment Agreements and Severance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Paul E. Rothamel, our former President and Chief Executive Officer, had an employment agreement that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benefits (principally, a payment equal to one year of then-current base salary plus, in some cases, the prorated annual incentive bonus at target amount) in the event that Mr. Rothamel's employment was terminated under certain circumstances. This employment agreement was terminated on July 18, 2014, and the Company and Mr. Rothamel are still in discussions regarding the severance benefits payable under the agreement.</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June 2014, the Board of Directors (as it was then constituted) approved two plans that provide severance benefits to certain senior executives (including the executive officers).</w:t>
      </w:r>
    </w:p>
    <w:p>
      <w:pPr>
        <w:spacing w:after="0" w:line="116" w:lineRule="exact"/>
        <w:rPr>
          <w:sz w:val="20"/>
          <w:szCs w:val="20"/>
          <w:color w:val="auto"/>
        </w:rPr>
      </w:pPr>
    </w:p>
    <w:p>
      <w:pPr>
        <w:ind w:left="660" w:right="40" w:hanging="328"/>
        <w:spacing w:after="0" w:line="290"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approved, the EZCORP, Inc. Change in Control Severance Plan provides certain of our senior executives (including all of the executive officers at the time) with certain severance benefits if (1) the executive's employment is either terminated by the Company for any reason other than Cause (as defined in the plan), death, disability or mandatory retirement or terminated by the executive for Good Reason (as defined in the plan) and (2) such termination of employment occurs within two years after a "Change in Control" of the Company or prior to, but in connection with, a potential Change in Control. The term "Change in Control" is defined in the plan and includes not only a change in the beneficial ownership of the Company's voting stock, but also certain changes in the composition of the Board of Directors. To date, a Change in Control (as defined in the plan) has not occurred, and the only remaining executives who were original participants in the Change in Control Severance Plan (Mr. Kuchenrither, Mr. Welch and Ms. Maccarrone) have withdrawn their participation. Consequently, there are current no participants in the plan.</w:t>
      </w:r>
    </w:p>
    <w:p>
      <w:pPr>
        <w:spacing w:after="0" w:line="112"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approved, the EZCORP, Inc. Executive Severance Pay Plan provided participants with certain severance benefits in non-change in control circumstances, generally if the participant's employment was either terminated by the Company for any reason other than Cause (as defined in the plan), death, disability or mandatory retirement or terminated by the participant for Good Reason (as defined in the plan). The original participants in the plan included certain of our senior executives (including all of our executive officers at the time), and was intended to replace various severance arrangements that were otherwise reflected in offer letters and other documents. On August 25, 2014, the Board of Directors (as currently constituted) terminated the Executive Severance Pay Plan and reinstated the various severance arrangements that existed prior to the adoption of the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the company provides the following severance benefits to its executive officers:</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of our executive officers will receive salary continuation for one year if his or her employment is terminated by the Company without cause.</w:t>
      </w:r>
    </w:p>
    <w:p>
      <w:pPr>
        <w:spacing w:after="0" w:line="194"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executive officers, along with other key employees, has entered into a Protection of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Agreement, under which the executive is subject to confidentiality and non-disclosure obligations with respect to various categories of proprietary, competitively sensitive and confidential information. In addition, the executive has agreed that, for a period of one year following the termination of employment with the Company, he or she will not compete with the Company (within a defined area) and will not solicit the Company's employees or suppliers.</w:t>
      </w:r>
    </w:p>
    <w:p>
      <w:pPr>
        <w:spacing w:after="0" w:line="130"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i w:val="1"/>
          <w:iCs w:val="1"/>
          <w:color w:val="auto"/>
        </w:rPr>
        <w:t xml:space="preserve">Other Factors Affecting Compensation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establishing total compensation for the executive officers, the Committee considers the effect of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 or if otherwise appropriate under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New Executive Officers</w:t>
      </w:r>
    </w:p>
    <w:p>
      <w:pPr>
        <w:spacing w:after="0" w:line="17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Stuart I. Grimshaw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12, 2014, the Board of Directors approved the appointment of Stuart I. Grimshaw to the position of Executive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and Mr. Grimshaw officially assumed that position on November 1, 2014. At the time of the appointment, the full Board (including all the independent and non-employee directors) approved a compensation package for Mr. Grimshaw that includes the following:</w:t>
      </w:r>
    </w:p>
    <w:p>
      <w:pPr>
        <w:spacing w:after="0" w:line="12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 annual salary of $1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Sign-on bonus of $1 million.</w:t>
      </w:r>
    </w:p>
    <w:p>
      <w:pPr>
        <w:spacing w:after="0" w:line="11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"Initial" short-term incentive bonus of $600,000 payable upon completing an initial 120-day plan with performance metrics set by the Board, and an additional $460,000 per year for the first two years contingent upon the Company achieving specified performance metrics based on sustained growth in EBITDA.</w:t>
      </w:r>
    </w:p>
    <w:p>
      <w:pPr>
        <w:spacing w:after="0" w:line="73" w:lineRule="exact"/>
        <w:rPr>
          <w:rFonts w:ascii="Arial" w:cs="Arial" w:eastAsia="Arial" w:hAnsi="Arial"/>
          <w:sz w:val="18"/>
          <w:szCs w:val="18"/>
          <w:color w:val="auto"/>
        </w:rPr>
      </w:pPr>
    </w:p>
    <w:p>
      <w:pPr>
        <w:ind w:left="660" w:right="140" w:hanging="328"/>
        <w:spacing w:after="0" w:line="31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Annual short-term incentive bonus contingent upon the achievement of specified performance metrics, with a target amount of 250% of base salary in the first year and increasing by 25 percentage points per year up to 400% after six years. The annual short-term incentive bonus will be payable two-thirds in cash and one-third in the form of restricted shares of Class A Non-voting Common Stock, subject the following vesting schedule:</w:t>
      </w:r>
    </w:p>
    <w:p>
      <w:pPr>
        <w:spacing w:after="0" w:line="38" w:lineRule="exact"/>
        <w:rPr>
          <w:rFonts w:ascii="Arial" w:cs="Arial" w:eastAsia="Arial" w:hAnsi="Arial"/>
          <w:sz w:val="16"/>
          <w:szCs w:val="16"/>
          <w:color w:val="auto"/>
        </w:rPr>
      </w:pPr>
    </w:p>
    <w:p>
      <w:pPr>
        <w:ind w:left="1300" w:right="220" w:hanging="320"/>
        <w:spacing w:after="0" w:line="277" w:lineRule="auto"/>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shares received with respect to the annual short-term incentive bonus for fiscal 2015, 2016 and 2017, such shares will vest 12 months from the end of such fiscal year; and</w:t>
      </w:r>
    </w:p>
    <w:p>
      <w:pPr>
        <w:spacing w:after="0" w:line="62" w:lineRule="exact"/>
        <w:rPr>
          <w:rFonts w:ascii="Arial" w:cs="Arial" w:eastAsia="Arial" w:hAnsi="Arial"/>
          <w:sz w:val="18"/>
          <w:szCs w:val="18"/>
          <w:color w:val="auto"/>
        </w:rPr>
      </w:pPr>
    </w:p>
    <w:p>
      <w:pPr>
        <w:ind w:left="1300" w:right="40" w:hanging="320"/>
        <w:spacing w:after="0" w:line="308" w:lineRule="auto"/>
        <w:tabs>
          <w:tab w:leader="none" w:pos="13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shares received with respect to the annual short-term incentive bonus for fiscal 2018 and subsequent years, 50% of such shares will vest 12 months from the end of such fiscal year and 50% of such shares will vest 24 months from the end of such fiscal year.</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initial grant of 400,000 restricted shares of Class A Non-voting Common Stock vesting over a six-year period as follows (subject to the Company achieving specified performance metrics):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100,000 shares on October 1, 2015</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100,000 shares on October 1,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100,000 shares on October 1, 2018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100,000 shares on October 1, 2020</w:t>
      </w:r>
    </w:p>
    <w:p>
      <w:pPr>
        <w:spacing w:after="0" w:line="102"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additional grant of 600,000 restricted shares of Class A Non-voting Common Stock vesting over six years in specified amounts if the per-share trading price of the Class A Non-voting Common Stock achieves specified levels ranging from $15 to $80. Any shares that vest during this six-year period will remain subject to a transfer restriction until the end of such six-year period, and any shares that remain unvested at the end of the six-year period because the stock price has not achieved the specified levels will be forfeited.</w:t>
      </w:r>
    </w:p>
    <w:p>
      <w:pPr>
        <w:spacing w:after="0" w:line="7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benefits, to include a temporary housing allowance of up to $25,000 per month through fiscal 2015, reimbursement for tax and employment advice in connection with relocation to the U.S., reimbursement of the costs of relocation and standard executive healthcare and retirement benefits.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terms of Mr. Grimshaw's compensation package were the product of negotiation between the Company and Mr. Grimshaw, and the Board believes that these terms represent an appropriate compensation arrangement to attract and retain an executive of Mr. Grimshaw's caliber and experience. In addition, the Board believes that Mr. Grimshaw's compensation package contains an appropriate mix of performance-based compensation to (a) encourage and incent the implementation of initiatives designed to focus the Company's strategic direction and (b) align Mr. Grimshaw's total compensation with the delivery of sustainable long-term value for all stockholders.</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Eric Fosse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10, 2014, the Board of Directors approved the appointment of Eric Fosse to the position of President, Pawn and Cash Converters</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and Mr. Fosse officially assumed that position on September 15, 2014. At the time of the appointment, the full Board (including all the independent and non-employee directors) approved a compensation package for Mr. Fosse that includes the following:</w:t>
      </w:r>
    </w:p>
    <w:p>
      <w:pPr>
        <w:spacing w:after="0" w:line="126"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 annual salary of $475,000.</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 incentive bonus target amount of 100% of base salary, with payout contingent upon the achievement of specified Company, business unit and individual performance measures.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Standard executive healthcare and retirement benefits.</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For fiscal 2015, the Committee has approved a grant of 45,000 shares of restricted stock to Mr. Fosse, 27,000 of which are subject to performance-based vesting (vesting pro rata over a three-year period subject to specified performance objectives based in EBITDA growth) and 18,000 of which are subject to stock price-based vesting similar to those described above under "Components of Compensation </w:t>
      </w:r>
      <w:r>
        <w:rPr>
          <w:rFonts w:ascii="Arial" w:cs="Arial" w:eastAsia="Arial" w:hAnsi="Arial"/>
          <w:sz w:val="17"/>
          <w:szCs w:val="17"/>
          <w:b w:val="1"/>
          <w:bCs w:val="1"/>
          <w:color w:val="auto"/>
        </w:rPr>
        <w:t>—</w:t>
      </w:r>
      <w:r>
        <w:rPr>
          <w:rFonts w:ascii="Arial" w:cs="Arial" w:eastAsia="Arial" w:hAnsi="Arial"/>
          <w:sz w:val="17"/>
          <w:szCs w:val="17"/>
          <w:color w:val="auto"/>
        </w:rPr>
        <w:t xml:space="preserve"> Long-Term Incentives" above.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Board believes that the terms of Mr. Fosse's employment represent an appropriate compensation arrangement to attract and retain an executive of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Fosse's caliber and experience and contain an appropriate mix of fixed and performance-based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2014. This report is provided by the following directors, who comprised the Compensation Committee as of the end of fiscal 2014.</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Lachlan Given (Chair)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Roberts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Joseph Rotunda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Mr. Given, Chair of the Compensation Committee since September 2014, is also an executive officer of the Company, and Mr. Rotunda, a member of the Compensation Committee, is a former executive officer of, and consultant to, the Company. See “Part III — Item 10 — Directors, Executive Officers and Corporate Governance — Corporate Governance — Committees of the Board — Compensation Committee.” The other two members of the Compensation Committee (Mr. Lagos and Mr. Roberts) are not and have never been an officer of or employed by the Company and do not have any relationship that requires disclosure under Item 404 of Regulation S K, the SEC’s rules requiring disclosure of certain relationships and related party transactions.</w:t>
      </w:r>
    </w:p>
    <w:p>
      <w:pPr>
        <w:spacing w:after="0" w:line="10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Mr. Grimshaw and Mr. Given (both executive officers of the Company) serve as directors of Cash Converters International Limited, and Mr. Cumins (a director) is the Managing Director and a member of the board of directors of Cash Converters International Limited. Mr. Given was recently appointed to the Remunerations Committee of Cash Converters International Limited, but Mr. Cumins does not serve on the Company’s Compensation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table below summarizes the total compensation for fiscal 2014, 2013 and 2012 for the Named Executive Officers. See Part III —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7"/>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 (4)</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 (5)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5"/>
                <w:shd w:val="clear" w:color="auto" w:fill="CCEEFF"/>
              </w:rPr>
              <w:t>Mark Kuchenrither</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161,898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1,211,898</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President and Chief</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Executive</w:t>
            </w:r>
          </w:p>
        </w:tc>
        <w:tc>
          <w:tcPr>
            <w:tcW w:w="260" w:type="dxa"/>
            <w:vAlign w:val="bottom"/>
            <w:shd w:val="clear" w:color="auto" w:fill="CCEEFF"/>
          </w:tcPr>
          <w:p>
            <w:pPr>
              <w:spacing w:after="0"/>
              <w:rPr>
                <w:sz w:val="19"/>
                <w:szCs w:val="19"/>
                <w:color w:val="auto"/>
              </w:rPr>
            </w:pPr>
          </w:p>
        </w:tc>
        <w:tc>
          <w:tcPr>
            <w:tcW w:w="60" w:type="dxa"/>
            <w:vAlign w:val="bottom"/>
            <w:vMerge w:val="restart"/>
            <w:shd w:val="clear" w:color="auto" w:fill="CCEEFF"/>
          </w:tcPr>
          <w:p>
            <w:pPr>
              <w:spacing w:after="0"/>
              <w:rPr>
                <w:sz w:val="19"/>
                <w:szCs w:val="1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690,385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4,038,000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154,434</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4,882,819</w:t>
            </w: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2540" w:type="dxa"/>
            <w:vAlign w:val="bottom"/>
            <w:gridSpan w:val="5"/>
            <w:vMerge w:val="restart"/>
            <w:shd w:val="clear" w:color="auto" w:fill="CCEEFF"/>
          </w:tcPr>
          <w:p>
            <w:pPr>
              <w:spacing w:after="0" w:line="202" w:lineRule="exact"/>
              <w:rPr>
                <w:sz w:val="20"/>
                <w:szCs w:val="20"/>
                <w:color w:val="auto"/>
              </w:rPr>
            </w:pPr>
            <w:r>
              <w:rPr>
                <w:rFonts w:ascii="Arial" w:cs="Arial" w:eastAsia="Arial" w:hAnsi="Arial"/>
                <w:sz w:val="18"/>
                <w:szCs w:val="18"/>
                <w:color w:val="auto"/>
                <w:w w:val="93"/>
                <w:shd w:val="clear" w:color="auto" w:fill="CCEEFF"/>
              </w:rPr>
              <w:t>Officer and Chief Financial Officer</w:t>
            </w:r>
          </w:p>
        </w:tc>
        <w:tc>
          <w:tcPr>
            <w:tcW w:w="60" w:type="dxa"/>
            <w:vAlign w:val="bottom"/>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00" w:type="dxa"/>
            <w:vAlign w:val="bottom"/>
            <w:gridSpan w:val="2"/>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540" w:type="dxa"/>
            <w:vAlign w:val="bottom"/>
            <w:gridSpan w:val="5"/>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432,837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900,716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236,250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78,789</w:t>
            </w: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1,648,592</w:t>
            </w:r>
          </w:p>
        </w:tc>
        <w:tc>
          <w:tcPr>
            <w:tcW w:w="0" w:type="dxa"/>
            <w:vAlign w:val="bottom"/>
          </w:tcPr>
          <w:p>
            <w:pPr>
              <w:spacing w:after="0"/>
              <w:rPr>
                <w:sz w:val="1"/>
                <w:szCs w:val="1"/>
                <w:color w:val="auto"/>
              </w:rPr>
            </w:pPr>
          </w:p>
        </w:tc>
      </w:tr>
      <w:tr>
        <w:trPr>
          <w:trHeight w:val="129"/>
        </w:trPr>
        <w:tc>
          <w:tcPr>
            <w:tcW w:w="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gridSpan w:val="2"/>
            <w:vMerge w:val="continue"/>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640" w:type="dxa"/>
            <w:vAlign w:val="bottom"/>
            <w:gridSpan w:val="7"/>
          </w:tcPr>
          <w:p>
            <w:pPr>
              <w:ind w:left="40"/>
              <w:spacing w:after="0"/>
              <w:rPr>
                <w:sz w:val="20"/>
                <w:szCs w:val="20"/>
                <w:color w:val="auto"/>
              </w:rPr>
            </w:pPr>
            <w:r>
              <w:rPr>
                <w:rFonts w:ascii="Arial" w:cs="Arial" w:eastAsia="Arial" w:hAnsi="Arial"/>
                <w:sz w:val="18"/>
                <w:szCs w:val="18"/>
                <w:b w:val="1"/>
                <w:bCs w:val="1"/>
                <w:color w:val="auto"/>
              </w:rPr>
              <w:t>Paul E. Rothamel</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807,692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281,532</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2,089,224</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rPr>
              <w:t>Former President and Chief</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973,537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295,513</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1,269,050</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rPr>
              <w:t>Executive Officer</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859,615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1,260,000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261,561</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2,381,176</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341,258</w:t>
            </w:r>
          </w:p>
        </w:tc>
        <w:tc>
          <w:tcPr>
            <w:tcW w:w="0" w:type="dxa"/>
            <w:vAlign w:val="bottom"/>
          </w:tcPr>
          <w:p>
            <w:pPr>
              <w:spacing w:after="0"/>
              <w:rPr>
                <w:sz w:val="1"/>
                <w:szCs w:val="1"/>
                <w:color w:val="auto"/>
              </w:rPr>
            </w:pPr>
          </w:p>
        </w:tc>
      </w:tr>
      <w:tr>
        <w:trPr>
          <w:trHeight w:val="284"/>
        </w:trPr>
        <w:tc>
          <w:tcPr>
            <w:tcW w:w="26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Executive Vice Chairman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480,000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7"/>
          </w:tcPr>
          <w:p>
            <w:pPr>
              <w:ind w:left="40"/>
              <w:spacing w:after="0"/>
              <w:rPr>
                <w:sz w:val="20"/>
                <w:szCs w:val="20"/>
                <w:color w:val="auto"/>
              </w:rPr>
            </w:pPr>
            <w:r>
              <w:rPr>
                <w:rFonts w:ascii="Arial" w:cs="Arial" w:eastAsia="Arial" w:hAnsi="Arial"/>
                <w:sz w:val="18"/>
                <w:szCs w:val="18"/>
                <w:b w:val="1"/>
                <w:bCs w:val="1"/>
                <w:color w:val="auto"/>
              </w:rPr>
              <w:t>Thomas H. Welch, Jr.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450,984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63,460</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889,444</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rPr>
              <w:t>Senior Vice President, General</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325,962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323,040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62,645</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836,647</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rPr>
              <w:t>Counsel and Secretary</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312,308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249,596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132,300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58,911</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753,115</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Jodie Maccarrone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360,525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132,193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843,103</w:t>
            </w:r>
          </w:p>
        </w:tc>
        <w:tc>
          <w:tcPr>
            <w:tcW w:w="0" w:type="dxa"/>
            <w:vAlign w:val="bottom"/>
          </w:tcPr>
          <w:p>
            <w:pPr>
              <w:spacing w:after="0"/>
              <w:rPr>
                <w:sz w:val="1"/>
                <w:szCs w:val="1"/>
                <w:color w:val="auto"/>
              </w:rPr>
            </w:pPr>
          </w:p>
        </w:tc>
      </w:tr>
      <w:tr>
        <w:trPr>
          <w:trHeight w:val="230"/>
        </w:trPr>
        <w:tc>
          <w:tcPr>
            <w:tcW w:w="26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President, Global Financial</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232,185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579,300</w:t>
            </w:r>
          </w:p>
        </w:tc>
        <w:tc>
          <w:tcPr>
            <w:tcW w:w="0" w:type="dxa"/>
            <w:vAlign w:val="bottom"/>
          </w:tcPr>
          <w:p>
            <w:pPr>
              <w:spacing w:after="0"/>
              <w:rPr>
                <w:sz w:val="1"/>
                <w:szCs w:val="1"/>
                <w:color w:val="auto"/>
              </w:rPr>
            </w:pPr>
          </w:p>
        </w:tc>
      </w:tr>
      <w:tr>
        <w:trPr>
          <w:trHeight w:val="230"/>
        </w:trPr>
        <w:tc>
          <w:tcPr>
            <w:tcW w:w="264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80,769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51,911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24,500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157,180</w:t>
            </w:r>
          </w:p>
        </w:tc>
        <w:tc>
          <w:tcPr>
            <w:tcW w:w="0" w:type="dxa"/>
            <w:vAlign w:val="bottom"/>
          </w:tcPr>
          <w:p>
            <w:pPr>
              <w:spacing w:after="0"/>
              <w:rPr>
                <w:sz w:val="1"/>
                <w:szCs w:val="1"/>
                <w:color w:val="auto"/>
              </w:rPr>
            </w:pPr>
          </w:p>
        </w:tc>
      </w:tr>
      <w:tr>
        <w:trPr>
          <w:trHeight w:val="101"/>
        </w:trPr>
        <w:tc>
          <w:tcPr>
            <w:tcW w:w="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gridSpan w:val="2"/>
            <w:vMerge w:val="continue"/>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640" w:type="dxa"/>
            <w:vAlign w:val="bottom"/>
            <w:gridSpan w:val="7"/>
          </w:tcPr>
          <w:p>
            <w:pPr>
              <w:ind w:left="40"/>
              <w:spacing w:after="0"/>
              <w:rPr>
                <w:sz w:val="20"/>
                <w:szCs w:val="20"/>
                <w:color w:val="auto"/>
              </w:rPr>
            </w:pPr>
            <w:r>
              <w:rPr>
                <w:rFonts w:ascii="Arial" w:cs="Arial" w:eastAsia="Arial" w:hAnsi="Arial"/>
                <w:sz w:val="18"/>
                <w:szCs w:val="18"/>
                <w:b w:val="1"/>
                <w:bCs w:val="1"/>
                <w:color w:val="auto"/>
              </w:rPr>
              <w:t xml:space="preserve">Sterling B. Brinkley </w:t>
            </w:r>
            <w:r>
              <w:rPr>
                <w:rFonts w:ascii="Arial" w:cs="Arial" w:eastAsia="Arial" w:hAnsi="Arial"/>
                <w:sz w:val="18"/>
                <w:szCs w:val="18"/>
                <w:color w:val="auto"/>
              </w:rPr>
              <w:t>(7)</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891,731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45,734</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1,937,465</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w w:val="94"/>
              </w:rPr>
              <w:t>Former Executive Chairman of the</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973,077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292,533</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1,265,610</w:t>
            </w:r>
          </w:p>
        </w:tc>
        <w:tc>
          <w:tcPr>
            <w:tcW w:w="0" w:type="dxa"/>
            <w:vAlign w:val="bottom"/>
          </w:tcPr>
          <w:p>
            <w:pPr>
              <w:spacing w:after="0"/>
              <w:rPr>
                <w:sz w:val="1"/>
                <w:szCs w:val="1"/>
                <w:color w:val="auto"/>
              </w:rPr>
            </w:pPr>
          </w:p>
        </w:tc>
      </w:tr>
      <w:tr>
        <w:trPr>
          <w:trHeight w:val="230"/>
        </w:trPr>
        <w:tc>
          <w:tcPr>
            <w:tcW w:w="2640" w:type="dxa"/>
            <w:vAlign w:val="bottom"/>
            <w:gridSpan w:val="7"/>
          </w:tcPr>
          <w:p>
            <w:pPr>
              <w:ind w:left="40"/>
              <w:spacing w:after="0"/>
              <w:rPr>
                <w:sz w:val="20"/>
                <w:szCs w:val="20"/>
                <w:color w:val="auto"/>
              </w:rPr>
            </w:pPr>
            <w:r>
              <w:rPr>
                <w:rFonts w:ascii="Arial" w:cs="Arial" w:eastAsia="Arial" w:hAnsi="Arial"/>
                <w:sz w:val="18"/>
                <w:szCs w:val="18"/>
                <w:color w:val="auto"/>
              </w:rPr>
              <w:t>Board</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873,077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1,260,000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254,176</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2,387,253</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shd w:val="clear" w:color="auto" w:fill="CCEEFF"/>
              </w:rPr>
              <w:t>Barry W. Guest</w:t>
            </w:r>
          </w:p>
        </w:tc>
        <w:tc>
          <w:tcPr>
            <w:tcW w:w="1080" w:type="dxa"/>
            <w:vAlign w:val="bottom"/>
            <w:gridSpan w:val="2"/>
            <w:shd w:val="clear" w:color="auto" w:fill="CCEEFF"/>
          </w:tcPr>
          <w:p>
            <w:pPr>
              <w:spacing w:after="0"/>
              <w:rPr>
                <w:sz w:val="19"/>
                <w:szCs w:val="19"/>
                <w:color w:val="auto"/>
              </w:rPr>
            </w:pPr>
          </w:p>
        </w:tc>
        <w:tc>
          <w:tcPr>
            <w:tcW w:w="320" w:type="dxa"/>
            <w:vAlign w:val="bottom"/>
            <w:gridSpan w:val="2"/>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426,154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538,502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1,415,640</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1"/>
                <w:shd w:val="clear" w:color="auto" w:fill="CCEEFF"/>
              </w:rPr>
              <w:t>Former President,</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shd w:val="clear" w:color="auto" w:fill="CCEEFF"/>
              </w:rPr>
              <w:t>U.S. Pawn &amp;</w:t>
            </w:r>
          </w:p>
        </w:tc>
        <w:tc>
          <w:tcPr>
            <w:tcW w:w="320" w:type="dxa"/>
            <w:vAlign w:val="bottom"/>
            <w:gridSpan w:val="2"/>
            <w:vMerge w:val="restart"/>
            <w:shd w:val="clear" w:color="auto" w:fill="CCEEFF"/>
          </w:tcPr>
          <w:p>
            <w:pPr>
              <w:spacing w:after="0"/>
              <w:rPr>
                <w:sz w:val="19"/>
                <w:szCs w:val="1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387,115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464,370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70,671</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1,047,156</w:t>
            </w:r>
          </w:p>
        </w:tc>
        <w:tc>
          <w:tcPr>
            <w:tcW w:w="0" w:type="dxa"/>
            <w:vAlign w:val="bottom"/>
          </w:tcPr>
          <w:p>
            <w:pPr>
              <w:spacing w:after="0"/>
              <w:rPr>
                <w:sz w:val="1"/>
                <w:szCs w:val="1"/>
                <w:color w:val="auto"/>
              </w:rPr>
            </w:pPr>
          </w:p>
        </w:tc>
      </w:tr>
      <w:tr>
        <w:trPr>
          <w:trHeight w:val="54"/>
        </w:trPr>
        <w:tc>
          <w:tcPr>
            <w:tcW w:w="40" w:type="dxa"/>
            <w:vAlign w:val="bottom"/>
            <w:shd w:val="clear" w:color="auto" w:fill="CCEEFF"/>
          </w:tcPr>
          <w:p>
            <w:pPr>
              <w:spacing w:after="0"/>
              <w:rPr>
                <w:sz w:val="4"/>
                <w:szCs w:val="4"/>
                <w:color w:val="auto"/>
              </w:rPr>
            </w:pPr>
          </w:p>
        </w:tc>
        <w:tc>
          <w:tcPr>
            <w:tcW w:w="420" w:type="dxa"/>
            <w:vAlign w:val="bottom"/>
            <w:vMerge w:val="restart"/>
            <w:shd w:val="clear" w:color="auto" w:fill="CCEEFF"/>
          </w:tcPr>
          <w:p>
            <w:pPr>
              <w:spacing w:after="0" w:line="202" w:lineRule="exact"/>
              <w:rPr>
                <w:sz w:val="20"/>
                <w:szCs w:val="20"/>
                <w:color w:val="auto"/>
              </w:rPr>
            </w:pPr>
            <w:r>
              <w:rPr>
                <w:rFonts w:ascii="Arial" w:cs="Arial" w:eastAsia="Arial" w:hAnsi="Arial"/>
                <w:sz w:val="18"/>
                <w:szCs w:val="18"/>
                <w:color w:val="auto"/>
                <w:w w:val="86"/>
                <w:shd w:val="clear" w:color="auto" w:fill="CCEEFF"/>
              </w:rPr>
              <w:t>Retail</w:t>
            </w:r>
          </w:p>
        </w:tc>
        <w:tc>
          <w:tcPr>
            <w:tcW w:w="780" w:type="dxa"/>
            <w:vAlign w:val="bottom"/>
            <w:shd w:val="clear" w:color="auto" w:fill="CCEEFF"/>
          </w:tcPr>
          <w:p>
            <w:pPr>
              <w:spacing w:after="0"/>
              <w:rPr>
                <w:sz w:val="4"/>
                <w:szCs w:val="4"/>
                <w:color w:val="auto"/>
              </w:rPr>
            </w:pPr>
          </w:p>
        </w:tc>
        <w:tc>
          <w:tcPr>
            <w:tcW w:w="1080" w:type="dxa"/>
            <w:vAlign w:val="bottom"/>
            <w:gridSpan w:val="2"/>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8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180" w:type="dxa"/>
            <w:vAlign w:val="bottom"/>
            <w:gridSpan w:val="5"/>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332,500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398,811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129,183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87,289</w:t>
            </w: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947,783</w:t>
            </w: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20" w:hanging="332"/>
        <w:spacing w:after="0" w:line="252"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Salary amounts in the above Summary Compensation Table reflect the gross amounts of base salary paid to each of the Named Executive Officers during the fiscal years so noted. Base salary adjustments for fiscal 2014 were effective October 1, 2013; base salary adjustments for fiscal 2013 were effective October 1, 2012; and base salary adjustments fiscal 2012 were effective January 1, 2012. Therefore, the amounts shown above for fiscal 2012 reflect fiscal 2011 base salary for three months (October through December 2011) and fiscal 2012 base salary for nine months (January through September 2012).</w:t>
      </w:r>
    </w:p>
    <w:p>
      <w:pPr>
        <w:spacing w:after="0" w:line="80" w:lineRule="exact"/>
        <w:rPr>
          <w:rFonts w:ascii="Arial" w:cs="Arial" w:eastAsia="Arial" w:hAnsi="Arial"/>
          <w:sz w:val="14"/>
          <w:szCs w:val="14"/>
          <w:color w:val="auto"/>
        </w:rPr>
      </w:pPr>
    </w:p>
    <w:p>
      <w:pPr>
        <w:ind w:left="340" w:hanging="332"/>
        <w:spacing w:after="0" w:line="252"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 did not pay annual incentive bonuses for either fiscal 2013 or fiscal 2014. The 2014 amounts shown for Mr. Kuchenrither, Mr. Rothamel and Mr. Brinkley represent discretionary bonuses paid in November 2014 for fiscal 2014. See “Part III — Item 11 — Executive Compensation — Compensation Discussion and Analysis — Components of Compensation — Discretionary Bonuses.” The 2013 amounts shown for Mr. Welch, Ms. Maccarrone and Mr. Guest represent discretionary bonuses paid for fiscal 2013. The fiscal 2012 amount shown for Ms. Maccarrone represents a sign-on bonus that we paid to Ms. Maccarrone pursuant to the terms of her employment agreement.</w:t>
      </w:r>
    </w:p>
    <w:p>
      <w:pPr>
        <w:spacing w:after="0" w:line="80" w:lineRule="exact"/>
        <w:rPr>
          <w:rFonts w:ascii="Arial" w:cs="Arial" w:eastAsia="Arial" w:hAnsi="Arial"/>
          <w:sz w:val="14"/>
          <w:szCs w:val="14"/>
          <w:color w:val="auto"/>
        </w:rPr>
      </w:pPr>
    </w:p>
    <w:p>
      <w:pPr>
        <w:ind w:left="340" w:right="120" w:hanging="332"/>
        <w:spacing w:after="0" w:line="257"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10 to our Consolidated Financial Statements included in “Part II — Item 8 — Financial Statements and Supplemental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Amounts represent the cash awards earned under the Incentive Compensation Plan, which is discussed in further detail in “Part III — Item 11 — Executive Compensation — Compensation Discussion and Analysis — Components of Compensation — Annual Incentive Bonus.”</w:t>
      </w:r>
    </w:p>
    <w:p>
      <w:pPr>
        <w:spacing w:after="0" w:line="65" w:lineRule="exact"/>
        <w:rPr>
          <w:rFonts w:ascii="Arial" w:cs="Arial" w:eastAsia="Arial" w:hAnsi="Arial"/>
          <w:sz w:val="14"/>
          <w:szCs w:val="14"/>
          <w:color w:val="auto"/>
        </w:rPr>
      </w:pPr>
    </w:p>
    <w:p>
      <w:pPr>
        <w:ind w:left="340" w:hanging="332"/>
        <w:spacing w:after="0" w:line="286"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Amounts include the cost of providing various perquisites and personal benefits, as well as the value of our contributions to the company-sponsored 401(k) plan and Supplemental Executive Retirement Plan. In the case of Mr. Guest, the 2014 amount includes severance benefits that were paid or are payable to him by reason of the termination of his employment in September 2014. For detail of the amounts shown for each Named Executive Officer, see the table under “Other Benefits and Perquisites — All Other Compensation” below.</w:t>
      </w:r>
    </w:p>
    <w:p>
      <w:pPr>
        <w:spacing w:after="0" w:line="59" w:lineRule="exact"/>
        <w:rPr>
          <w:rFonts w:ascii="Arial" w:cs="Arial" w:eastAsia="Arial" w:hAnsi="Arial"/>
          <w:sz w:val="13"/>
          <w:szCs w:val="13"/>
          <w:color w:val="auto"/>
        </w:rPr>
      </w:pPr>
    </w:p>
    <w:p>
      <w:pPr>
        <w:ind w:left="340" w:right="100" w:hanging="332"/>
        <w:spacing w:after="0" w:line="252"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Given became an executive officer effective August 12, 2014 upon his appointment as Executive Vice Chairman. The 2014 Salary amount includes the salary we paid to Mr. Given during fiscal 2014 in connection with his role as Executive Vice Chairman. The amounts shown under All Other Compensation for fiscal 2014 and 2013 represent the amounts we paid to LPG Limited (HK), a business and financial advisory firm wholly-owned by Mr. Given, pursuant to consulting agreements between the Company and LPG Limited. See “Part III — Item 13 — Certain Relationships and Related Transactions, and Director Independence — Related Party Transactions — Agreement with LPG Limited.”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right="300" w:hanging="332"/>
        <w:spacing w:after="0" w:line="273"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Brinkley also served on the board of directors of Albemarle &amp; Bond Holdings PLC, and in that capacity received approximately $120,000 in director fees during fiscal year 2013. This amount is not included in the Summary Compensation Table, as the amount was paid by Albemarle &amp; Bond, which is not controlled by EZCORP.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sets forth certain information about plan-based awards that we made to the Named Executive Officers during fiscal 2014. For information about the plans under which these awards were granted, see “Part III — Item 11 — Executive Compensation — Compensation Discussion and Analysis — Components of Compensation — Annual Incentive Bonus” and “Part III — Item 11 — Executive Compensation — Compensation Discussion and Analysis — Components of Compensation — Long-Term Incentives” above.</w:t>
      </w:r>
    </w:p>
    <w:p>
      <w:pPr>
        <w:spacing w:after="0" w:line="12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1380" w:type="dxa"/>
            <w:vAlign w:val="bottom"/>
            <w:vMerge w:val="restart"/>
          </w:tcPr>
          <w:p>
            <w:pPr>
              <w:jc w:val="center"/>
              <w:ind w:left="276"/>
              <w:spacing w:after="0"/>
              <w:rPr>
                <w:sz w:val="20"/>
                <w:szCs w:val="20"/>
                <w:color w:val="auto"/>
              </w:rPr>
            </w:pPr>
            <w:r>
              <w:rPr>
                <w:rFonts w:ascii="Arial" w:cs="Arial" w:eastAsia="Arial" w:hAnsi="Arial"/>
                <w:sz w:val="14"/>
                <w:szCs w:val="14"/>
                <w:b w:val="1"/>
                <w:bCs w:val="1"/>
                <w:color w:val="auto"/>
                <w:w w:val="92"/>
              </w:rPr>
              <w:t>Stock Awards: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7"/>
          </w:tcPr>
          <w:p>
            <w:pPr>
              <w:jc w:val="center"/>
              <w:spacing w:after="0" w:line="145" w:lineRule="exact"/>
              <w:rPr>
                <w:sz w:val="20"/>
                <w:szCs w:val="20"/>
                <w:color w:val="auto"/>
              </w:rPr>
            </w:pPr>
            <w:r>
              <w:rPr>
                <w:rFonts w:ascii="Arial" w:cs="Arial" w:eastAsia="Arial" w:hAnsi="Arial"/>
                <w:sz w:val="14"/>
                <w:szCs w:val="14"/>
                <w:b w:val="1"/>
                <w:bCs w:val="1"/>
                <w:color w:val="auto"/>
                <w:w w:val="94"/>
              </w:rPr>
              <w:t>Non-Equity Incentive Plan Awards (1)</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3"/>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2"/>
              </w:rPr>
              <w:t>Number of Shares of Stock</w:t>
            </w:r>
          </w:p>
        </w:tc>
        <w:tc>
          <w:tcPr>
            <w:tcW w:w="114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65"/>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5"/>
                <w:szCs w:val="5"/>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Threshold</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ind w:left="276"/>
              <w:spacing w:after="0"/>
              <w:rPr>
                <w:sz w:val="20"/>
                <w:szCs w:val="20"/>
                <w:color w:val="auto"/>
              </w:rPr>
            </w:pPr>
            <w:r>
              <w:rPr>
                <w:rFonts w:ascii="Arial" w:cs="Arial" w:eastAsia="Arial" w:hAnsi="Arial"/>
                <w:sz w:val="14"/>
                <w:szCs w:val="14"/>
                <w:b w:val="1"/>
                <w:bCs w:val="1"/>
                <w:color w:val="auto"/>
                <w:w w:val="94"/>
              </w:rPr>
              <w:t>or Units (2)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10/1/2013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Mr. Rothamel</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10/1/2013</w:t>
            </w:r>
          </w:p>
        </w:tc>
        <w:tc>
          <w:tcPr>
            <w:tcW w:w="12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2,000,000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(4)</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Mr. Welch</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10/1/2013</w:t>
            </w:r>
          </w:p>
        </w:tc>
        <w:tc>
          <w:tcPr>
            <w:tcW w:w="120" w:type="dxa"/>
            <w:vAlign w:val="bottom"/>
          </w:tcPr>
          <w:p>
            <w:pPr>
              <w:spacing w:after="0"/>
              <w:rPr>
                <w:sz w:val="21"/>
                <w:szCs w:val="21"/>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337,500</w:t>
            </w:r>
          </w:p>
        </w:tc>
        <w:tc>
          <w:tcPr>
            <w:tcW w:w="10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2/18/2014</w:t>
            </w:r>
          </w:p>
        </w:tc>
        <w:tc>
          <w:tcPr>
            <w:tcW w:w="120" w:type="dxa"/>
            <w:vAlign w:val="bottom"/>
          </w:tcPr>
          <w:p>
            <w:pPr>
              <w:spacing w:after="0"/>
              <w:rPr>
                <w:sz w:val="23"/>
                <w:szCs w:val="23"/>
                <w:color w:val="auto"/>
              </w:rPr>
            </w:pP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6"/>
              <w:spacing w:after="0"/>
              <w:rPr>
                <w:sz w:val="20"/>
                <w:szCs w:val="20"/>
                <w:color w:val="auto"/>
              </w:rPr>
            </w:pPr>
            <w:r>
              <w:rPr>
                <w:rFonts w:ascii="Arial" w:cs="Arial" w:eastAsia="Arial" w:hAnsi="Arial"/>
                <w:sz w:val="18"/>
                <w:szCs w:val="18"/>
                <w:color w:val="auto"/>
              </w:rPr>
              <w:t>34,400</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450,984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10/1/2013</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306,000</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2/18/2014</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27,500</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360,525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Mr. Brinkley</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2/18/2014</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387,000</w:t>
            </w:r>
          </w:p>
        </w:tc>
        <w:tc>
          <w:tcPr>
            <w:tcW w:w="14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34,400</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450,984</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40" w:hanging="332"/>
        <w:spacing w:after="0" w:line="249"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target amounts are the target awards under the fiscal 2014 Incentive Compensation Plan. They represent a specified percentage of the Named Executive Officer’s fiscal 2014 base salary. The threshold amount reflects the fact that no incentive plan awards were payable if the minimum financial and other specified incentive goals were not achieved. As discussed in “Part III — Item 11 — Executive Compensation — Compensation Discussion and Analysis — Components of Compensation — Annual Incentive Bonuses,” the Company did not achieve the specified business performance goals during fiscal 2014, and no annual incentive bonuses were paid under the fiscal 2014 Incentive Compensation Plan. See the “Non-Equity Incentive Plan Compensation” column in the Summary Compensation Table above.</w:t>
      </w:r>
    </w:p>
    <w:p>
      <w:pPr>
        <w:spacing w:after="0" w:line="83"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number of shares of restricted stock or the number of restricted stock units awarded in fiscal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full grant date fair value of fiscal 2014 equity awards. This is the amount we will expense in our financial statements over the awards’ vesting schedules.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Given did not become an executive officer until August 2014 and, therefore, was not eligible for any plan-based awards in fiscal 2014.</w:t>
      </w:r>
    </w:p>
    <w:p>
      <w:pPr>
        <w:spacing w:after="0" w:line="109" w:lineRule="exact"/>
        <w:rPr>
          <w:rFonts w:ascii="Arial" w:cs="Arial" w:eastAsia="Arial" w:hAnsi="Arial"/>
          <w:sz w:val="14"/>
          <w:szCs w:val="14"/>
          <w:color w:val="auto"/>
        </w:rPr>
      </w:pPr>
    </w:p>
    <w:p>
      <w:pPr>
        <w:ind w:left="340" w:right="40" w:hanging="332"/>
        <w:spacing w:after="0" w:line="257"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awards represent restricted stock units that vest pro rata over three years (one-third on October 1, 2014, one-third on October 1, 2015 and the remaining one-third on the October 1, 2016), subject to the achievement of specified performance objectives. The performance objective for the October 1, 2014 vesting was not met, and that vesting has been deferred to October 1, 2015, subject to meeting the performance objective for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2014. None of the Named Executive Officers holds any stock options.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Stock Awards</w:t>
            </w:r>
          </w:p>
        </w:tc>
        <w:tc>
          <w:tcPr>
            <w:tcW w:w="2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Award Date</w:t>
            </w:r>
          </w:p>
        </w:tc>
        <w:tc>
          <w:tcPr>
            <w:tcW w:w="2760" w:type="dxa"/>
            <w:vAlign w:val="bottom"/>
          </w:tcPr>
          <w:p>
            <w:pPr>
              <w:jc w:val="right"/>
              <w:ind w:right="40"/>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540" w:type="dxa"/>
            <w:vAlign w:val="bottom"/>
          </w:tcPr>
          <w:p>
            <w:pPr>
              <w:spacing w:after="0"/>
              <w:rPr>
                <w:sz w:val="13"/>
                <w:szCs w:val="13"/>
                <w:color w:val="auto"/>
              </w:rPr>
            </w:pPr>
          </w:p>
        </w:tc>
        <w:tc>
          <w:tcPr>
            <w:tcW w:w="3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4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760" w:type="dxa"/>
            <w:vAlign w:val="bottom"/>
          </w:tcPr>
          <w:p>
            <w:pPr>
              <w:jc w:val="right"/>
              <w:ind w:right="800"/>
              <w:spacing w:after="0"/>
              <w:rPr>
                <w:sz w:val="20"/>
                <w:szCs w:val="20"/>
                <w:color w:val="auto"/>
              </w:rPr>
            </w:pPr>
            <w:r>
              <w:rPr>
                <w:rFonts w:ascii="Arial" w:cs="Arial" w:eastAsia="Arial" w:hAnsi="Arial"/>
                <w:sz w:val="14"/>
                <w:szCs w:val="14"/>
                <w:b w:val="1"/>
                <w:bCs w:val="1"/>
                <w:color w:val="auto"/>
              </w:rPr>
              <w:t>Have Not Vested</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tcPr>
          <w:p>
            <w:pPr>
              <w:jc w:val="right"/>
              <w:ind w:right="1140"/>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223"/>
        </w:trPr>
        <w:tc>
          <w:tcPr>
            <w:tcW w:w="3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Mr. Kuchenrither</w:t>
            </w: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10/3/2011</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11,066</w:t>
            </w:r>
          </w:p>
        </w:tc>
        <w:tc>
          <w:tcPr>
            <w:tcW w:w="5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109,664</w:t>
            </w:r>
          </w:p>
        </w:tc>
        <w:tc>
          <w:tcPr>
            <w:tcW w:w="0" w:type="dxa"/>
            <w:vAlign w:val="bottom"/>
          </w:tcPr>
          <w:p>
            <w:pPr>
              <w:spacing w:after="0"/>
              <w:rPr>
                <w:sz w:val="1"/>
                <w:szCs w:val="1"/>
                <w:color w:val="auto"/>
              </w:rPr>
            </w:pPr>
          </w:p>
        </w:tc>
      </w:tr>
      <w:tr>
        <w:trPr>
          <w:trHeight w:val="283"/>
        </w:trPr>
        <w:tc>
          <w:tcPr>
            <w:tcW w:w="34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1/2/2013</w:t>
            </w:r>
          </w:p>
        </w:tc>
        <w:tc>
          <w:tcPr>
            <w:tcW w:w="1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1,982,000</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Rothamel</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Arial" w:cs="Arial" w:eastAsia="Arial" w:hAnsi="Arial"/>
                <w:sz w:val="16"/>
                <w:szCs w:val="16"/>
                <w:color w:val="auto"/>
              </w:rPr>
              <w:t>$</w:t>
            </w:r>
          </w:p>
        </w:tc>
        <w:tc>
          <w:tcPr>
            <w:tcW w:w="24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Given (4)</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Welch</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10/3/2011</w:t>
            </w:r>
          </w:p>
        </w:tc>
        <w:tc>
          <w:tcPr>
            <w:tcW w:w="120" w:type="dxa"/>
            <w:vAlign w:val="bottom"/>
          </w:tcPr>
          <w:p>
            <w:pPr>
              <w:spacing w:after="0"/>
              <w:rPr>
                <w:sz w:val="19"/>
                <w:szCs w:val="19"/>
                <w:color w:val="auto"/>
              </w:rPr>
            </w:pPr>
          </w:p>
        </w:tc>
        <w:tc>
          <w:tcPr>
            <w:tcW w:w="2760" w:type="dxa"/>
            <w:vAlign w:val="bottom"/>
          </w:tcPr>
          <w:p>
            <w:pPr>
              <w:jc w:val="right"/>
              <w:ind w:right="40"/>
              <w:spacing w:after="0"/>
              <w:rPr>
                <w:sz w:val="20"/>
                <w:szCs w:val="20"/>
                <w:color w:val="auto"/>
              </w:rPr>
            </w:pPr>
            <w:r>
              <w:rPr>
                <w:rFonts w:ascii="Arial" w:cs="Arial" w:eastAsia="Arial" w:hAnsi="Arial"/>
                <w:sz w:val="16"/>
                <w:szCs w:val="16"/>
                <w:color w:val="auto"/>
              </w:rPr>
              <w:t>3,066</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840" w:type="dxa"/>
            <w:vAlign w:val="bottom"/>
          </w:tcPr>
          <w:p>
            <w:pPr>
              <w:ind w:left="40"/>
              <w:spacing w:after="0"/>
              <w:rPr>
                <w:sz w:val="20"/>
                <w:szCs w:val="20"/>
                <w:color w:val="auto"/>
              </w:rPr>
            </w:pPr>
            <w:r>
              <w:rPr>
                <w:rFonts w:ascii="Arial" w:cs="Arial" w:eastAsia="Arial" w:hAnsi="Arial"/>
                <w:sz w:val="16"/>
                <w:szCs w:val="16"/>
                <w:color w:val="auto"/>
              </w:rPr>
              <w:t>$</w:t>
            </w:r>
          </w:p>
        </w:tc>
        <w:tc>
          <w:tcPr>
            <w:tcW w:w="2460" w:type="dxa"/>
            <w:vAlign w:val="bottom"/>
          </w:tcPr>
          <w:p>
            <w:pPr>
              <w:jc w:val="right"/>
              <w:ind w:right="20"/>
              <w:spacing w:after="0"/>
              <w:rPr>
                <w:sz w:val="20"/>
                <w:szCs w:val="20"/>
                <w:color w:val="auto"/>
              </w:rPr>
            </w:pPr>
            <w:r>
              <w:rPr>
                <w:rFonts w:ascii="Arial" w:cs="Arial" w:eastAsia="Arial" w:hAnsi="Arial"/>
                <w:sz w:val="16"/>
                <w:szCs w:val="16"/>
                <w:color w:val="auto"/>
              </w:rPr>
              <w:t>30,384</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1/2/2013</w:t>
            </w:r>
          </w:p>
        </w:tc>
        <w:tc>
          <w:tcPr>
            <w:tcW w:w="120" w:type="dxa"/>
            <w:vAlign w:val="bottom"/>
          </w:tcPr>
          <w:p>
            <w:pPr>
              <w:spacing w:after="0"/>
              <w:rPr>
                <w:sz w:val="23"/>
                <w:szCs w:val="23"/>
                <w:color w:val="auto"/>
              </w:rPr>
            </w:pPr>
          </w:p>
        </w:tc>
        <w:tc>
          <w:tcPr>
            <w:tcW w:w="2760" w:type="dxa"/>
            <w:vAlign w:val="bottom"/>
          </w:tcPr>
          <w:p>
            <w:pPr>
              <w:jc w:val="right"/>
              <w:ind w:right="40"/>
              <w:spacing w:after="0"/>
              <w:rPr>
                <w:sz w:val="20"/>
                <w:szCs w:val="20"/>
                <w:color w:val="auto"/>
              </w:rPr>
            </w:pPr>
            <w:r>
              <w:rPr>
                <w:rFonts w:ascii="Arial" w:cs="Arial" w:eastAsia="Arial" w:hAnsi="Arial"/>
                <w:sz w:val="16"/>
                <w:szCs w:val="16"/>
                <w:color w:val="auto"/>
              </w:rPr>
              <w:t>10,666</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840" w:type="dxa"/>
            <w:vAlign w:val="bottom"/>
          </w:tcPr>
          <w:p>
            <w:pPr>
              <w:ind w:left="40"/>
              <w:spacing w:after="0"/>
              <w:rPr>
                <w:sz w:val="20"/>
                <w:szCs w:val="20"/>
                <w:color w:val="auto"/>
              </w:rPr>
            </w:pPr>
            <w:r>
              <w:rPr>
                <w:rFonts w:ascii="Arial" w:cs="Arial" w:eastAsia="Arial" w:hAnsi="Arial"/>
                <w:sz w:val="16"/>
                <w:szCs w:val="16"/>
                <w:color w:val="auto"/>
              </w:rPr>
              <w:t>$</w:t>
            </w:r>
          </w:p>
        </w:tc>
        <w:tc>
          <w:tcPr>
            <w:tcW w:w="2460" w:type="dxa"/>
            <w:vAlign w:val="bottom"/>
          </w:tcPr>
          <w:p>
            <w:pPr>
              <w:jc w:val="right"/>
              <w:ind w:right="20"/>
              <w:spacing w:after="0"/>
              <w:rPr>
                <w:sz w:val="20"/>
                <w:szCs w:val="20"/>
                <w:color w:val="auto"/>
              </w:rPr>
            </w:pPr>
            <w:r>
              <w:rPr>
                <w:rFonts w:ascii="Arial" w:cs="Arial" w:eastAsia="Arial" w:hAnsi="Arial"/>
                <w:sz w:val="16"/>
                <w:szCs w:val="16"/>
                <w:color w:val="auto"/>
              </w:rPr>
              <w:t>105,700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2/18/2014</w:t>
            </w:r>
          </w:p>
        </w:tc>
        <w:tc>
          <w:tcPr>
            <w:tcW w:w="120" w:type="dxa"/>
            <w:vAlign w:val="bottom"/>
          </w:tcPr>
          <w:p>
            <w:pPr>
              <w:spacing w:after="0"/>
              <w:rPr>
                <w:sz w:val="23"/>
                <w:szCs w:val="23"/>
                <w:color w:val="auto"/>
              </w:rPr>
            </w:pPr>
          </w:p>
        </w:tc>
        <w:tc>
          <w:tcPr>
            <w:tcW w:w="2760" w:type="dxa"/>
            <w:vAlign w:val="bottom"/>
          </w:tcPr>
          <w:p>
            <w:pPr>
              <w:jc w:val="right"/>
              <w:ind w:right="40"/>
              <w:spacing w:after="0"/>
              <w:rPr>
                <w:sz w:val="20"/>
                <w:szCs w:val="20"/>
                <w:color w:val="auto"/>
              </w:rPr>
            </w:pPr>
            <w:r>
              <w:rPr>
                <w:rFonts w:ascii="Arial" w:cs="Arial" w:eastAsia="Arial" w:hAnsi="Arial"/>
                <w:sz w:val="16"/>
                <w:szCs w:val="16"/>
                <w:color w:val="auto"/>
              </w:rPr>
              <w:t>34,400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840" w:type="dxa"/>
            <w:vAlign w:val="bottom"/>
          </w:tcPr>
          <w:p>
            <w:pPr>
              <w:ind w:left="40"/>
              <w:spacing w:after="0"/>
              <w:rPr>
                <w:sz w:val="20"/>
                <w:szCs w:val="20"/>
                <w:color w:val="auto"/>
              </w:rPr>
            </w:pPr>
            <w:r>
              <w:rPr>
                <w:rFonts w:ascii="Arial" w:cs="Arial" w:eastAsia="Arial" w:hAnsi="Arial"/>
                <w:sz w:val="16"/>
                <w:szCs w:val="16"/>
                <w:color w:val="auto"/>
              </w:rPr>
              <w:t>$</w:t>
            </w:r>
          </w:p>
        </w:tc>
        <w:tc>
          <w:tcPr>
            <w:tcW w:w="2460" w:type="dxa"/>
            <w:vAlign w:val="bottom"/>
          </w:tcPr>
          <w:p>
            <w:pPr>
              <w:jc w:val="right"/>
              <w:ind w:right="20"/>
              <w:spacing w:after="0"/>
              <w:rPr>
                <w:sz w:val="20"/>
                <w:szCs w:val="20"/>
                <w:color w:val="auto"/>
              </w:rPr>
            </w:pPr>
            <w:r>
              <w:rPr>
                <w:rFonts w:ascii="Arial" w:cs="Arial" w:eastAsia="Arial" w:hAnsi="Arial"/>
                <w:sz w:val="16"/>
                <w:szCs w:val="16"/>
                <w:color w:val="auto"/>
              </w:rPr>
              <w:t>340,904</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Maccarrone</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1/2/2013</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7,666</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75,970</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2/18/2014</w:t>
            </w:r>
          </w:p>
        </w:tc>
        <w:tc>
          <w:tcPr>
            <w:tcW w:w="1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272,525</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Mr. Brinkley</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10/1/2010</w:t>
            </w:r>
          </w:p>
        </w:tc>
        <w:tc>
          <w:tcPr>
            <w:tcW w:w="120" w:type="dxa"/>
            <w:vAlign w:val="bottom"/>
          </w:tcPr>
          <w:p>
            <w:pPr>
              <w:spacing w:after="0"/>
              <w:rPr>
                <w:sz w:val="19"/>
                <w:szCs w:val="19"/>
                <w:color w:val="auto"/>
              </w:rPr>
            </w:pPr>
          </w:p>
        </w:tc>
        <w:tc>
          <w:tcPr>
            <w:tcW w:w="276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840" w:type="dxa"/>
            <w:vAlign w:val="bottom"/>
          </w:tcPr>
          <w:p>
            <w:pPr>
              <w:ind w:left="40"/>
              <w:spacing w:after="0"/>
              <w:rPr>
                <w:sz w:val="20"/>
                <w:szCs w:val="20"/>
                <w:color w:val="auto"/>
              </w:rPr>
            </w:pPr>
            <w:r>
              <w:rPr>
                <w:rFonts w:ascii="Arial" w:cs="Arial" w:eastAsia="Arial" w:hAnsi="Arial"/>
                <w:sz w:val="16"/>
                <w:szCs w:val="16"/>
                <w:color w:val="auto"/>
              </w:rPr>
              <w:t>$</w:t>
            </w:r>
          </w:p>
        </w:tc>
        <w:tc>
          <w:tcPr>
            <w:tcW w:w="2460" w:type="dxa"/>
            <w:vAlign w:val="bottom"/>
          </w:tcPr>
          <w:p>
            <w:pPr>
              <w:jc w:val="right"/>
              <w:ind w:right="20"/>
              <w:spacing w:after="0"/>
              <w:rPr>
                <w:sz w:val="20"/>
                <w:szCs w:val="20"/>
                <w:color w:val="auto"/>
              </w:rPr>
            </w:pPr>
            <w:r>
              <w:rPr>
                <w:rFonts w:ascii="Arial" w:cs="Arial" w:eastAsia="Arial" w:hAnsi="Arial"/>
                <w:sz w:val="16"/>
                <w:szCs w:val="16"/>
                <w:color w:val="auto"/>
              </w:rPr>
              <w:t>1,982,000</w:t>
            </w:r>
          </w:p>
        </w:tc>
        <w:tc>
          <w:tcPr>
            <w:tcW w:w="0" w:type="dxa"/>
            <w:vAlign w:val="bottom"/>
          </w:tcPr>
          <w:p>
            <w:pPr>
              <w:spacing w:after="0"/>
              <w:rPr>
                <w:sz w:val="1"/>
                <w:szCs w:val="1"/>
                <w:color w:val="auto"/>
              </w:rPr>
            </w:pPr>
          </w:p>
        </w:tc>
      </w:tr>
      <w:tr>
        <w:trPr>
          <w:trHeight w:val="47"/>
        </w:trPr>
        <w:tc>
          <w:tcPr>
            <w:tcW w:w="34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Mr. Guest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44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2014, the last market trading day of the Company's fiscal year ($9.91).</w:t>
      </w:r>
    </w:p>
    <w:p>
      <w:pPr>
        <w:spacing w:after="0" w:line="109" w:lineRule="exact"/>
        <w:rPr>
          <w:rFonts w:ascii="Arial" w:cs="Arial" w:eastAsia="Arial" w:hAnsi="Arial"/>
          <w:sz w:val="14"/>
          <w:szCs w:val="14"/>
          <w:color w:val="auto"/>
        </w:rPr>
      </w:pPr>
    </w:p>
    <w:p>
      <w:pPr>
        <w:ind w:left="340" w:right="120" w:hanging="332"/>
        <w:spacing w:after="0" w:line="249"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These shares vest over three years (one-third on the first anniversary of the grant date, one-third on the second anniversary of the grant date and one-third on the third anniversary of the grant date),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shares shown have been forfeited.</w:t>
      </w:r>
    </w:p>
    <w:p>
      <w:pPr>
        <w:spacing w:after="0" w:line="83" w:lineRule="exact"/>
        <w:rPr>
          <w:rFonts w:ascii="Arial" w:cs="Arial" w:eastAsia="Arial" w:hAnsi="Arial"/>
          <w:sz w:val="14"/>
          <w:szCs w:val="14"/>
          <w:color w:val="auto"/>
        </w:rPr>
      </w:pPr>
    </w:p>
    <w:p>
      <w:pPr>
        <w:ind w:left="340" w:hanging="332"/>
        <w:spacing w:after="0" w:line="246"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These shares vest over six years (one-third on October 1, 2014, one-third on October 1, 2016, and one-third on October 1, 2018),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EBITDA for any fiscal year is calculated from the Company’s audited consolidated financial statements for such year, and shall be equal to the Company’s consolidated net income before interest, taxes, depreciation and amortization (with certain adjustments for extraordinary or one-time items). Based on the Company’s audited financial statements for fiscal 2014, the performance goal for the October 2014 vesting was not met, and the vesting of those shares has been deferred to October 1, 2016, subject to meeting the performance objective for the October 2016 vesting.</w:t>
      </w:r>
    </w:p>
    <w:p>
      <w:pPr>
        <w:spacing w:after="0" w:line="87"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Given did not become an executive officer until August 2014 and, therefore, did not have any equity awards outstanding at the end of fiscal 2014.</w:t>
      </w:r>
    </w:p>
    <w:p>
      <w:pPr>
        <w:spacing w:after="0" w:line="109"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These shares vest over three years (one-third on October 1, 2014, one-third on October 1, 2015 and one-third on the October 1, 2016),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2015, subject to meeting the performance objective for the October 2015 vesting.</w:t>
      </w:r>
    </w:p>
    <w:p>
      <w:pPr>
        <w:spacing w:after="0" w:line="68" w:lineRule="exact"/>
        <w:rPr>
          <w:rFonts w:ascii="Arial" w:cs="Arial" w:eastAsia="Arial" w:hAnsi="Arial"/>
          <w:sz w:val="13"/>
          <w:szCs w:val="13"/>
          <w:color w:val="auto"/>
        </w:rPr>
      </w:pPr>
    </w:p>
    <w:p>
      <w:pPr>
        <w:ind w:left="340" w:right="100" w:hanging="332"/>
        <w:spacing w:after="0" w:line="273"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These awards are restricted stock units that vest over three years (one-third on October 1, 2014, one-third on October 1, 2015 and one-third on October 1, 2016),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2015, subject to meeting the performance objective for the October 2015 vesting.</w:t>
      </w:r>
    </w:p>
    <w:p>
      <w:pPr>
        <w:spacing w:after="0" w:line="68" w:lineRule="exact"/>
        <w:rPr>
          <w:rFonts w:ascii="Arial" w:cs="Arial" w:eastAsia="Arial" w:hAnsi="Arial"/>
          <w:sz w:val="13"/>
          <w:szCs w:val="13"/>
          <w:color w:val="auto"/>
        </w:rPr>
      </w:pPr>
    </w:p>
    <w:p>
      <w:pPr>
        <w:ind w:left="340" w:right="60" w:hanging="332"/>
        <w:spacing w:after="0" w:line="273" w:lineRule="auto"/>
        <w:tabs>
          <w:tab w:leader="none" w:pos="3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These shares vest over six years (one-third on October 1, 2012, one-third on October 1, 2014 and one-third on October 1, 2016), so long as, at each vesting date, the Company has achieved an average annual compounded growth rate in EBITDA of at least 5% when compared to the Company’s EBITDA for the completed fiscal year immediately preceding the grant date. Any shares that do not vest as a result of the failure to attain the applicable performance goal will vest on the next succeeding vesting date so long as the performance goal for that succeeding vesting date has been attained. Based on the Company’s audited financial statements for fiscal 2014, the performance goal for the October 2014 vesting was not met, and the vesting of those shares has been deferred to October 1, 2016, subject to meeting the performance objective for the October 2016 vesting.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with respect to each of the Named Executive Officers, certain information about option exercises and restricted stock vesting during fiscal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Stock Awards</w:t>
            </w: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r>
      <w:tr>
        <w:trPr>
          <w:trHeight w:val="197"/>
        </w:trPr>
        <w:tc>
          <w:tcPr>
            <w:tcW w:w="5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32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Number of Shares Acquired on Vesting</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5"/>
              </w:rPr>
              <w:t>Value Realized on Vesting (1)</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3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169,776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Mr. Rothamel</w:t>
            </w:r>
          </w:p>
        </w:tc>
        <w:tc>
          <w:tcPr>
            <w:tcW w:w="3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
        </w:trPr>
        <w:tc>
          <w:tcPr>
            <w:tcW w:w="5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3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Mr. Welch</w:t>
            </w:r>
          </w:p>
        </w:tc>
        <w:tc>
          <w:tcPr>
            <w:tcW w:w="3200" w:type="dxa"/>
            <w:vAlign w:val="bottom"/>
          </w:tcPr>
          <w:p>
            <w:pPr>
              <w:jc w:val="right"/>
              <w:ind w:right="41"/>
              <w:spacing w:after="0"/>
              <w:rPr>
                <w:sz w:val="20"/>
                <w:szCs w:val="20"/>
                <w:color w:val="auto"/>
              </w:rPr>
            </w:pPr>
            <w:r>
              <w:rPr>
                <w:rFonts w:ascii="Arial" w:cs="Arial" w:eastAsia="Arial" w:hAnsi="Arial"/>
                <w:sz w:val="16"/>
                <w:szCs w:val="16"/>
                <w:color w:val="auto"/>
              </w:rPr>
              <w:t>11,734</w:t>
            </w: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138,344</w:t>
            </w:r>
          </w:p>
        </w:tc>
      </w:tr>
      <w:tr>
        <w:trPr>
          <w:trHeight w:val="27"/>
        </w:trPr>
        <w:tc>
          <w:tcPr>
            <w:tcW w:w="5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3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65,255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Mr. Brinkley</w:t>
            </w:r>
          </w:p>
        </w:tc>
        <w:tc>
          <w:tcPr>
            <w:tcW w:w="3200" w:type="dxa"/>
            <w:vAlign w:val="bottom"/>
          </w:tcPr>
          <w:p>
            <w:pPr>
              <w:jc w:val="right"/>
              <w:ind w:right="41"/>
              <w:spacing w:after="0"/>
              <w:rPr>
                <w:sz w:val="20"/>
                <w:szCs w:val="20"/>
                <w:color w:val="auto"/>
              </w:rPr>
            </w:pPr>
            <w:r>
              <w:rPr>
                <w:rFonts w:ascii="Arial" w:cs="Arial" w:eastAsia="Arial" w:hAnsi="Arial"/>
                <w:sz w:val="16"/>
                <w:szCs w:val="16"/>
                <w:color w:val="auto"/>
              </w:rPr>
              <w:t>270,000</w:t>
            </w: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3,118,500</w:t>
            </w:r>
          </w:p>
        </w:tc>
      </w:tr>
      <w:tr>
        <w:trPr>
          <w:trHeight w:val="27"/>
        </w:trPr>
        <w:tc>
          <w:tcPr>
            <w:tcW w:w="5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w:t>
            </w:r>
          </w:p>
        </w:tc>
        <w:tc>
          <w:tcPr>
            <w:tcW w:w="3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15,900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200,265</w:t>
            </w:r>
          </w:p>
        </w:tc>
      </w:tr>
      <w:tr>
        <w:trPr>
          <w:trHeight w:val="27"/>
        </w:trPr>
        <w:tc>
          <w:tcPr>
            <w:tcW w:w="55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shares vested on November 25, 2013 (market value of $11.79 per share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shares vested on October 1, 2013 (market value of $17.02 per share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These shares vested on June 30, 2014 (market value of $11.55 per share on the date of vesting) pursuant to the terms of Mr. Brinkley’s retirement.</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Of the shares shown, 4,900 vested on October 3, 2013 (market value of $16.09 per share on the date of vesting), 7,667 vested on November 25, 2013 (market value of $11.79 per share on the date of vesting), and 3,333 vested on August 1, 2014 (market value of $9.31 per share on the date of vesting).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401(k) Retirement Plan </w:t>
      </w:r>
      <w:r>
        <w:rPr>
          <w:rFonts w:ascii="Arial" w:cs="Arial" w:eastAsia="Arial" w:hAnsi="Arial"/>
          <w:sz w:val="16"/>
          <w:szCs w:val="16"/>
          <w:color w:val="auto"/>
        </w:rPr>
        <w:t>— All employees are given an opportunity to participate in our 401(k) retirement savings plan (following a new-hire waiting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allows participants to have pre-tax amounts withheld from their pay and provides for a discretionary employer matching contribution (currently, a 25% match in the form of our Class A Common Stock up to 6% of salary). Participants may invest their contributions in various fund options, but are prohibited from investing their contributions in our common stock. Prior to July 1, 2013, a participant vested in the matching contributions pro rata over their first five years of service. As of July 1, 2013,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Supplemental Executive Retirement Plan </w:t>
      </w:r>
      <w:r>
        <w:rPr>
          <w:rFonts w:ascii="Arial" w:cs="Arial" w:eastAsia="Arial" w:hAnsi="Arial"/>
          <w:sz w:val="16"/>
          <w:szCs w:val="16"/>
          <w:color w:val="auto"/>
        </w:rPr>
        <w:t>— The Internal Revenue Code limits the amount of pre-tax savings that highly paid executives can contribute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To offset some of the negative impact of these limitations on retirement savings and to encourage retention of key executives, we provide selected executives with a non-qualified Supplemental Executive Retirement Plan (“SERP”). Company contributions to the SERP are formula-based, reviewed and recommended by management and approved by the Compensation Committee each year. For fiscal 2014, our annual contributions to the SERP were calculated as a percentage of the sum of base salary plus target bonus, with that percentage being 9% for Senior Vice Presidents or above and 4% for Vice Presidents. For fiscal 2015, the contributions to the SERP were calculated as a percentage of base salary only, with that percentage being 10% for Senior Vice Presidents or above and 6% for Vice Presidents. There were 13 participants in the SERP during fiscal 2014.</w:t>
      </w:r>
    </w:p>
    <w:p>
      <w:pPr>
        <w:spacing w:after="0" w:line="11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SERP funds have a vesting schedule as an additional retention tool. Generally, the funds vest over three years from the grant date, with one-third vesting each year. All of a participant’s SERP funds vest 100% in the event of his or her death or disability, the termination of his or her employment without cause, or the termination of the plan due to a change in control of the company. In addition, all SERP funds are 100% vested when a participant attains his or her normal retirement age (generally 60 years old and five years of active service) while actively employed by us. All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contributions, earnings and balance at the end of fiscal 2014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Company</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Earnings in</w:t>
            </w:r>
          </w:p>
        </w:tc>
        <w:tc>
          <w:tcPr>
            <w:tcW w:w="26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3340" w:type="dxa"/>
            <w:vAlign w:val="bottom"/>
            <w:gridSpan w:val="3"/>
          </w:tcPr>
          <w:p>
            <w:pPr>
              <w:jc w:val="center"/>
              <w:ind w:left="1559"/>
              <w:spacing w:after="0" w:line="149" w:lineRule="exact"/>
              <w:rPr>
                <w:sz w:val="20"/>
                <w:szCs w:val="20"/>
                <w:color w:val="auto"/>
              </w:rPr>
            </w:pPr>
            <w:r>
              <w:rPr>
                <w:rFonts w:ascii="Arial" w:cs="Arial" w:eastAsia="Arial" w:hAnsi="Arial"/>
                <w:sz w:val="14"/>
                <w:szCs w:val="14"/>
                <w:b w:val="1"/>
                <w:bCs w:val="1"/>
                <w:color w:val="auto"/>
                <w:w w:val="93"/>
              </w:rPr>
              <w:t>Contributions in Fiscal</w:t>
            </w:r>
          </w:p>
        </w:tc>
        <w:tc>
          <w:tcPr>
            <w:tcW w:w="1580" w:type="dxa"/>
            <w:vAlign w:val="bottom"/>
            <w:gridSpan w:val="3"/>
            <w:vMerge w:val="continue"/>
          </w:tcPr>
          <w:p>
            <w:pPr>
              <w:spacing w:after="0"/>
              <w:rPr>
                <w:sz w:val="12"/>
                <w:szCs w:val="12"/>
                <w:color w:val="auto"/>
              </w:rPr>
            </w:pPr>
          </w:p>
        </w:tc>
        <w:tc>
          <w:tcPr>
            <w:tcW w:w="3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Withdrawals/Distributions Aggregate Balance at</w:t>
            </w:r>
          </w:p>
        </w:tc>
        <w:tc>
          <w:tcPr>
            <w:tcW w:w="0" w:type="dxa"/>
            <w:vAlign w:val="bottom"/>
          </w:tcPr>
          <w:p>
            <w:pPr>
              <w:spacing w:after="0"/>
              <w:rPr>
                <w:sz w:val="1"/>
                <w:szCs w:val="1"/>
                <w:color w:val="auto"/>
              </w:rPr>
            </w:pPr>
          </w:p>
        </w:tc>
      </w:tr>
      <w:tr>
        <w:trPr>
          <w:trHeight w:val="192"/>
        </w:trPr>
        <w:tc>
          <w:tcPr>
            <w:tcW w:w="338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1"/>
              </w:rPr>
              <w:t>2014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2014 (2)</w:t>
            </w:r>
          </w:p>
        </w:tc>
        <w:tc>
          <w:tcPr>
            <w:tcW w:w="2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in Fiscal 2014</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September 30, 2014 (3)</w:t>
            </w:r>
          </w:p>
        </w:tc>
        <w:tc>
          <w:tcPr>
            <w:tcW w:w="0" w:type="dxa"/>
            <w:vAlign w:val="bottom"/>
          </w:tcPr>
          <w:p>
            <w:pPr>
              <w:spacing w:after="0"/>
              <w:rPr>
                <w:sz w:val="1"/>
                <w:szCs w:val="1"/>
                <w:color w:val="auto"/>
              </w:rPr>
            </w:pPr>
          </w:p>
        </w:tc>
      </w:tr>
      <w:tr>
        <w:trPr>
          <w:trHeight w:val="250"/>
        </w:trPr>
        <w:tc>
          <w:tcPr>
            <w:tcW w:w="3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Kuchenrither</w:t>
            </w:r>
          </w:p>
        </w:tc>
        <w:tc>
          <w:tcPr>
            <w:tcW w:w="20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536,506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Rothamel (4)</w:t>
            </w:r>
          </w:p>
        </w:tc>
        <w:tc>
          <w:tcPr>
            <w:tcW w:w="20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161,084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797,783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(5)</w:t>
            </w:r>
          </w:p>
        </w:tc>
        <w:tc>
          <w:tcPr>
            <w:tcW w:w="20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Welch</w:t>
            </w:r>
          </w:p>
        </w:tc>
        <w:tc>
          <w:tcPr>
            <w:tcW w:w="20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29,898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 Maccarrone</w:t>
            </w:r>
          </w:p>
        </w:tc>
        <w:tc>
          <w:tcPr>
            <w:tcW w:w="20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Mr. Brinkley</w:t>
            </w:r>
          </w:p>
        </w:tc>
        <w:tc>
          <w:tcPr>
            <w:tcW w:w="20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208,739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2,232,708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Guest (6)</w:t>
            </w:r>
          </w:p>
        </w:tc>
        <w:tc>
          <w:tcPr>
            <w:tcW w:w="20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61,920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68,168</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Of the Aggregate Balance at September 30, 2014, the following amounts were previously reported as compensation in the Summary Compensation Tables for prior years: $273,459 for</w:t>
      </w:r>
    </w:p>
    <w:p>
      <w:pPr>
        <w:spacing w:after="0" w:line="24" w:lineRule="exact"/>
        <w:rPr>
          <w:rFonts w:ascii="Arial" w:cs="Arial" w:eastAsia="Arial" w:hAnsi="Arial"/>
          <w:sz w:val="13"/>
          <w:szCs w:val="13"/>
          <w:color w:val="auto"/>
        </w:rPr>
      </w:pPr>
    </w:p>
    <w:p>
      <w:pPr>
        <w:ind w:left="340" w:right="120"/>
        <w:spacing w:after="0" w:line="255" w:lineRule="auto"/>
        <w:rPr>
          <w:rFonts w:ascii="Arial" w:cs="Arial" w:eastAsia="Arial" w:hAnsi="Arial"/>
          <w:sz w:val="13"/>
          <w:szCs w:val="13"/>
          <w:color w:val="auto"/>
        </w:rPr>
      </w:pPr>
      <w:r>
        <w:rPr>
          <w:rFonts w:ascii="Arial" w:cs="Arial" w:eastAsia="Arial" w:hAnsi="Arial"/>
          <w:sz w:val="14"/>
          <w:szCs w:val="14"/>
          <w:color w:val="auto"/>
        </w:rPr>
        <w:t>Mr. Kuchenrither; $771,750 for Mr. Rothamel; $59,040 for Mr. Welch; and $1,289,188 for Mr. Brinkley. None of the amount shown for Ms. Maccarrone was previously reported in Summary Compensation Tables for prior years, as Ms. Maccarrone was not a Named Executive Officer in those prior years.</w:t>
      </w:r>
    </w:p>
    <w:p>
      <w:pPr>
        <w:spacing w:after="0" w:line="78" w:lineRule="exact"/>
        <w:rPr>
          <w:rFonts w:ascii="Arial" w:cs="Arial" w:eastAsia="Arial" w:hAnsi="Arial"/>
          <w:sz w:val="13"/>
          <w:szCs w:val="13"/>
          <w:color w:val="auto"/>
        </w:rPr>
      </w:pPr>
    </w:p>
    <w:p>
      <w:pPr>
        <w:ind w:left="340" w:right="120" w:hanging="332"/>
        <w:spacing w:after="0" w:line="27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Rothamel’s employment terminated in July 2014, and any vested balance at that time will be distributed to him six months after his termination date. During fiscal 2014, at least $660,108 in unvested benefits was forfeited.</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Given did not become an executive officer until August 2014 and, therefore, did not receive any SERP contribution for fiscal 2014.</w:t>
      </w:r>
    </w:p>
    <w:p>
      <w:pPr>
        <w:spacing w:after="0" w:line="109" w:lineRule="exact"/>
        <w:rPr>
          <w:rFonts w:ascii="Arial" w:cs="Arial" w:eastAsia="Arial" w:hAnsi="Arial"/>
          <w:sz w:val="14"/>
          <w:szCs w:val="14"/>
          <w:color w:val="auto"/>
        </w:rPr>
      </w:pPr>
    </w:p>
    <w:p>
      <w:pPr>
        <w:ind w:left="340" w:right="540" w:hanging="332"/>
        <w:spacing w:after="0" w:line="27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Guest’s employment terminated in September 2014, and any vested balance at that time will be distributed to him six months after his termination date. During fiscal 2014, at least $137,895 in unvested benefits was forfeited.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Health Care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Consulting</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Benefits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Life 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Insurance (1)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Premiums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Fees (4)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Kuchenrither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161,898</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154,434</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70,875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78,789</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Mr. Rothamel</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271,500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281,532</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273,750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295,513</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13,266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246,675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261,561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259,000</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Mr. Welch</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63,460</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51,270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62,645</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13,472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58,911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Maccarrone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25,585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132,193</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Mr. Brinkley</w:t>
            </w:r>
          </w:p>
        </w:tc>
        <w:tc>
          <w:tcPr>
            <w:tcW w:w="68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2,058,042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2,343,471</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10,357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292,533</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243,000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254,176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Guest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61,920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466,688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538,502</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59,040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70,671</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38,482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87,289</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22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p>
      <w:pPr>
        <w:spacing w:after="0" w:line="65"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taxable group life insurance premiums paid on behalf of the Named Executive Officers. The benefit provides life and accidental death and dismemberment coverage at three times the Named Executive Officer’s annual salary up to a maximum of $1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the fiscal 2014 Company contributions to the 401(k) plan and the Supplemental Executive Retirement Plan.</w:t>
      </w:r>
    </w:p>
    <w:p>
      <w:pPr>
        <w:spacing w:after="0" w:line="109" w:lineRule="exact"/>
        <w:rPr>
          <w:rFonts w:ascii="Arial" w:cs="Arial" w:eastAsia="Arial" w:hAnsi="Arial"/>
          <w:sz w:val="14"/>
          <w:szCs w:val="14"/>
          <w:color w:val="auto"/>
        </w:rPr>
      </w:pPr>
    </w:p>
    <w:p>
      <w:pPr>
        <w:ind w:left="340" w:right="240" w:hanging="332"/>
        <w:spacing w:after="0" w:line="257"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During fiscal 2013 and part of fiscal 2014, we had a consulting agreement with LPG Limited (HK), an entity wholly-owned by Mr. Given. See “Part III — Item 13 — Certain Relationships and Related Transactions and Director Independence — Director Independence.” The amounts shown represent the amount of consulting fees we paid to LPG Limited pursuant to such consulting agreement.</w:t>
      </w:r>
    </w:p>
    <w:p>
      <w:pPr>
        <w:spacing w:after="0" w:line="77" w:lineRule="exact"/>
        <w:rPr>
          <w:rFonts w:ascii="Arial" w:cs="Arial" w:eastAsia="Arial" w:hAnsi="Arial"/>
          <w:sz w:val="14"/>
          <w:szCs w:val="14"/>
          <w:color w:val="auto"/>
        </w:rPr>
      </w:pPr>
    </w:p>
    <w:p>
      <w:pPr>
        <w:ind w:left="340" w:right="2620" w:hanging="332"/>
        <w:spacing w:after="0" w:line="433" w:lineRule="auto"/>
        <w:tabs>
          <w:tab w:leader="none" w:pos="3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amount for Mr. Rothamel represents the aggregate amounts we paid to him associated with locating living accommodations in Miami, Florida. The amount shown for Ms. Maccarrone represents the aggregate amounts we paid to her associated with her relocation to Austin, Texas.</w:t>
      </w:r>
    </w:p>
    <w:p>
      <w:pPr>
        <w:ind w:left="340" w:right="340"/>
        <w:spacing w:after="0" w:line="273" w:lineRule="auto"/>
        <w:rPr>
          <w:rFonts w:ascii="Arial" w:cs="Arial" w:eastAsia="Arial" w:hAnsi="Arial"/>
          <w:sz w:val="13"/>
          <w:szCs w:val="13"/>
          <w:color w:val="auto"/>
        </w:rPr>
      </w:pPr>
      <w:r>
        <w:rPr>
          <w:rFonts w:ascii="Arial" w:cs="Arial" w:eastAsia="Arial" w:hAnsi="Arial"/>
          <w:sz w:val="14"/>
          <w:szCs w:val="14"/>
          <w:color w:val="auto"/>
        </w:rPr>
        <w:t>The fiscal 2014 amount shown for Mr. Brinkley represents amounts that we agreed to pay Mr. Brinkley in connection with his retirement after 25 years of service. The fiscal 2013 amount represents the aggregate amounts we paid to him associated with his relocation to Miami, Florida.</w:t>
      </w:r>
    </w:p>
    <w:p>
      <w:pPr>
        <w:spacing w:after="0" w:line="65" w:lineRule="exact"/>
        <w:rPr>
          <w:rFonts w:ascii="Arial" w:cs="Arial" w:eastAsia="Arial" w:hAnsi="Arial"/>
          <w:sz w:val="13"/>
          <w:szCs w:val="13"/>
          <w:color w:val="auto"/>
        </w:rPr>
      </w:pPr>
    </w:p>
    <w:p>
      <w:pPr>
        <w:ind w:left="340" w:right="140"/>
        <w:spacing w:after="0" w:line="257" w:lineRule="auto"/>
        <w:rPr>
          <w:rFonts w:ascii="Arial" w:cs="Arial" w:eastAsia="Arial" w:hAnsi="Arial"/>
          <w:sz w:val="13"/>
          <w:szCs w:val="13"/>
          <w:color w:val="auto"/>
        </w:rPr>
      </w:pPr>
      <w:r>
        <w:rPr>
          <w:rFonts w:ascii="Arial" w:cs="Arial" w:eastAsia="Arial" w:hAnsi="Arial"/>
          <w:sz w:val="14"/>
          <w:szCs w:val="14"/>
          <w:color w:val="auto"/>
        </w:rPr>
        <w:t>The fiscal 2014 amount shown for Mr. Guest represents the aggregate severance payments we agreed to pay Mr. Guest in connection with the termination of his employment ($459,992), plus the aggregate amounts we paid to him associated with his relocation to Austin, Texas ($6,696). The fiscal 2013 and 2012 amounts represent the aggregate amounts we paid to him in connection with his relocation to Austin, Texas.</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upon termination of employment or a change-in-control:</w:t>
      </w:r>
    </w:p>
    <w:p>
      <w:pPr>
        <w:spacing w:after="0" w:line="116" w:lineRule="exact"/>
        <w:rPr>
          <w:sz w:val="20"/>
          <w:szCs w:val="20"/>
          <w:color w:val="auto"/>
        </w:rPr>
      </w:pPr>
    </w:p>
    <w:p>
      <w:pPr>
        <w:ind w:left="340" w:right="80" w:hanging="332"/>
        <w:spacing w:after="0" w:line="25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Rothamel Employment Agreement — </w:t>
      </w:r>
      <w:r>
        <w:rPr>
          <w:rFonts w:ascii="Arial" w:cs="Arial" w:eastAsia="Arial" w:hAnsi="Arial"/>
          <w:sz w:val="18"/>
          <w:szCs w:val="18"/>
          <w:color w:val="auto"/>
        </w:rPr>
        <w:t>Paul E. Rothamel, our former President and Chief Executive Officer, had an employment agreement that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benefits (principally, a payment equal to one year of then-current base salary plus, in some cases, the prorated annual incentive bonus at target amount) in the event that Mr. Rothamel’s employment was terminated under certain circumstances. This employment agreement was terminated on July 18,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right="100"/>
        <w:spacing w:after="0" w:line="324" w:lineRule="auto"/>
        <w:rPr>
          <w:sz w:val="20"/>
          <w:szCs w:val="20"/>
          <w:color w:val="auto"/>
        </w:rPr>
      </w:pPr>
      <w:r>
        <w:rPr>
          <w:rFonts w:ascii="Arial" w:cs="Arial" w:eastAsia="Arial" w:hAnsi="Arial"/>
          <w:sz w:val="18"/>
          <w:szCs w:val="18"/>
          <w:color w:val="auto"/>
        </w:rPr>
        <w:t>and the Company and Mr. Rothamel are still in discussions regarding the severance benefits payable under the agreement and other agreements that may be applicable.</w:t>
      </w:r>
    </w:p>
    <w:p>
      <w:pPr>
        <w:spacing w:after="0" w:line="89" w:lineRule="exact"/>
        <w:rPr>
          <w:sz w:val="20"/>
          <w:szCs w:val="20"/>
          <w:color w:val="auto"/>
        </w:rPr>
      </w:pPr>
    </w:p>
    <w:p>
      <w:pPr>
        <w:ind w:left="340" w:right="420" w:hanging="332"/>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October 2, 2006 Restricted Stock Awards </w:t>
      </w:r>
      <w:r>
        <w:rPr>
          <w:rFonts w:ascii="Arial" w:cs="Arial" w:eastAsia="Arial" w:hAnsi="Arial"/>
          <w:sz w:val="16"/>
          <w:szCs w:val="16"/>
          <w:color w:val="auto"/>
        </w:rPr>
        <w:t>— On October 2, 2006, we granted a performance-based restricted stock award to Mr. Brinkley.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that award, the vesting of all remaining unvested shares (270,000) was accelerated upon Mr. Brinkley’s retirement on June 30, 2014.</w:t>
      </w:r>
    </w:p>
    <w:p>
      <w:pPr>
        <w:spacing w:after="0" w:line="69"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Other Restricted Stock Awards — </w:t>
      </w:r>
      <w:r>
        <w:rPr>
          <w:rFonts w:ascii="Arial" w:cs="Arial" w:eastAsia="Arial" w:hAnsi="Arial"/>
          <w:sz w:val="18"/>
          <w:szCs w:val="18"/>
          <w:color w:val="auto"/>
        </w:rPr>
        <w:t>The standard restricted stock award agreement pursuant to which we grant restricted stock to our employees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that vesting is accelerated in whole or in part in the event of the holder’s death or disability.</w:t>
      </w:r>
    </w:p>
    <w:p>
      <w:pPr>
        <w:spacing w:after="0" w:line="116"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116" w:lineRule="exact"/>
        <w:rPr>
          <w:rFonts w:ascii="Arial" w:cs="Arial" w:eastAsia="Arial" w:hAnsi="Arial"/>
          <w:sz w:val="18"/>
          <w:szCs w:val="18"/>
          <w:color w:val="auto"/>
        </w:rPr>
      </w:pPr>
    </w:p>
    <w:p>
      <w:pPr>
        <w:ind w:left="340" w:right="100" w:hanging="332"/>
        <w:spacing w:after="0" w:line="272"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Change in Control Benefits </w:t>
      </w:r>
      <w:r>
        <w:rPr>
          <w:rFonts w:ascii="Arial" w:cs="Arial" w:eastAsia="Arial" w:hAnsi="Arial"/>
          <w:sz w:val="17"/>
          <w:szCs w:val="17"/>
          <w:color w:val="auto"/>
        </w:rPr>
        <w:t>— In June 2014, the Board of Directors approved the EZCORP, Inc. Change in Control Severance Plan that provides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senior executives with certain severance benefits if (1) the executive’s employment is either terminated by the Company for any reason other than Cause (as defined in the plan), death, disability or mandatory retirement or terminated by the executive for Good Reason (as defined in the plan) and (2) such termination of employment occurs within two years after a “Change in Control” of the Company or prior to, but in connection with, a potential Change in Control. The term “Change in Control” is defined in the plan and includes not only a change in the beneficial ownership of the Company’s voting stock, but also certain changes in the composition of the Board of Directors. To date, a Change in Control (as defined in the plan) has not occurred. There are currently no participants in the plan.</w:t>
      </w:r>
    </w:p>
    <w:p>
      <w:pPr>
        <w:spacing w:after="0" w:line="123" w:lineRule="exact"/>
        <w:rPr>
          <w:rFonts w:ascii="Arial" w:cs="Arial" w:eastAsia="Arial" w:hAnsi="Arial"/>
          <w:sz w:val="17"/>
          <w:szCs w:val="17"/>
          <w:color w:val="auto"/>
        </w:rPr>
      </w:pPr>
    </w:p>
    <w:p>
      <w:pPr>
        <w:ind w:left="340" w:right="72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with one year salary continuation if his or her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without cause.</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5"/>
              </w:rPr>
              <w:t>Aggregate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Accelerated Vesting</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Accelerated Vesting</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Incentive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w w:val="94"/>
              </w:rPr>
              <w:t>Healthcare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w w:val="96"/>
              </w:rPr>
              <w:t>Payments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 (1)</w:t>
            </w: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SERP Balance</w:t>
            </w:r>
          </w:p>
        </w:tc>
        <w:tc>
          <w:tcPr>
            <w:tcW w:w="0" w:type="dxa"/>
            <w:vAlign w:val="bottom"/>
          </w:tcPr>
          <w:p>
            <w:pPr>
              <w:spacing w:after="0"/>
              <w:rPr>
                <w:sz w:val="1"/>
                <w:szCs w:val="1"/>
                <w:color w:val="auto"/>
              </w:rPr>
            </w:pPr>
          </w:p>
        </w:tc>
      </w:tr>
      <w:tr>
        <w:trPr>
          <w:trHeight w:val="250"/>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Kuchenrither</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2,091,664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536,506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476,988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 Maccarrone</w:t>
            </w:r>
          </w:p>
        </w:tc>
        <w:tc>
          <w:tcPr>
            <w:tcW w:w="1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348,495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the number of shares subject to accelerated vesting (as described above), multiplied by the closing sales price of the Class A Common Stock on September 30, 2014 ($9.91).</w:t>
      </w:r>
    </w:p>
    <w:p>
      <w:pPr>
        <w:spacing w:after="0" w:line="1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employment was terminated following a change-in-control, then the additional benefits described above would apply, depending on the circumstances of the termination.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non-employee director receives a basic annual retainer fee, with the chair of the Audit Committee, the chair of the Compensation Committee and the Lead Director each receiving an additional amount. During fiscal 2014, the basic annual retainer fee was $80,000, and additional amounts paid to the chair of the Audit Committee, the chair of the Compensation Committee and the Lead Director were $20,000, $15,000 and $50,000, respectively. Annual retainer fees are paid in cash on a quarterly basis. The non-employee director compensation for fiscal 2015 will be the same as that for fiscal 2014, with the exception that the Audit Chair supplemental fee will increase to $27,500 annually.</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 No options have been awarded to the non-employee directors since fiscal 2007. Equity awards are generally granted on the first business day of the fiscal year (or as soon as practicable thereafter).</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sets forth the compensation paid to our non-employee directors for fiscal 2014. Mr. Grimshaw, Mr. Kuchenrither and Mr. Given are executive officers of the company and do not receive any additional compensation for serving on the Board of Directors.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3980" w:type="dxa"/>
            <w:vAlign w:val="bottom"/>
            <w:gridSpan w:val="3"/>
          </w:tcPr>
          <w:p>
            <w:pPr>
              <w:ind w:left="2560"/>
              <w:spacing w:after="0"/>
              <w:rPr>
                <w:sz w:val="20"/>
                <w:szCs w:val="20"/>
                <w:color w:val="auto"/>
              </w:rPr>
            </w:pPr>
            <w:r>
              <w:rPr>
                <w:rFonts w:ascii="Arial" w:cs="Arial" w:eastAsia="Arial" w:hAnsi="Arial"/>
                <w:sz w:val="14"/>
                <w:szCs w:val="14"/>
                <w:b w:val="1"/>
                <w:bCs w:val="1"/>
                <w:color w:val="auto"/>
              </w:rPr>
              <w:t>Fees Earned or Paid</w:t>
            </w:r>
          </w:p>
        </w:tc>
        <w:tc>
          <w:tcPr>
            <w:tcW w:w="16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 Stock</w:t>
            </w: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in Cash</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Awards (1)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Charles A. Bauer (2)</w:t>
            </w:r>
          </w:p>
        </w:tc>
        <w:tc>
          <w:tcPr>
            <w:tcW w:w="2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Joseph J. Beal (3)</w:t>
            </w:r>
          </w:p>
        </w:tc>
        <w:tc>
          <w:tcPr>
            <w:tcW w:w="28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160,800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255,800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Santiago Creel Miranda (4)</w:t>
            </w:r>
          </w:p>
        </w:tc>
        <w:tc>
          <w:tcPr>
            <w:tcW w:w="28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Peter Cumins (5)</w:t>
            </w:r>
          </w:p>
        </w:tc>
        <w:tc>
          <w:tcPr>
            <w:tcW w:w="28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Pablo Lagos Espinosa</w:t>
            </w:r>
          </w:p>
        </w:tc>
        <w:tc>
          <w:tcPr>
            <w:tcW w:w="28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240,800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John Farrell (6)</w:t>
            </w:r>
          </w:p>
        </w:tc>
        <w:tc>
          <w:tcPr>
            <w:tcW w:w="28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160,800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220,800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C. Love (3)</w:t>
            </w:r>
          </w:p>
        </w:tc>
        <w:tc>
          <w:tcPr>
            <w:tcW w:w="28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305,800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Thomas C. Roberts (7)</w:t>
            </w:r>
          </w:p>
        </w:tc>
        <w:tc>
          <w:tcPr>
            <w:tcW w:w="28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160,800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307,300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Joseph Rotunda (5)</w:t>
            </w:r>
          </w:p>
        </w:tc>
        <w:tc>
          <w:tcPr>
            <w:tcW w:w="28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60" w:hanging="332"/>
        <w:spacing w:after="0" w:line="25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10 to our Consolidated Financial Statements included in “Item 8 — Financial Statements and Supplemental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180"/>
        <w:spacing w:after="0" w:line="257" w:lineRule="auto"/>
        <w:rPr>
          <w:rFonts w:ascii="Arial" w:cs="Arial" w:eastAsia="Arial" w:hAnsi="Arial"/>
          <w:sz w:val="14"/>
          <w:szCs w:val="14"/>
          <w:color w:val="auto"/>
        </w:rPr>
      </w:pPr>
      <w:r>
        <w:rPr>
          <w:rFonts w:ascii="Arial" w:cs="Arial" w:eastAsia="Arial" w:hAnsi="Arial"/>
          <w:sz w:val="14"/>
          <w:szCs w:val="14"/>
          <w:color w:val="auto"/>
        </w:rPr>
        <w:t>Each non-employee director received a grant of 10,000 shares of restricted stock on October 11, 2013 (except for Mr. Creel, who received his grant on January 29, 2014). These shares vest over a two-year period (50% on October 1, 2014 and 50% on October 1, 2015). The values shown above were computed using the closing price of our Class A Common Stock on the date of grant ($16.08 on October 11, 2013 and $11.25 on January 29, 2014).</w:t>
      </w:r>
    </w:p>
    <w:p>
      <w:pPr>
        <w:spacing w:after="0" w:line="77" w:lineRule="exact"/>
        <w:rPr>
          <w:rFonts w:ascii="Arial" w:cs="Arial" w:eastAsia="Arial" w:hAnsi="Arial"/>
          <w:sz w:val="14"/>
          <w:szCs w:val="14"/>
          <w:color w:val="auto"/>
        </w:rPr>
      </w:pPr>
    </w:p>
    <w:p>
      <w:pPr>
        <w:ind w:left="340" w:right="560"/>
        <w:spacing w:after="0" w:line="273" w:lineRule="auto"/>
        <w:rPr>
          <w:rFonts w:ascii="Arial" w:cs="Arial" w:eastAsia="Arial" w:hAnsi="Arial"/>
          <w:sz w:val="14"/>
          <w:szCs w:val="14"/>
          <w:color w:val="auto"/>
        </w:rPr>
      </w:pPr>
      <w:r>
        <w:rPr>
          <w:rFonts w:ascii="Arial" w:cs="Arial" w:eastAsia="Arial" w:hAnsi="Arial"/>
          <w:sz w:val="14"/>
          <w:szCs w:val="14"/>
          <w:color w:val="auto"/>
        </w:rPr>
        <w:t>At September 30, 2014, Mr. Lagos held 13,250 shares of restricted stock and Mr. Creel held 10,000 shares of restricted stock. No other board member held shares of restricted stock at September 30, 2014.</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Bauer resigned from the Board of Directors in July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Beal and Mr. Love were removed from the Board of Directors by the controlling stockholder in July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Creel joined the Board of Directors in January 2014 and received non-employee director fees for the second, third and fourth quarters.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Cumins and Mr. Rotunda joined the Board of Directors on July 28, 2014, and received non-employee director fees for the last two months of the fiscal year.</w:t>
      </w:r>
    </w:p>
    <w:p>
      <w:pPr>
        <w:spacing w:after="0" w:line="109"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Farrell retired from the Board of Directors effective March 24, 2014. As permitted under his restricted stock award agreements, the Board of Directors elected to accelerate the vesting on 8,250 shares of unvested restricted stock held by Mr. Farrell on the date of his retirement. The market value of those shares on the date of vesting was $93,803. In addition, the Board agreed to pay Mr. Farrell his non-employee director fees through June 30, 2014 (representing an additional retirement benefit of $20,000).</w:t>
      </w:r>
    </w:p>
    <w:p>
      <w:pPr>
        <w:spacing w:after="0" w:line="77" w:lineRule="exact"/>
        <w:rPr>
          <w:rFonts w:ascii="Arial" w:cs="Arial" w:eastAsia="Arial" w:hAnsi="Arial"/>
          <w:sz w:val="14"/>
          <w:szCs w:val="14"/>
          <w:color w:val="auto"/>
        </w:rPr>
      </w:pPr>
    </w:p>
    <w:p>
      <w:pPr>
        <w:ind w:left="340" w:right="60" w:hanging="332"/>
        <w:spacing w:after="0" w:line="252" w:lineRule="auto"/>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Roberts retired from the Board of Directors in January 2014 after having served for almost 10 years. As permitted under his restricted stock award agreements, the Board of Directors elected to accelerate the vesting on 13,250 shares of unvested restricted stock held by Mr. Roberts on the date of his retirement. The market value of those shares on the date of vesting was $152,375. In addition, the Board agreed to pay Mr. Roberts a total of $97,500 (an amount equal to the remainder of his fiscal 2014 non-employee director fees). Mr. Roberts rejoined the Board of Directors on July 28, 2014, and received additional non-employee directors for the last two months of the fiscal year.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non-employee directors serve, at the request of EZCORP, on the boards of our affiliates or subsidiaries and in that capacity earn director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paid in cash, from those other companies. During fiscal 2014, those other company director fees earned by our non-employee directors were: Mr. Beal,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$85,558 from Cash Converters International Limited; Mr. Lagos, $64,711 from Grupo Finmart; Mr. Farrell, $14,580 from Albemarle &amp; Bond Holdings PLC;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Love, $85,558 from Cash Converters International Limited; and Mr. Roberts, $14,580 from Albemarle &amp; Bond Holdings PLC.</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20"/>
          </w:cols>
          <w:pgMar w:left="240" w:top="125"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521,794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521,794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Excludes 685,551 shares of restricted stock that were outstanding at September 30, 2014.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2014 for (i) each person known to us to be the beneficial owner of more than 5% of the total number of shares outstanding, (ii) each of our directors, (iii) each of the Named Executive Officers (other than Mr. Rothamel, Mr. Brinkley and Mr. Guest, who are no longer with the company), and (iv) all directors and executive officers as a group. Unless otherwise indicated, each person named below holds sole voting and investment power over the shares shown, subject to community property laws where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ind w:left="980"/>
              <w:spacing w:after="0"/>
              <w:rPr>
                <w:sz w:val="20"/>
                <w:szCs w:val="20"/>
                <w:color w:val="auto"/>
              </w:rPr>
            </w:pPr>
            <w:r>
              <w:rPr>
                <w:rFonts w:ascii="Arial" w:cs="Arial" w:eastAsia="Arial" w:hAnsi="Arial"/>
                <w:sz w:val="14"/>
                <w:szCs w:val="14"/>
                <w:b w:val="1"/>
                <w:bCs w:val="1"/>
                <w:color w:val="auto"/>
                <w:w w:val="93"/>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60"/>
              <w:spacing w:after="0"/>
              <w:rPr>
                <w:sz w:val="20"/>
                <w:szCs w:val="20"/>
                <w:color w:val="auto"/>
              </w:rPr>
            </w:pPr>
            <w:r>
              <w:rPr>
                <w:rFonts w:ascii="Arial" w:cs="Arial" w:eastAsia="Arial" w:hAnsi="Arial"/>
                <w:sz w:val="14"/>
                <w:szCs w:val="14"/>
                <w:b w:val="1"/>
                <w:bCs w:val="1"/>
                <w:color w:val="auto"/>
              </w:rPr>
              <w:t>Voting Percent</w:t>
            </w:r>
          </w:p>
        </w:tc>
      </w:tr>
      <w:tr>
        <w:trPr>
          <w:trHeight w:val="216"/>
        </w:trPr>
        <w:tc>
          <w:tcPr>
            <w:tcW w:w="3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MS Pawn Limited Partnership (a)</w:t>
            </w:r>
          </w:p>
        </w:tc>
        <w:tc>
          <w:tcPr>
            <w:tcW w:w="1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1901 Capital Parkway</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Austin,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5.54%   (b)</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Pr>
          <w:p>
            <w:pPr>
              <w:ind w:left="120"/>
              <w:spacing w:after="0"/>
              <w:rPr>
                <w:sz w:val="20"/>
                <w:szCs w:val="20"/>
                <w:color w:val="auto"/>
              </w:rPr>
            </w:pPr>
            <w:r>
              <w:rPr>
                <w:rFonts w:ascii="Arial" w:cs="Arial" w:eastAsia="Arial" w:hAnsi="Arial"/>
                <w:sz w:val="16"/>
                <w:szCs w:val="16"/>
                <w:color w:val="auto"/>
              </w:rPr>
              <w:t>FMR LLC 245 Summer Street Boston, MA</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3300" w:type="dxa"/>
            <w:vAlign w:val="bottom"/>
          </w:tcPr>
          <w:p>
            <w:pPr>
              <w:ind w:left="200"/>
              <w:spacing w:after="0"/>
              <w:rPr>
                <w:sz w:val="20"/>
                <w:szCs w:val="20"/>
                <w:color w:val="auto"/>
              </w:rPr>
            </w:pPr>
            <w:r>
              <w:rPr>
                <w:rFonts w:ascii="Arial" w:cs="Arial" w:eastAsia="Arial" w:hAnsi="Arial"/>
                <w:sz w:val="16"/>
                <w:szCs w:val="16"/>
                <w:color w:val="auto"/>
              </w:rPr>
              <w:t>02110</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7,176,535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13.39%</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line="203" w:lineRule="exact"/>
              <w:rPr>
                <w:sz w:val="20"/>
                <w:szCs w:val="20"/>
                <w:color w:val="auto"/>
              </w:rPr>
            </w:pPr>
            <w:r>
              <w:rPr>
                <w:rFonts w:ascii="Arial" w:cs="Arial" w:eastAsia="Arial" w:hAnsi="Arial"/>
                <w:sz w:val="16"/>
                <w:szCs w:val="16"/>
                <w:color w:val="auto"/>
              </w:rPr>
              <w:t>40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New York, New York 10022</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4,116,738</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Huber Capital Management LLC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2321 Rosecrans Ave., Suite 3245</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200"/>
              <w:spacing w:after="0"/>
              <w:rPr>
                <w:sz w:val="20"/>
                <w:szCs w:val="20"/>
                <w:color w:val="auto"/>
              </w:rPr>
            </w:pPr>
            <w:r>
              <w:rPr>
                <w:rFonts w:ascii="Arial" w:cs="Arial" w:eastAsia="Arial" w:hAnsi="Arial"/>
                <w:sz w:val="16"/>
                <w:szCs w:val="16"/>
                <w:color w:val="auto"/>
              </w:rPr>
              <w:t>El Segundo, California 90245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3,183,827</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(e)</w:t>
            </w:r>
          </w:p>
        </w:tc>
        <w:tc>
          <w:tcPr>
            <w:tcW w:w="840" w:type="dxa"/>
            <w:vAlign w:val="bottom"/>
          </w:tcPr>
          <w:p>
            <w:pPr>
              <w:jc w:val="right"/>
              <w:spacing w:after="0"/>
              <w:rPr>
                <w:sz w:val="20"/>
                <w:szCs w:val="20"/>
                <w:color w:val="auto"/>
              </w:rPr>
            </w:pPr>
            <w:r>
              <w:rPr>
                <w:rFonts w:ascii="Arial" w:cs="Arial" w:eastAsia="Arial" w:hAnsi="Arial"/>
                <w:sz w:val="16"/>
                <w:szCs w:val="16"/>
                <w:color w:val="auto"/>
              </w:rPr>
              <w:t>5.94%</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3,122,713</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Santiago Creel Miranda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Peter Cumins</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22,700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C. Roberts</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Joseph L. Rotunda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725,027</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(i)</w:t>
            </w: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 Kuchenrither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31,795</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(j)</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Lachlan P. Given</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H. Welch, Jr.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30,805</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(k)</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Jodie E. B. Maccarrone</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16,172</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(l)</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Directors and executive officers as a group (11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6"/>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877,199</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66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20" w:hanging="332"/>
        <w:spacing w:after="0" w:line="273"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the Form 13F filed by FMR LLC on September 30,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the Forms 13F filed by various Blackrock managers on September 30,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the Form 13F filed by Huber Capital Management LLC on September 30,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Based on the Form 13F filed by The Vanguard Group, Inc. on September 30,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Does not include 21,000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Does not include 16,000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1,865 shares held through the Company’s 401(k) retirement savings plan. Does not include 16,000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Does not include 200,000 shares of unvested restricted stock.</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Includes 433 shares held through the Company's 401(k) retirement savings plan. Does not include 10,666 shares of unvested restricted stock or 34,400 unvested restricted stock units.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Does not include 6,000 shares of unvested restricted stock or 27,500 unvested restricted stock units.</w:t>
      </w:r>
    </w:p>
    <w:p>
      <w:pPr>
        <w:spacing w:after="0" w:line="55"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October 31, 2014. Number shown does not include 306,666 shares of unvested restricted stock or 61,900 unvested restricted stock units.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Shares beneficially owned do not exceed one percent of Class A Common Stock, inclusive of Class B Common Stock.</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Madison Park</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October 9, 2013, we entered into an agreement to extend the Company's engagement with Madison Park, LLC ("Madison Park"), a business and financial advisory firm wholly owned by Phillip E. Cohen, the beneficial owner of all of EZCORP’s outstanding Class B Voting Common Stock, on the same terms and conditions, including those relating to fees and expenses, as applicable to the fiscal 2013 engagement.</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Summary of Terms </w:t>
      </w:r>
      <w:r>
        <w:rPr>
          <w:rFonts w:ascii="Arial" w:cs="Arial" w:eastAsia="Arial" w:hAnsi="Arial"/>
          <w:sz w:val="18"/>
          <w:szCs w:val="18"/>
          <w:color w:val="auto"/>
        </w:rPr>
        <w:t>— The extended advisory services agreement was effective as of October 1, 2013, and the term of the engagement was scheduled to run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September 30, 2014. On May 20, 2014 and as permitted by the agreement, we issued a 30-day notice of termination to Madison Park, and the advisory services agreement for fiscal 2014 was terminated effective June 19, 2014.</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agreement, Madison Park provided advisory services related to EZCORP’s business and long-term strategic plan, including (a) identifying, evaluating and negotiating potential acquisitions and strategic alliances, (b) assessing operating and strategic objectives, including new business development,</w:t>
      </w: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assisting in international business development and strategic investment opportunities that complement EZCORP’s business lines and strategic objectives,</w:t>
      </w:r>
    </w:p>
    <w:p>
      <w:pPr>
        <w:spacing w:after="0" w:line="32" w:lineRule="exact"/>
        <w:rPr>
          <w:rFonts w:ascii="Arial" w:cs="Arial" w:eastAsia="Arial" w:hAnsi="Arial"/>
          <w:sz w:val="16"/>
          <w:szCs w:val="16"/>
          <w:color w:val="auto"/>
        </w:rPr>
      </w:pPr>
    </w:p>
    <w:p>
      <w:pPr>
        <w:ind w:firstLine="8"/>
        <w:spacing w:after="0" w:line="268"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analyzing financial condition and results of operations, evaluating strengths and weaknesses of financial performance and recommending measures to improve performance, (d) advising on dividend policy and corporate transactions, such as stock repurchases, splits, recapitalizations and restructurings, (f) providing briefings on business strategy to the Board of Directors from time to time, (g) advising on investor relations and relations with investment bankers, securities analysts and other members of the financial services industry and (h) performing such other services as are reasonably requested by EZCORP. The agreement provided for a retainer fee of $600,000 per month plus reimbursement of out-of-pocket expenses incurred in connection with the engagement. The agreement also provided for indemnification for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 During fiscal 2014, prior to the termination of the agreement on June 19, 2014, we paid $5.2 million in fees pursuant to the agreement.</w:t>
      </w:r>
    </w:p>
    <w:p>
      <w:pPr>
        <w:spacing w:after="0" w:line="1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Board Governance Process </w:t>
      </w:r>
      <w:r>
        <w:rPr>
          <w:rFonts w:ascii="Arial" w:cs="Arial" w:eastAsia="Arial" w:hAnsi="Arial"/>
          <w:sz w:val="17"/>
          <w:szCs w:val="17"/>
          <w:color w:val="auto"/>
        </w:rPr>
        <w:t>— The engagement of Madison Park pursuant to the advisory services agreement was identified and acknowledged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EZCORP Board of Directors as a related party transaction that was subject to the company’s Policy for Review and Evaluation of Related Party Transactions. Under that policy, the Audit Committee (comprised entirely of independent, non-employee directors) is responsible for reviewing, evaluating, approving or taking other action with respect to related party transactions on behalf of, and with full power and authority of, the Board of Directors. Acting under that policy, the Audit Committee implemented measures designed to ensure that the advisory services agreement with Madison Park was considered, analyzed, negotiated and approved objectively. Those measures included the following:</w:t>
      </w:r>
    </w:p>
    <w:p>
      <w:pPr>
        <w:spacing w:after="0" w:line="124" w:lineRule="exact"/>
        <w:rPr>
          <w:sz w:val="20"/>
          <w:szCs w:val="20"/>
          <w:color w:val="auto"/>
        </w:rPr>
      </w:pPr>
    </w:p>
    <w:p>
      <w:pPr>
        <w:ind w:left="660" w:right="20" w:hanging="328"/>
        <w:spacing w:after="0" w:line="31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w:t>
      </w:r>
    </w:p>
    <w:p>
      <w:pPr>
        <w:spacing w:after="0" w:line="92" w:lineRule="exact"/>
        <w:rPr>
          <w:rFonts w:ascii="Arial" w:cs="Arial" w:eastAsia="Arial" w:hAnsi="Arial"/>
          <w:sz w:val="16"/>
          <w:szCs w:val="16"/>
          <w:color w:val="auto"/>
        </w:rPr>
      </w:pPr>
    </w:p>
    <w:p>
      <w:pPr>
        <w:ind w:left="660" w:right="14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Audit Committee sought, received and relied upon an opinion from that independent financial advisory firm to the effect that the consideration to be paid to Madison Park pursuant to the advisory services agreement is fair to EZCORP from a financial point of view.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With those measures, the Audit Committee evaluated and considered the following information, among other things:</w:t>
      </w:r>
    </w:p>
    <w:p>
      <w:pPr>
        <w:spacing w:after="0" w:line="171" w:lineRule="exact"/>
        <w:rPr>
          <w:sz w:val="20"/>
          <w:szCs w:val="20"/>
          <w:color w:val="auto"/>
        </w:rPr>
      </w:pPr>
    </w:p>
    <w:p>
      <w:pPr>
        <w:ind w:left="660" w:right="4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committee’s financial advisor prepared, and presented to the committee, a report that analyzed numerous separate comparable public company advisory engagements. That report described the structure of the contracted fee and compared the amount of the fee to various financial metrics such as revenues and EBITDA.</w:t>
      </w:r>
    </w:p>
    <w:p>
      <w:pPr>
        <w:spacing w:after="0" w:line="127" w:lineRule="exact"/>
        <w:rPr>
          <w:rFonts w:ascii="Arial" w:cs="Arial" w:eastAsia="Arial" w:hAnsi="Arial"/>
          <w:sz w:val="18"/>
          <w:szCs w:val="18"/>
          <w:color w:val="auto"/>
        </w:rPr>
      </w:pPr>
    </w:p>
    <w:p>
      <w:pPr>
        <w:ind w:left="660" w:right="220" w:hanging="328"/>
        <w:spacing w:after="0" w:line="297"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committee considered whether EZCORP continues to need services provided by Madison Park and whether there were alternative sources for those services. The committee concluded that the services provided by Madison Park under previous contracts, including the fiscal 2013 engagement, had been essential to the company’s growth and diversification of its business and that these types of services would be critical to continue that successful growth and diversification. Further, the committee concluded that, given the current challenging market environment, the advice, counsel and guidance provided by Madison Park, as well as Madison Park's contacts and perspectives on financing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125"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right="220"/>
        <w:spacing w:after="0" w:line="324" w:lineRule="auto"/>
        <w:rPr>
          <w:sz w:val="20"/>
          <w:szCs w:val="20"/>
          <w:color w:val="auto"/>
        </w:rPr>
      </w:pPr>
      <w:r>
        <w:rPr>
          <w:rFonts w:ascii="Arial" w:cs="Arial" w:eastAsia="Arial" w:hAnsi="Arial"/>
          <w:sz w:val="18"/>
          <w:szCs w:val="18"/>
          <w:color w:val="auto"/>
        </w:rPr>
        <w:t>transactions, capital deployment strategies and strategic acquisition opportunities, would be critical to shaping and executing EZCORP’s strategic plans, both short-term and long-term.</w:t>
      </w:r>
    </w:p>
    <w:p>
      <w:pPr>
        <w:spacing w:after="0" w:line="89" w:lineRule="exact"/>
        <w:rPr>
          <w:sz w:val="20"/>
          <w:szCs w:val="20"/>
          <w:color w:val="auto"/>
        </w:rPr>
      </w:pPr>
    </w:p>
    <w:p>
      <w:pPr>
        <w:ind w:left="660" w:right="200" w:hanging="328"/>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also concluded that, given EZCORP’s unique business and based on the committee’s prior investigations, it was unlikely that any other financial or strategic advisor would have the specific expertise to provide the services the company needs. A necessary element to this conclusion was the unique capabilities and expertise of Madison Park and its principal, Mr. Cohen, including long-term experience and high-level strategic, industry-specific expertise.</w:t>
      </w:r>
    </w:p>
    <w:p>
      <w:pPr>
        <w:spacing w:after="0" w:line="13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considered a multi-year, performance-based arrangement, but ultimately concluded that an extension of the fiscal 2013 fixed-fee arrangement was in the best interests of the company at this time.</w:t>
      </w:r>
    </w:p>
    <w:p>
      <w:pPr>
        <w:spacing w:after="0" w:line="116" w:lineRule="exact"/>
        <w:rPr>
          <w:rFonts w:ascii="Arial" w:cs="Arial" w:eastAsia="Arial" w:hAnsi="Arial"/>
          <w:sz w:val="18"/>
          <w:szCs w:val="18"/>
          <w:color w:val="auto"/>
        </w:rPr>
      </w:pPr>
    </w:p>
    <w:p>
      <w:pPr>
        <w:ind w:left="660" w:right="40" w:hanging="328"/>
        <w:spacing w:after="0" w:line="270"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the context of an analysis of the historical and proposed fee amounts compared with the company’s historical and projected financial results, as well as the analytical data provided by the committee’s financial advisor, the committee considered whether the proposed retainer fee was appropriate, given the company’s need for the services and Madison Park’s unique ability to provide them. The committee observed that the amount of the proposed fee generally fell within the ranges indicated by the comparable data, albeit at the upper portions of those ranges. Given the unique expertise provided by Madison Park and the company’s need for that unique expertise, the committee concluded that a fee in the upper portions of the comparable ranges was justified, particularly given the strategic challenges facing the company over the next year. The committee considered that the Company's EBITDA performance over the past year had been adversely affected by factors beyond management's control (specifically, the continued challenging gold environment) and the Company's decision to invest in future growth opportunities, and noted that the need to formulate and execute strategic plans to address and adapt to those continuing challenges created a continued, if not enhanced, need for the unique expertise and services provided by Madison Park.</w:t>
      </w:r>
    </w:p>
    <w:p>
      <w:pPr>
        <w:spacing w:after="0" w:line="123"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After thorough discussion and analysis, the committee concluded that, under reasonable analytical methodologies, the proposed fee appeared to be within the range indicated by the comparative data, particularly when the Company’s unique needs and Madison Park’s unique abilities were considered.</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consideration and discussion of this information and other factors, the information and fairness opinion provided by its independent financial advisory firm and the relationships and the interests of Mr. Cohen, the Audit Committee concluded that the proposed advisory services agreement for fiscal 2014 was fair to, and in the best interests of, EZCORP and its stockholders and, on that basis, approved the engagement of Madison Park pursuant to the advisory services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 As noted under "Agreement with Madison Park" above, the Audit Committee reviewed and approved the transaction described in that section.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with LPG Limited</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October 1, 2013, we entered into a consulting agreement with LPG Limited (HK), a business and financial advisory firm wholly-owned by Lachlan P. Given, who is currently Executive Vice Chairman and a director. Under the agreement, LPG Limited was to provide a variety of consulting and advisory services to the Company, including (a) identifying and evaluating new international investment, partnership and joint venture opportunities, with particular focus on the Asia-Pacific Region; (b) identifying and evaluating significant global private equity partnerships; (c) structuring and evaluating international financing alternatives, including issuances of equity securities, equity-linked and hybrid securities, debt securities and other debt facilities and off-balance sheet financing vehicles; (d) advising on, and providing contacts with respect to, relationship with global investment banks and brokerage houses, as well as commercial banks and other global funding sources; (e) working with us and our other advisors, including Madison Park, to identify and evaluate mergers, acquisition and other strategic transactions and investment opportunities, and to review and evaluate the post-closing performance of those transactions and investments; and (f) performing such other services related to the foregoing as we reasonably request. Under the terms of the agreement, we were to pay LPG Limited a retainer fee of $30,000 per month. The agreement also provided that LPG Limited could be paid a bonus amount (with a target of $360,000) if the Chief Executive Officer of the Company determined, in his sole and absolute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125" w:right="2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discretion, that LPG Limited’s performance merited a bonus payment. We terminated this agreement in June 2014 after paying LPG Limited a total of $259,000 (plus reimbursement of out-of-pocket expenses incurred in connection with the engagement).</w:t>
      </w:r>
    </w:p>
    <w:p>
      <w:pPr>
        <w:spacing w:after="0" w:line="11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had entered into a similar consulting agreement with LPG Limited for fiscal 2013 and paid LPG Limited a total of $480,000 (in addition to the reimbursement of out-of-pocket expenses incurred in connection with the engagement).</w:t>
      </w:r>
    </w:p>
    <w:p>
      <w:pPr>
        <w:spacing w:after="0" w:line="116"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These agreements were entered into, and the fiscal 2014 agreement was terminated, prior to Mr. Given’s appointment to our Board of Directors in July 2014.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tcBorders>
              <w:bottom w:val="single" w:sz="8" w:color="CCEEFF"/>
            </w:tcBorders>
          </w:tcPr>
          <w:p>
            <w:pPr>
              <w:spacing w:after="0"/>
              <w:rPr>
                <w:sz w:val="16"/>
                <w:szCs w:val="16"/>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(b)</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Mark E. Kuchenrither</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(b)</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(b)</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(e)</w:t>
            </w:r>
          </w:p>
        </w:tc>
      </w:tr>
    </w:tbl>
    <w:p>
      <w:pPr>
        <w:spacing w:after="0" w:line="125" w:lineRule="exact"/>
        <w:rPr>
          <w:sz w:val="20"/>
          <w:szCs w:val="20"/>
          <w:color w:val="auto"/>
        </w:rPr>
      </w:pPr>
    </w:p>
    <w:p>
      <w:pPr>
        <w:ind w:left="340" w:right="80" w:hanging="332"/>
        <w:spacing w:after="0" w:line="25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right="380" w:hanging="332"/>
        <w:spacing w:after="0" w:line="275"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Grimshaw, Mr. Kuchenrither and Mr. Given are executive officers and, therefore, are not independent in accordance with the standards set forth in the NASDAQ Listing Rules.</w:t>
      </w:r>
    </w:p>
    <w:p>
      <w:pPr>
        <w:spacing w:after="0" w:line="64"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Cumins is the Managing Director of Cash Converters International Limited. Mr. Given serves on the board of directors, and was recently appointed to the Remunerations Committee, of Cash Converters International. Because of this relationship, Mr. Cumins is not independent in accordance with the standards set forth in the NASDAQ Listing Rules.</w:t>
      </w:r>
    </w:p>
    <w:p>
      <w:pPr>
        <w:spacing w:after="0" w:line="75" w:lineRule="exact"/>
        <w:rPr>
          <w:rFonts w:ascii="Arial" w:cs="Arial" w:eastAsia="Arial" w:hAnsi="Arial"/>
          <w:sz w:val="16"/>
          <w:szCs w:val="16"/>
          <w:color w:val="auto"/>
        </w:rPr>
      </w:pPr>
    </w:p>
    <w:p>
      <w:pPr>
        <w:ind w:left="340" w:right="40" w:hanging="332"/>
        <w:spacing w:after="0" w:line="275"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Rotunda, is a former executive officer of, and consultant to, the Company, and because of this relationship, he is not independent in accordance with the standards set forth in the NASDAQ Listing Rules.</w:t>
      </w:r>
    </w:p>
    <w:p>
      <w:pPr>
        <w:spacing w:after="0" w:line="114" w:lineRule="exact"/>
        <w:rPr>
          <w:sz w:val="20"/>
          <w:szCs w:val="20"/>
          <w:color w:val="auto"/>
        </w:rPr>
      </w:pPr>
    </w:p>
    <w:p>
      <w:pPr>
        <w:ind w:left="60" w:right="640"/>
        <w:spacing w:after="0" w:line="264" w:lineRule="auto"/>
        <w:rPr>
          <w:sz w:val="20"/>
          <w:szCs w:val="20"/>
          <w:color w:val="auto"/>
        </w:rPr>
      </w:pPr>
      <w:r>
        <w:rPr>
          <w:rFonts w:ascii="Arial" w:cs="Arial" w:eastAsia="Arial" w:hAnsi="Arial"/>
          <w:sz w:val="18"/>
          <w:szCs w:val="18"/>
          <w:color w:val="auto"/>
        </w:rPr>
        <w:t>The Company has elected to apply the “Controlled Company” exemption to the NASDAQ requirement that a majority of the directors be considered independent under the standards set forth in the NASDAQ Listing Rules. See “Part III — Item 10 — Directors, Executive Officers and Corporate Governance — Corporate Governance — Controlled Company Exemptions.”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Deloitte &amp; Touche LLP is a registered public accounting firm and has been our independent auditor since fiscal 2013. In addition to retaining Deloitte &amp; Touche LLP to audit our consolidated financial statements, we engage the firm from time to time to perform other services.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BDO USA, LLP is a registered public accounting firm and was our independent auditor from fiscal 2004 through fiscal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all fees we incurred in connection with professional services provided by Deloitte &amp; Touche LLP for fiscal 2014 and 2013: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Audit of financial statements and audit pursuant to section 404 of the Sarbanes-Oxley Act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1,066,654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820,019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Quarterly reviews and other audit fees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240,000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audit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1,189,654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1,060,019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(a)</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177,371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88,085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 for services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1,691,459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1,270,009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Audit related fees consist of consultations and the audit of our 401(k) retirement savings plan.</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amounts shown for fiscal 2014 include our estimated costs for the fiscal 2014 integrated audit, for which we have not yet received final billings. Included in the amounts for fiscal 2014 above is a $11,471 reduction of fees related to the fiscal 2013 integrated audit, as previously estimated costs exceeded total billings. Included in the amounts for fiscal 2013 above is a $37,583 increase of fees related to the fiscal 2012 integrated audit, as our actual billings exceeded the previously estimated costs.</w:t>
      </w:r>
    </w:p>
    <w:p>
      <w:pPr>
        <w:spacing w:after="0" w:line="13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Deloitte &amp; Touche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(2014 and 2013) - Deloitte &amp; Touche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(2012)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2014 and 2013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each of the three years in the period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00"/>
          </w:cols>
          <w:pgMar w:left="240" w:top="125" w:right="7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9"/>
                <w:szCs w:val="19"/>
                <w:color w:val="auto"/>
              </w:rPr>
            </w:pPr>
          </w:p>
        </w:tc>
        <w:tc>
          <w:tcPr>
            <w:tcW w:w="100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Credit Services and Loan Administration Agreement, dated April 11, 2006, between Texas EZPAWN, L.P. and NCP Finance Limited Partnership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(incorporated by reference to Exhibit 10.97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Guaranty, dated April 11, 2006, from EZCORP, Inc. to NCP Finance Limited Partnership (incorporated by reference to Exhibit 10.98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Quarterly Report on Form 10-Q for the quarter ended March 31, 2006,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9"/>
              </w:rPr>
              <w:t>Credit Services Organization and Lender Agreement, dated April 12, 2006, between Texas EZMONEY, L.P. and Integrity Texas Funding, L.P.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(incorporated by reference to Exhibit 10.99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Credit Services Organization and Lender Agreement, dated November 9, 2005, between Texas EZPAWN, L.P. and Integrity Texas Funding, L.P.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(incorporated by reference to Exhibit 10.100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Credit Agreement, dated as of May 10, 2011, among EZCORP, Inc. (as Borrower), certain domestic subsidiaries of the Borrower from time to time party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thereto (as Guarantors), the Lenders party thereto, and Wells Fargo Bank, National Association (as Administrative Agent) and BBVA Compass Bank (as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Syndication Agent) (incorporated by reference to Exhibit 10.1 to the Company’s Current Report on Form 8-K dated May 10, 2011,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Assumption Agreement, dated as of October 1, 2013, by and between EZMergeco, Inc. and EZCORP, Inc.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Current Report on Form 8-K dated 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Advisory Services Agreement, effective October 1, 2012, between the Company and Madison Park, LLC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Current Report on Form 8-K dated September 28, 2012,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Letter Agreement, dated October 9, 2013, between EZCORP, Inc. and Madison Park, LLC extending the engagement of Madison Park through</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September 30, 2014 (incorporated by reference to Exhibit 10.2 to the Company's Current Report on Form 8-K dated October 9, 2013,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2006 Incentive Plan (incorporated by reference to Exhibit 10.104 to the Company’s Annual Report on Form 10-K for the year ended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September 30, 2006,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Amended and Restated EZCORP, Inc. 2010 Long-Term Incentive Plan (incorporated by reference to Exhibit 99.1 to the Company’s Registration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Statement on Form S-8 effective May 19, 2010, Commission File No. 333-166950)</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5"/>
              </w:rPr>
              <w:t>Amended and Restated EZCORP, Inc. Incentive Compensation Plan (incorporated by reference to Exhibit 10.2 to the Company’s Current Report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8-K dated September 28, 2012,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49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10.14*</w:t>
            </w:r>
          </w:p>
        </w:tc>
        <w:tc>
          <w:tcPr>
            <w:tcW w:w="10220" w:type="dxa"/>
            <w:vAlign w:val="bottom"/>
          </w:tcPr>
          <w:p>
            <w:pPr>
              <w:ind w:left="260"/>
              <w:spacing w:after="0"/>
              <w:rPr>
                <w:sz w:val="20"/>
                <w:szCs w:val="20"/>
                <w:color w:val="auto"/>
              </w:rPr>
            </w:pPr>
            <w:r>
              <w:rPr>
                <w:rFonts w:ascii="Arial" w:cs="Arial" w:eastAsia="Arial" w:hAnsi="Arial"/>
                <w:sz w:val="16"/>
                <w:szCs w:val="16"/>
                <w:color w:val="auto"/>
                <w:w w:val="95"/>
              </w:rPr>
              <w:t>Form of Restricted Stock Award for executive officers (incorporated by reference to Exhibit 10.16 to the Company’s Annual Report on Form 10-K for</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the year ended September 30, 2010,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10.15*</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for the year ended September 30, 2010,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10.16</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10.17</w:t>
            </w:r>
          </w:p>
        </w:tc>
        <w:tc>
          <w:tcPr>
            <w:tcW w:w="10220" w:type="dxa"/>
            <w:vAlign w:val="bottom"/>
          </w:tcPr>
          <w:p>
            <w:pPr>
              <w:ind w:left="26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10.18</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Call Option Confirmation, dated June 17, 2014, between EZCORP, Inc. and UBS AG, London Branch (incorporated by reference to Exhibit 10.3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10.19</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Warrant Confirmation, dated June 17, 2014, between EZCORP, Inc. and Jefferies International Limited (incorporated by reference to Exhibit 10.4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10.20</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10.21</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10.22</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10.23</w:t>
            </w:r>
          </w:p>
        </w:tc>
        <w:tc>
          <w:tcPr>
            <w:tcW w:w="10220" w:type="dxa"/>
            <w:vAlign w:val="bottom"/>
          </w:tcPr>
          <w:p>
            <w:pPr>
              <w:ind w:left="260"/>
              <w:spacing w:after="0"/>
              <w:rPr>
                <w:sz w:val="20"/>
                <w:szCs w:val="20"/>
                <w:color w:val="auto"/>
              </w:rPr>
            </w:pPr>
            <w:r>
              <w:rPr>
                <w:rFonts w:ascii="Arial" w:cs="Arial" w:eastAsia="Arial" w:hAnsi="Arial"/>
                <w:sz w:val="16"/>
                <w:szCs w:val="16"/>
                <w:color w:val="auto"/>
                <w:w w:val="95"/>
              </w:rPr>
              <w:t>Warrant Confirmation, dated June 17, 2014, between EZCORP, Inc. and UBS AG, London Branch (incorporated by reference to Exhibit 10.8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10.24</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Amendment Agreement (Warrant Confirmation), dated June 27, 2014, between EZCORP, Inc. and UBS AG, London Branch (incorporated by reference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10.25</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10.26</w:t>
            </w: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10.27</w:t>
            </w:r>
          </w:p>
        </w:tc>
        <w:tc>
          <w:tcPr>
            <w:tcW w:w="10220" w:type="dxa"/>
            <w:vAlign w:val="bottom"/>
          </w:tcPr>
          <w:p>
            <w:pPr>
              <w:ind w:left="26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10.28</w:t>
            </w: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10.29</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10.30</w:t>
            </w:r>
          </w:p>
        </w:tc>
        <w:tc>
          <w:tcPr>
            <w:tcW w:w="10220" w:type="dxa"/>
            <w:vAlign w:val="bottom"/>
          </w:tcPr>
          <w:p>
            <w:pPr>
              <w:ind w:left="26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257"/>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4"/>
              </w:rPr>
              <w:t>10.31*†</w:t>
            </w:r>
          </w:p>
        </w:tc>
        <w:tc>
          <w:tcPr>
            <w:tcW w:w="10220" w:type="dxa"/>
            <w:vAlign w:val="bottom"/>
          </w:tcPr>
          <w:p>
            <w:pPr>
              <w:ind w:left="260"/>
              <w:spacing w:after="0"/>
              <w:rPr>
                <w:sz w:val="20"/>
                <w:szCs w:val="20"/>
                <w:color w:val="auto"/>
              </w:rPr>
            </w:pPr>
            <w:r>
              <w:rPr>
                <w:rFonts w:ascii="Arial" w:cs="Arial" w:eastAsia="Arial" w:hAnsi="Arial"/>
                <w:sz w:val="16"/>
                <w:szCs w:val="16"/>
                <w:color w:val="auto"/>
              </w:rPr>
              <w:t>Form of Restricted Stock Unit Award for executive officers</w:t>
            </w:r>
          </w:p>
        </w:tc>
      </w:tr>
      <w:tr>
        <w:trPr>
          <w:trHeight w:val="455"/>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10.32*</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EZCORP, Inc. Change in Control Severance Plan, effective June 2, 2014 (incorporated by reference to Exhibit 10.1 to the Company’s Current Report on</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Form 8-K dated June 2,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10.33*</w:t>
            </w:r>
          </w:p>
        </w:tc>
        <w:tc>
          <w:tcPr>
            <w:tcW w:w="10220" w:type="dxa"/>
            <w:vAlign w:val="bottom"/>
          </w:tcPr>
          <w:p>
            <w:pPr>
              <w:ind w:left="260"/>
              <w:spacing w:after="0"/>
              <w:rPr>
                <w:sz w:val="20"/>
                <w:szCs w:val="20"/>
                <w:color w:val="auto"/>
              </w:rPr>
            </w:pPr>
            <w:r>
              <w:rPr>
                <w:rFonts w:ascii="Arial" w:cs="Arial" w:eastAsia="Arial" w:hAnsi="Arial"/>
                <w:sz w:val="16"/>
                <w:szCs w:val="16"/>
                <w:color w:val="auto"/>
                <w:w w:val="94"/>
              </w:rPr>
              <w:t>EZCORP, Inc. Executive Severance Pay Plan, effective June 2, 2014 (incorporated by reference to Exhibit 10.2 to the Company’s Current Report on</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Form 8-K dated June 2,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10.34*</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Retirement Agreement dated April 3, 2014, between EZCORP, Inc. and Sterling B. Brinkley, former Executive Chairman of the Board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7"/>
              </w:rPr>
              <w:t>reference to Exhibit 10.18 to the Company’s Quarterly Report on Form 10-Q for the quarter ended June 30, 2014, Commission File No. 0-19424)</w:t>
            </w:r>
          </w:p>
        </w:tc>
      </w:tr>
      <w:tr>
        <w:trPr>
          <w:trHeight w:val="257"/>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4"/>
              </w:rPr>
              <w:t>10.35*†</w:t>
            </w:r>
          </w:p>
        </w:tc>
        <w:tc>
          <w:tcPr>
            <w:tcW w:w="10220" w:type="dxa"/>
            <w:vAlign w:val="bottom"/>
          </w:tcPr>
          <w:p>
            <w:pPr>
              <w:ind w:left="260"/>
              <w:spacing w:after="0"/>
              <w:rPr>
                <w:sz w:val="20"/>
                <w:szCs w:val="20"/>
                <w:color w:val="auto"/>
              </w:rPr>
            </w:pPr>
            <w:r>
              <w:rPr>
                <w:rFonts w:ascii="Arial" w:cs="Arial" w:eastAsia="Arial" w:hAnsi="Arial"/>
                <w:sz w:val="16"/>
                <w:szCs w:val="16"/>
                <w:color w:val="auto"/>
              </w:rPr>
              <w:t>Separation Agreement dated September 12, 2014, between EZCORP, Inc. and Barry W. Guest, former President, U.S. Pawn &amp; Retail</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10.36†</w:t>
            </w:r>
          </w:p>
        </w:tc>
        <w:tc>
          <w:tcPr>
            <w:tcW w:w="10220" w:type="dxa"/>
            <w:vAlign w:val="bottom"/>
          </w:tcPr>
          <w:p>
            <w:pPr>
              <w:ind w:left="260"/>
              <w:spacing w:after="0"/>
              <w:rPr>
                <w:sz w:val="20"/>
                <w:szCs w:val="20"/>
                <w:color w:val="auto"/>
              </w:rPr>
            </w:pPr>
            <w:r>
              <w:rPr>
                <w:rFonts w:ascii="Arial" w:cs="Arial" w:eastAsia="Arial" w:hAnsi="Arial"/>
                <w:sz w:val="16"/>
                <w:szCs w:val="16"/>
                <w:color w:val="auto"/>
              </w:rPr>
              <w:t>Consulting Agreement, effective October 1, 2013, between the Company and LPG Limited (HK)</w:t>
            </w:r>
          </w:p>
        </w:tc>
      </w:tr>
      <w:tr>
        <w:trPr>
          <w:trHeight w:val="459"/>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21.1†</w:t>
            </w:r>
          </w:p>
        </w:tc>
        <w:tc>
          <w:tcPr>
            <w:tcW w:w="10220" w:type="dxa"/>
            <w:vAlign w:val="bottom"/>
          </w:tcPr>
          <w:p>
            <w:pPr>
              <w:ind w:left="260"/>
              <w:spacing w:after="0"/>
              <w:rPr>
                <w:sz w:val="20"/>
                <w:szCs w:val="20"/>
                <w:color w:val="auto"/>
              </w:rPr>
            </w:pPr>
            <w:r>
              <w:rPr>
                <w:rFonts w:ascii="Arial" w:cs="Arial" w:eastAsia="Arial" w:hAnsi="Arial"/>
                <w:sz w:val="16"/>
                <w:szCs w:val="16"/>
                <w:color w:val="auto"/>
              </w:rPr>
              <w:t>Subsidiaries of EZCORP, Inc.</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23.1†</w:t>
            </w:r>
          </w:p>
        </w:tc>
        <w:tc>
          <w:tcPr>
            <w:tcW w:w="10220" w:type="dxa"/>
            <w:vAlign w:val="bottom"/>
          </w:tcPr>
          <w:p>
            <w:pPr>
              <w:ind w:left="260"/>
              <w:spacing w:after="0"/>
              <w:rPr>
                <w:sz w:val="20"/>
                <w:szCs w:val="20"/>
                <w:color w:val="auto"/>
              </w:rPr>
            </w:pPr>
            <w:r>
              <w:rPr>
                <w:rFonts w:ascii="Arial" w:cs="Arial" w:eastAsia="Arial" w:hAnsi="Arial"/>
                <w:sz w:val="16"/>
                <w:szCs w:val="16"/>
                <w:color w:val="auto"/>
              </w:rPr>
              <w:t>Consent of BDO USA, LLP</w:t>
            </w:r>
          </w:p>
        </w:tc>
      </w:tr>
      <w:tr>
        <w:trPr>
          <w:trHeight w:val="506"/>
        </w:trPr>
        <w:tc>
          <w:tcPr>
            <w:tcW w:w="780" w:type="dxa"/>
            <w:vAlign w:val="bottom"/>
          </w:tcPr>
          <w:p>
            <w:pPr>
              <w:spacing w:after="0"/>
              <w:rPr>
                <w:sz w:val="24"/>
                <w:szCs w:val="24"/>
                <w:color w:val="auto"/>
              </w:rPr>
            </w:pPr>
          </w:p>
        </w:tc>
        <w:tc>
          <w:tcPr>
            <w:tcW w:w="10220" w:type="dxa"/>
            <w:vAlign w:val="bottom"/>
          </w:tcPr>
          <w:p>
            <w:pPr>
              <w:ind w:left="4420"/>
              <w:spacing w:after="0"/>
              <w:rPr>
                <w:sz w:val="20"/>
                <w:szCs w:val="20"/>
                <w:color w:val="auto"/>
              </w:rPr>
            </w:pPr>
            <w:r>
              <w:rPr>
                <w:rFonts w:ascii="Arial" w:cs="Arial" w:eastAsia="Arial" w:hAnsi="Arial"/>
                <w:sz w:val="18"/>
                <w:szCs w:val="18"/>
                <w:color w:val="auto"/>
              </w:rPr>
              <w:t>165</w:t>
            </w:r>
          </w:p>
        </w:tc>
      </w:tr>
    </w:tbl>
    <w:p>
      <w:pPr>
        <w:sectPr>
          <w:pgSz w:w="11900" w:h="16838" w:orient="portrait"/>
          <w:cols w:equalWidth="0" w:num="1">
            <w:col w:w="11380"/>
          </w:cols>
          <w:pgMar w:left="240" w:top="126" w:right="2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23.2†</w:t>
            </w:r>
          </w:p>
        </w:tc>
        <w:tc>
          <w:tcPr>
            <w:tcW w:w="10080" w:type="dxa"/>
            <w:vAlign w:val="bottom"/>
          </w:tcPr>
          <w:p>
            <w:pPr>
              <w:ind w:left="180"/>
              <w:spacing w:after="0"/>
              <w:rPr>
                <w:sz w:val="20"/>
                <w:szCs w:val="20"/>
                <w:color w:val="auto"/>
              </w:rPr>
            </w:pPr>
            <w:r>
              <w:rPr>
                <w:rFonts w:ascii="Arial" w:cs="Arial" w:eastAsia="Arial" w:hAnsi="Arial"/>
                <w:sz w:val="16"/>
                <w:szCs w:val="16"/>
                <w:color w:val="auto"/>
              </w:rPr>
              <w:t>Consent of Deloitte &amp; Touche LLP</w:t>
            </w:r>
          </w:p>
        </w:tc>
      </w:tr>
      <w:tr>
        <w:trPr>
          <w:trHeight w:val="266"/>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31.1†</w:t>
            </w:r>
          </w:p>
        </w:tc>
        <w:tc>
          <w:tcPr>
            <w:tcW w:w="10080" w:type="dxa"/>
            <w:vAlign w:val="bottom"/>
          </w:tcPr>
          <w:p>
            <w:pPr>
              <w:ind w:left="180"/>
              <w:spacing w:after="0"/>
              <w:rPr>
                <w:sz w:val="20"/>
                <w:szCs w:val="20"/>
                <w:color w:val="auto"/>
              </w:rPr>
            </w:pPr>
            <w:r>
              <w:rPr>
                <w:rFonts w:ascii="Arial" w:cs="Arial" w:eastAsia="Arial" w:hAnsi="Arial"/>
                <w:sz w:val="16"/>
                <w:szCs w:val="16"/>
                <w:color w:val="auto"/>
                <w:w w:val="92"/>
              </w:rPr>
              <w:t>Certification of Mark Kuchenrither, Chief Executive Officer, pursuant to Rule 13a-14(a) under the Securities Exchange Act of 1934, as adopted pursuant</w:t>
            </w:r>
          </w:p>
        </w:tc>
      </w:tr>
      <w:tr>
        <w:trPr>
          <w:trHeight w:val="206"/>
        </w:trPr>
        <w:tc>
          <w:tcPr>
            <w:tcW w:w="1020" w:type="dxa"/>
            <w:vAlign w:val="bottom"/>
          </w:tcPr>
          <w:p>
            <w:pPr>
              <w:spacing w:after="0"/>
              <w:rPr>
                <w:sz w:val="17"/>
                <w:szCs w:val="17"/>
                <w:color w:val="auto"/>
              </w:rPr>
            </w:pPr>
          </w:p>
        </w:tc>
        <w:tc>
          <w:tcPr>
            <w:tcW w:w="10080" w:type="dxa"/>
            <w:vAlign w:val="bottom"/>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53"/>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31.2†</w:t>
            </w:r>
          </w:p>
        </w:tc>
        <w:tc>
          <w:tcPr>
            <w:tcW w:w="10080" w:type="dxa"/>
            <w:vAlign w:val="bottom"/>
          </w:tcPr>
          <w:p>
            <w:pPr>
              <w:ind w:left="180"/>
              <w:spacing w:after="0"/>
              <w:rPr>
                <w:sz w:val="20"/>
                <w:szCs w:val="20"/>
                <w:color w:val="auto"/>
              </w:rPr>
            </w:pPr>
            <w:r>
              <w:rPr>
                <w:rFonts w:ascii="Arial" w:cs="Arial" w:eastAsia="Arial" w:hAnsi="Arial"/>
                <w:sz w:val="16"/>
                <w:szCs w:val="16"/>
                <w:color w:val="auto"/>
                <w:w w:val="92"/>
              </w:rPr>
              <w:t>Certification of Mark Kuchenrither, Chief Financial Officer, pursuant to Rule 13a-14(a) under the Securities Exchange Act of 1934, as adopted pursuant</w:t>
            </w:r>
          </w:p>
        </w:tc>
      </w:tr>
      <w:tr>
        <w:trPr>
          <w:trHeight w:val="206"/>
        </w:trPr>
        <w:tc>
          <w:tcPr>
            <w:tcW w:w="1020" w:type="dxa"/>
            <w:vAlign w:val="bottom"/>
          </w:tcPr>
          <w:p>
            <w:pPr>
              <w:spacing w:after="0"/>
              <w:rPr>
                <w:sz w:val="17"/>
                <w:szCs w:val="17"/>
                <w:color w:val="auto"/>
              </w:rPr>
            </w:pPr>
          </w:p>
        </w:tc>
        <w:tc>
          <w:tcPr>
            <w:tcW w:w="10080" w:type="dxa"/>
            <w:vAlign w:val="bottom"/>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53"/>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89"/>
              </w:rPr>
              <w:t>32.1††</w:t>
            </w:r>
          </w:p>
        </w:tc>
        <w:tc>
          <w:tcPr>
            <w:tcW w:w="10080" w:type="dxa"/>
            <w:vAlign w:val="bottom"/>
          </w:tcPr>
          <w:p>
            <w:pPr>
              <w:ind w:left="180"/>
              <w:spacing w:after="0"/>
              <w:rPr>
                <w:sz w:val="20"/>
                <w:szCs w:val="20"/>
                <w:color w:val="auto"/>
              </w:rPr>
            </w:pPr>
            <w:r>
              <w:rPr>
                <w:rFonts w:ascii="Arial" w:cs="Arial" w:eastAsia="Arial" w:hAnsi="Arial"/>
                <w:sz w:val="16"/>
                <w:szCs w:val="16"/>
                <w:color w:val="auto"/>
                <w:w w:val="95"/>
              </w:rPr>
              <w:t>Certification of Mark Kuchenrither, Chief Executive Officer and Chief Financial Officer, pursuant to 18 U.S.C. Section 1350, as adopted pursuant to</w:t>
            </w:r>
          </w:p>
        </w:tc>
      </w:tr>
      <w:tr>
        <w:trPr>
          <w:trHeight w:val="206"/>
        </w:trPr>
        <w:tc>
          <w:tcPr>
            <w:tcW w:w="1020" w:type="dxa"/>
            <w:vAlign w:val="bottom"/>
          </w:tcPr>
          <w:p>
            <w:pPr>
              <w:spacing w:after="0"/>
              <w:rPr>
                <w:sz w:val="17"/>
                <w:szCs w:val="17"/>
                <w:color w:val="auto"/>
              </w:rPr>
            </w:pPr>
          </w:p>
        </w:tc>
        <w:tc>
          <w:tcPr>
            <w:tcW w:w="10080" w:type="dxa"/>
            <w:vAlign w:val="bottom"/>
          </w:tcPr>
          <w:p>
            <w:pPr>
              <w:ind w:left="180"/>
              <w:spacing w:after="0"/>
              <w:rPr>
                <w:sz w:val="20"/>
                <w:szCs w:val="20"/>
                <w:color w:val="auto"/>
              </w:rPr>
            </w:pPr>
            <w:r>
              <w:rPr>
                <w:rFonts w:ascii="Arial" w:cs="Arial" w:eastAsia="Arial" w:hAnsi="Arial"/>
                <w:sz w:val="16"/>
                <w:szCs w:val="16"/>
                <w:color w:val="auto"/>
              </w:rPr>
              <w:t>Section 906 of the Sarbanes-Oxley Act of 2002</w:t>
            </w:r>
          </w:p>
        </w:tc>
      </w:tr>
      <w:tr>
        <w:trPr>
          <w:trHeight w:val="257"/>
        </w:trPr>
        <w:tc>
          <w:tcPr>
            <w:tcW w:w="1020" w:type="dxa"/>
            <w:vAlign w:val="bottom"/>
          </w:tcPr>
          <w:p>
            <w:pPr>
              <w:jc w:val="center"/>
              <w:ind w:right="119"/>
              <w:spacing w:after="0"/>
              <w:rPr>
                <w:sz w:val="20"/>
                <w:szCs w:val="20"/>
                <w:color w:val="auto"/>
              </w:rPr>
            </w:pPr>
            <w:r>
              <w:rPr>
                <w:rFonts w:ascii="Arial" w:cs="Arial" w:eastAsia="Arial" w:hAnsi="Arial"/>
                <w:sz w:val="16"/>
                <w:szCs w:val="16"/>
                <w:color w:val="auto"/>
                <w:w w:val="92"/>
              </w:rPr>
              <w:t>101.INS†††</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270"/>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91"/>
              </w:rPr>
              <w:t>101.SCH†††</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94"/>
              </w:rPr>
              <w:t>101.CAL†††</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95"/>
              </w:rPr>
              <w:t>101.LAB†††</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Taxonomy Label Linkbase Document</w:t>
            </w:r>
          </w:p>
        </w:tc>
      </w:tr>
      <w:tr>
        <w:trPr>
          <w:trHeight w:val="270"/>
        </w:trPr>
        <w:tc>
          <w:tcPr>
            <w:tcW w:w="1020" w:type="dxa"/>
            <w:vAlign w:val="bottom"/>
          </w:tcPr>
          <w:p>
            <w:pPr>
              <w:jc w:val="center"/>
              <w:ind w:right="99"/>
              <w:spacing w:after="0"/>
              <w:rPr>
                <w:sz w:val="20"/>
                <w:szCs w:val="20"/>
                <w:color w:val="auto"/>
              </w:rPr>
            </w:pPr>
            <w:r>
              <w:rPr>
                <w:rFonts w:ascii="Arial" w:cs="Arial" w:eastAsia="Arial" w:hAnsi="Arial"/>
                <w:sz w:val="16"/>
                <w:szCs w:val="16"/>
                <w:color w:val="auto"/>
                <w:w w:val="93"/>
              </w:rPr>
              <w:t>101.DEF†††</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020" w:type="dxa"/>
            <w:vAlign w:val="bottom"/>
          </w:tcPr>
          <w:p>
            <w:pPr>
              <w:jc w:val="center"/>
              <w:ind w:right="119"/>
              <w:spacing w:after="0"/>
              <w:rPr>
                <w:sz w:val="20"/>
                <w:szCs w:val="20"/>
                <w:color w:val="auto"/>
              </w:rPr>
            </w:pPr>
            <w:r>
              <w:rPr>
                <w:rFonts w:ascii="Arial" w:cs="Arial" w:eastAsia="Arial" w:hAnsi="Arial"/>
                <w:sz w:val="16"/>
                <w:szCs w:val="16"/>
                <w:color w:val="auto"/>
                <w:w w:val="90"/>
              </w:rPr>
              <w:t>101.PRE†††</w:t>
            </w:r>
          </w:p>
        </w:tc>
        <w:tc>
          <w:tcPr>
            <w:tcW w:w="10080" w:type="dxa"/>
            <w:vAlign w:val="bottom"/>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6" w:lineRule="exact"/>
        <w:rPr>
          <w:sz w:val="20"/>
          <w:szCs w:val="20"/>
          <w:color w:val="auto"/>
        </w:rPr>
      </w:pPr>
    </w:p>
    <w:p>
      <w:pPr>
        <w:ind w:left="1420" w:hanging="1385"/>
        <w:spacing w:after="0"/>
        <w:tabs>
          <w:tab w:leader="none" w:pos="14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hanging="1385"/>
        <w:spacing w:after="0" w:line="303" w:lineRule="auto"/>
        <w:tabs>
          <w:tab w:leader="none" w:pos="14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formatted in XBRL (Extensible Business Reporting Language): (i) Consolidated Balance Sheets at September 30, 2014, and September 30, 2013; (ii) Consolidated Statements of Operations for the years ended September 30, 2014, September 30, 2013 and September 30, 2012; (iii) Consolidated Statements of Comprehensive Income for the years ended September 30, 2014, September 30, 2013 and September 30, 2012; Consolidated Statements of Cash Flows for the for the years ended September 30, 2014, September 30, 2013 and September 30, 2012; Consolidated Statements of Shareholders’ Equity for the years ended September 30, 2014, September 30, 2013 and September 30, 2012; and</w:t>
      </w:r>
    </w:p>
    <w:p>
      <w:pPr>
        <w:ind w:left="1420"/>
        <w:spacing w:after="0"/>
        <w:rPr>
          <w:rFonts w:ascii="Arial" w:cs="Arial" w:eastAsia="Arial" w:hAnsi="Arial"/>
          <w:sz w:val="14"/>
          <w:szCs w:val="14"/>
          <w:color w:val="auto"/>
        </w:rPr>
      </w:pPr>
      <w:r>
        <w:rPr>
          <w:rFonts w:ascii="Arial" w:cs="Arial" w:eastAsia="Arial" w:hAnsi="Arial"/>
          <w:sz w:val="16"/>
          <w:szCs w:val="16"/>
          <w:color w:val="auto"/>
        </w:rPr>
        <w:t>(iv) Notes to Consolidated Financial Statements.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125" w:right="2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18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E. Kuchenrither,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Chief Executive Officer and Chief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Financial Officer</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Signature</w:t>
            </w:r>
          </w:p>
        </w:tc>
        <w:tc>
          <w:tcPr>
            <w:tcW w:w="4580" w:type="dxa"/>
            <w:vAlign w:val="bottom"/>
          </w:tcPr>
          <w:p>
            <w:pPr>
              <w:ind w:left="1600"/>
              <w:spacing w:after="0"/>
              <w:rPr>
                <w:sz w:val="20"/>
                <w:szCs w:val="20"/>
                <w:color w:val="auto"/>
              </w:rPr>
            </w:pPr>
            <w:r>
              <w:rPr>
                <w:rFonts w:ascii="Arial" w:cs="Arial" w:eastAsia="Arial" w:hAnsi="Arial"/>
                <w:sz w:val="14"/>
                <w:szCs w:val="14"/>
                <w:b w:val="1"/>
                <w:bCs w:val="1"/>
                <w:color w:val="auto"/>
              </w:rPr>
              <w:t>Title</w:t>
            </w:r>
          </w:p>
        </w:tc>
        <w:tc>
          <w:tcPr>
            <w:tcW w:w="3000" w:type="dxa"/>
            <w:vAlign w:val="bottom"/>
            <w:vMerge w:val="restart"/>
          </w:tcPr>
          <w:p>
            <w:pPr>
              <w:ind w:left="27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68"/>
        </w:trPr>
        <w:tc>
          <w:tcPr>
            <w:tcW w:w="2180" w:type="dxa"/>
            <w:vAlign w:val="bottom"/>
            <w:vMerge w:val="continue"/>
          </w:tcPr>
          <w:p>
            <w:pPr>
              <w:spacing w:after="0"/>
              <w:rPr>
                <w:sz w:val="5"/>
                <w:szCs w:val="5"/>
                <w:color w:val="auto"/>
              </w:rPr>
            </w:pPr>
          </w:p>
        </w:tc>
        <w:tc>
          <w:tcPr>
            <w:tcW w:w="45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/s/ Stuart I. Grimshaw</w:t>
            </w:r>
          </w:p>
        </w:tc>
        <w:tc>
          <w:tcPr>
            <w:tcW w:w="5700" w:type="dxa"/>
            <w:vAlign w:val="bottom"/>
          </w:tcPr>
          <w:p>
            <w:pPr>
              <w:ind w:left="160"/>
              <w:spacing w:after="0"/>
              <w:rPr>
                <w:sz w:val="20"/>
                <w:szCs w:val="20"/>
                <w:color w:val="auto"/>
              </w:rPr>
            </w:pPr>
            <w:r>
              <w:rPr>
                <w:rFonts w:ascii="Arial" w:cs="Arial" w:eastAsia="Arial" w:hAnsi="Arial"/>
                <w:sz w:val="18"/>
                <w:szCs w:val="18"/>
                <w:color w:val="auto"/>
              </w:rPr>
              <w:t>Chairman of the Board</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660" w:type="dxa"/>
            <w:vAlign w:val="bottom"/>
          </w:tcPr>
          <w:p>
            <w:pPr>
              <w:ind w:left="40"/>
              <w:spacing w:after="0"/>
              <w:rPr>
                <w:sz w:val="20"/>
                <w:szCs w:val="20"/>
                <w:color w:val="auto"/>
              </w:rPr>
            </w:pPr>
            <w:r>
              <w:rPr>
                <w:rFonts w:ascii="Arial" w:cs="Arial" w:eastAsia="Arial" w:hAnsi="Arial"/>
                <w:sz w:val="18"/>
                <w:szCs w:val="18"/>
                <w:color w:val="auto"/>
              </w:rPr>
              <w:t>/s/ Mark E. Kuchenrither</w:t>
            </w:r>
          </w:p>
        </w:tc>
        <w:tc>
          <w:tcPr>
            <w:tcW w:w="5700" w:type="dxa"/>
            <w:vAlign w:val="bottom"/>
          </w:tcPr>
          <w:p>
            <w:pPr>
              <w:ind w:left="160"/>
              <w:spacing w:after="0"/>
              <w:rPr>
                <w:sz w:val="20"/>
                <w:szCs w:val="20"/>
                <w:color w:val="auto"/>
              </w:rPr>
            </w:pPr>
            <w:r>
              <w:rPr>
                <w:rFonts w:ascii="Arial" w:cs="Arial" w:eastAsia="Arial" w:hAnsi="Arial"/>
                <w:sz w:val="18"/>
                <w:szCs w:val="18"/>
                <w:color w:val="auto"/>
                <w:w w:val="98"/>
              </w:rPr>
              <w:t>President, Chief Executive Officer, Chief Financial Officer and 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5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 and principal financial officer)</w:t>
            </w: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4"/>
              </w:rPr>
              <w:t>Mark E. Kuchenrither</w:t>
            </w:r>
          </w:p>
        </w:tc>
        <w:tc>
          <w:tcPr>
            <w:tcW w:w="570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57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6"/>
        </w:trPr>
        <w:tc>
          <w:tcPr>
            <w:tcW w:w="3660" w:type="dxa"/>
            <w:vAlign w:val="bottom"/>
          </w:tcPr>
          <w:p>
            <w:pPr>
              <w:ind w:left="40"/>
              <w:spacing w:after="0"/>
              <w:rPr>
                <w:sz w:val="20"/>
                <w:szCs w:val="20"/>
                <w:color w:val="auto"/>
              </w:rPr>
            </w:pPr>
            <w:r>
              <w:rPr>
                <w:rFonts w:ascii="Arial" w:cs="Arial" w:eastAsia="Arial" w:hAnsi="Arial"/>
                <w:sz w:val="18"/>
                <w:szCs w:val="18"/>
                <w:color w:val="auto"/>
              </w:rPr>
              <w:t>/s/ Lachlan P. Given</w:t>
            </w:r>
          </w:p>
        </w:tc>
        <w:tc>
          <w:tcPr>
            <w:tcW w:w="5700" w:type="dxa"/>
            <w:vAlign w:val="bottom"/>
          </w:tcPr>
          <w:p>
            <w:pPr>
              <w:ind w:left="160"/>
              <w:spacing w:after="0"/>
              <w:rPr>
                <w:sz w:val="20"/>
                <w:szCs w:val="20"/>
                <w:color w:val="auto"/>
              </w:rPr>
            </w:pPr>
            <w:r>
              <w:rPr>
                <w:rFonts w:ascii="Arial" w:cs="Arial" w:eastAsia="Arial" w:hAnsi="Arial"/>
                <w:sz w:val="18"/>
                <w:szCs w:val="18"/>
                <w:color w:val="auto"/>
              </w:rPr>
              <w:t>Vice Chairman of the Board</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4"/>
        </w:trPr>
        <w:tc>
          <w:tcPr>
            <w:tcW w:w="366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5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660" w:type="dxa"/>
            <w:vAlign w:val="bottom"/>
          </w:tcPr>
          <w:p>
            <w:pPr>
              <w:ind w:left="40"/>
              <w:spacing w:after="0"/>
              <w:rPr>
                <w:sz w:val="20"/>
                <w:szCs w:val="20"/>
                <w:color w:val="auto"/>
              </w:rPr>
            </w:pPr>
            <w:r>
              <w:rPr>
                <w:rFonts w:ascii="Arial" w:cs="Arial" w:eastAsia="Arial" w:hAnsi="Arial"/>
                <w:sz w:val="18"/>
                <w:szCs w:val="18"/>
                <w:color w:val="auto"/>
              </w:rPr>
              <w:t>/s/ Joseph L. Rotunda</w:t>
            </w:r>
          </w:p>
        </w:tc>
        <w:tc>
          <w:tcPr>
            <w:tcW w:w="5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3660" w:type="dxa"/>
            <w:vAlign w:val="bottom"/>
          </w:tcPr>
          <w:p>
            <w:pPr>
              <w:spacing w:after="0"/>
              <w:rPr>
                <w:sz w:val="24"/>
                <w:szCs w:val="24"/>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3660" w:type="dxa"/>
            <w:vAlign w:val="bottom"/>
          </w:tcPr>
          <w:p>
            <w:pPr>
              <w:ind w:left="40"/>
              <w:spacing w:after="0"/>
              <w:rPr>
                <w:sz w:val="20"/>
                <w:szCs w:val="20"/>
                <w:color w:val="auto"/>
              </w:rPr>
            </w:pPr>
            <w:r>
              <w:rPr>
                <w:rFonts w:ascii="Arial" w:cs="Arial" w:eastAsia="Arial" w:hAnsi="Arial"/>
                <w:sz w:val="18"/>
                <w:szCs w:val="18"/>
                <w:color w:val="auto"/>
              </w:rPr>
              <w:t>/s/ Thomas C. Roberts</w:t>
            </w:r>
          </w:p>
        </w:tc>
        <w:tc>
          <w:tcPr>
            <w:tcW w:w="5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5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660" w:type="dxa"/>
            <w:vAlign w:val="bottom"/>
          </w:tcPr>
          <w:p>
            <w:pPr>
              <w:ind w:left="40"/>
              <w:spacing w:after="0"/>
              <w:rPr>
                <w:sz w:val="20"/>
                <w:szCs w:val="20"/>
                <w:color w:val="auto"/>
              </w:rPr>
            </w:pPr>
            <w:r>
              <w:rPr>
                <w:rFonts w:ascii="Arial" w:cs="Arial" w:eastAsia="Arial" w:hAnsi="Arial"/>
                <w:sz w:val="18"/>
                <w:szCs w:val="18"/>
                <w:color w:val="auto"/>
              </w:rPr>
              <w:t>/s/ Peter Cumins</w:t>
            </w:r>
          </w:p>
        </w:tc>
        <w:tc>
          <w:tcPr>
            <w:tcW w:w="5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5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3660" w:type="dxa"/>
            <w:vAlign w:val="bottom"/>
          </w:tcPr>
          <w:p>
            <w:pPr>
              <w:ind w:left="40"/>
              <w:spacing w:after="0"/>
              <w:rPr>
                <w:sz w:val="20"/>
                <w:szCs w:val="20"/>
                <w:color w:val="auto"/>
              </w:rPr>
            </w:pPr>
            <w:r>
              <w:rPr>
                <w:rFonts w:ascii="Arial" w:cs="Arial" w:eastAsia="Arial" w:hAnsi="Arial"/>
                <w:sz w:val="18"/>
                <w:szCs w:val="18"/>
                <w:color w:val="auto"/>
              </w:rPr>
              <w:t>/s/ Stephen M. Brown</w:t>
            </w:r>
          </w:p>
        </w:tc>
        <w:tc>
          <w:tcPr>
            <w:tcW w:w="5700" w:type="dxa"/>
            <w:vAlign w:val="bottom"/>
          </w:tcPr>
          <w:p>
            <w:pPr>
              <w:ind w:left="160"/>
              <w:spacing w:after="0"/>
              <w:rPr>
                <w:sz w:val="20"/>
                <w:szCs w:val="20"/>
                <w:color w:val="auto"/>
              </w:rPr>
            </w:pPr>
            <w:r>
              <w:rPr>
                <w:rFonts w:ascii="Arial" w:cs="Arial" w:eastAsia="Arial" w:hAnsi="Arial"/>
                <w:sz w:val="18"/>
                <w:szCs w:val="18"/>
                <w:color w:val="auto"/>
                <w:w w:val="95"/>
              </w:rPr>
              <w:t>Vice President and Chief Accounting Officer (principal accounting officer)</w:t>
            </w:r>
          </w:p>
        </w:tc>
        <w:tc>
          <w:tcPr>
            <w:tcW w:w="1600" w:type="dxa"/>
            <w:vAlign w:val="bottom"/>
          </w:tcPr>
          <w:p>
            <w:pPr>
              <w:ind w:left="160"/>
              <w:spacing w:after="0"/>
              <w:rPr>
                <w:sz w:val="20"/>
                <w:szCs w:val="20"/>
                <w:color w:val="auto"/>
              </w:rPr>
            </w:pPr>
            <w:r>
              <w:rPr>
                <w:rFonts w:ascii="Arial" w:cs="Arial" w:eastAsia="Arial" w:hAnsi="Arial"/>
                <w:sz w:val="18"/>
                <w:szCs w:val="18"/>
                <w:color w:val="auto"/>
                <w:w w:val="89"/>
              </w:rPr>
              <w:t>November 26, 2014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Stephen M. Brown</w:t>
            </w:r>
          </w:p>
        </w:tc>
        <w:tc>
          <w:tcPr>
            <w:tcW w:w="5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180"/>
          </w:cols>
          <w:pgMar w:left="240" w:top="125" w:right="47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50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43"/>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9"/>
                <w:szCs w:val="19"/>
                <w:color w:val="auto"/>
              </w:rPr>
            </w:pPr>
          </w:p>
        </w:tc>
        <w:tc>
          <w:tcPr>
            <w:tcW w:w="100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Credit Services and Loan Administration Agreement, dated April 11, 2006, between Texas EZPAWN, L.P. and NCP Finance Limited Partnership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(incorporated by reference to Exhibit 10.97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Guaranty, dated April 11, 2006, from EZCORP, Inc. to NCP Finance Limited Partnership (incorporated by reference to Exhibit 10.98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Quarterly Report on Form 10-Q for the quarter ended March 31, 2006,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9"/>
              </w:rPr>
              <w:t>Credit Services Organization and Lender Agreement, dated April 12, 2006, between Texas EZMONEY, L.P. and Integrity Texas Funding, L.P.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(incorporated by reference to Exhibit 10.99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Credit Services Organization and Lender Agreement, dated November 9, 2005, between Texas EZPAWN, L.P. and Integrity Texas Funding, L.P.</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(incorporated by reference to Exhibit 10.100 to the Company’s Quarterly Report on Form 10-Q for the quarter ended March 31, 2006,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Credit Agreement, dated as of May 10, 2011, among EZCORP, Inc. (as Borrower), certain domestic subsidiaries of the Borrower from time to time party</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thereto (as Guarantors), the Lenders party thereto, and Wells Fargo Bank, National Association (as Administrative Agent) and BBVA Compass Bank (as</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Syndication Agent) (incorporated by reference to Exhibit 10.1 to the Company’s Current Report on Form 8-K dated May 10, 2011,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Assumption Agreement, dated as of October 1, 2013, by and between EZMergeco, Inc. and EZCORP, Inc.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Current Report on Form 8-K dated October 1, 2013,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Advisory Services Agreement, effective October 1, 2012, between the Company and Madison Park, LLC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Current Report on Form 8-K dated September 28, 2012,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Letter Agreement, dated October 9, 2013, between EZCORP, Inc. and Madison Park, LLC extending the engagement of Madison Park through</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September 30, 2014 (incorporated by reference to Exhibit 10.2 to the Company's Current Report on Form 8-K dated October 9, 2013, Commission File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2006 Incentive Plan (incorporated by reference to Exhibit 10.104 to the Company’s Annual Report on Form 10-K for the year ended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September 30, 2006,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Amended and Restated EZCORP, Inc. 2010 Long-Term Incentive Plan (incorporated by reference to Exhibit 99.1 to the Company’s Registration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Statement on Form S-8 effective May 19, 2010, Commission File No. 333-166950)</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5"/>
              </w:rPr>
              <w:t>Amended and Restated EZCORP, Inc. Incentive Compensation Plan (incorporated by reference to Exhibit 10.2 to the Company’s Current Report on</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Form 8-K dated September 28, 2012,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5"/>
              </w:rPr>
              <w:t>Form of Restricted Stock Award for executive officers (incorporated by reference to Exhibit 10.16 to the Company’s Annual Report on Form 10-K for</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year ended September 30, 2010,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for the year ended September 30, 2010,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53"/>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20" w:type="dxa"/>
            <w:vAlign w:val="bottom"/>
          </w:tcPr>
          <w:p>
            <w:pPr>
              <w:spacing w:after="0"/>
              <w:rPr>
                <w:sz w:val="21"/>
                <w:szCs w:val="21"/>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20"/>
          </w:cols>
          <w:pgMar w:left="240" w:top="125" w:right="23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10.18</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Call Option Confirmation, dated June 17, 2014, between EZCORP, Inc. and UBS AG, London Branch (incorporated by reference to Exhibit 10.3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10.19</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Warrant Confirmation, dated June 17, 2014, between EZCORP, Inc. and Jefferies International Limited (incorporated by reference to Exhibit 10.4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10.20</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10.21</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10.22</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10.23</w:t>
            </w:r>
          </w:p>
        </w:tc>
        <w:tc>
          <w:tcPr>
            <w:tcW w:w="10220" w:type="dxa"/>
            <w:vAlign w:val="bottom"/>
          </w:tcPr>
          <w:p>
            <w:pPr>
              <w:ind w:left="260"/>
              <w:spacing w:after="0"/>
              <w:rPr>
                <w:sz w:val="20"/>
                <w:szCs w:val="20"/>
                <w:color w:val="auto"/>
              </w:rPr>
            </w:pPr>
            <w:r>
              <w:rPr>
                <w:rFonts w:ascii="Arial" w:cs="Arial" w:eastAsia="Arial" w:hAnsi="Arial"/>
                <w:sz w:val="16"/>
                <w:szCs w:val="16"/>
                <w:color w:val="auto"/>
                <w:w w:val="95"/>
              </w:rPr>
              <w:t>Warrant Confirmation, dated June 17, 2014, between EZCORP, Inc. and UBS AG, London Branch (incorporated by reference to Exhibit 10.8 to the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10.24</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Amendment Agreement (Warrant Confirmation), dated June 27, 2014, between EZCORP, Inc. and UBS AG, London Branch (incorporated by reference</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10.25</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10.26</w:t>
            </w: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10.27</w:t>
            </w:r>
          </w:p>
        </w:tc>
        <w:tc>
          <w:tcPr>
            <w:tcW w:w="10220" w:type="dxa"/>
            <w:vAlign w:val="bottom"/>
          </w:tcPr>
          <w:p>
            <w:pPr>
              <w:ind w:left="26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10.28</w:t>
            </w:r>
          </w:p>
        </w:tc>
        <w:tc>
          <w:tcPr>
            <w:tcW w:w="10220" w:type="dxa"/>
            <w:vAlign w:val="bottom"/>
          </w:tcPr>
          <w:p>
            <w:pPr>
              <w:ind w:left="26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10.29</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10.30</w:t>
            </w:r>
          </w:p>
        </w:tc>
        <w:tc>
          <w:tcPr>
            <w:tcW w:w="10220" w:type="dxa"/>
            <w:vAlign w:val="bottom"/>
          </w:tcPr>
          <w:p>
            <w:pPr>
              <w:ind w:left="26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257"/>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4"/>
              </w:rPr>
              <w:t>10.31*†</w:t>
            </w:r>
          </w:p>
        </w:tc>
        <w:tc>
          <w:tcPr>
            <w:tcW w:w="10220" w:type="dxa"/>
            <w:vAlign w:val="bottom"/>
          </w:tcPr>
          <w:p>
            <w:pPr>
              <w:ind w:left="260"/>
              <w:spacing w:after="0"/>
              <w:rPr>
                <w:sz w:val="20"/>
                <w:szCs w:val="20"/>
                <w:color w:val="auto"/>
              </w:rPr>
            </w:pPr>
            <w:r>
              <w:rPr>
                <w:rFonts w:ascii="Arial" w:cs="Arial" w:eastAsia="Arial" w:hAnsi="Arial"/>
                <w:sz w:val="16"/>
                <w:szCs w:val="16"/>
                <w:color w:val="auto"/>
              </w:rPr>
              <w:t>Form of Restricted Stock Unit Award for executive officers</w:t>
            </w:r>
          </w:p>
        </w:tc>
      </w:tr>
      <w:tr>
        <w:trPr>
          <w:trHeight w:val="266"/>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10.32*</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EZCORP, Inc. Change in Control Severance Plan, effective June 2, 2014 (incorporated by reference to Exhibit 10.1 to the Company’s Current Report on</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Form 8-K dated June 2,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10.33*</w:t>
            </w:r>
          </w:p>
        </w:tc>
        <w:tc>
          <w:tcPr>
            <w:tcW w:w="10220" w:type="dxa"/>
            <w:vAlign w:val="bottom"/>
          </w:tcPr>
          <w:p>
            <w:pPr>
              <w:ind w:left="260"/>
              <w:spacing w:after="0"/>
              <w:rPr>
                <w:sz w:val="20"/>
                <w:szCs w:val="20"/>
                <w:color w:val="auto"/>
              </w:rPr>
            </w:pPr>
            <w:r>
              <w:rPr>
                <w:rFonts w:ascii="Arial" w:cs="Arial" w:eastAsia="Arial" w:hAnsi="Arial"/>
                <w:sz w:val="16"/>
                <w:szCs w:val="16"/>
                <w:color w:val="auto"/>
                <w:w w:val="94"/>
              </w:rPr>
              <w:t>EZCORP, Inc. Executive Severance Pay Plan, effective June 2, 2014 (incorporated by reference to Exhibit 10.2 to the Company’s Current Report on</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Form 8-K dated June 2, 2014, Commission File No. 0-19424)</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5"/>
              </w:rPr>
              <w:t>10.34*</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Retirement Agreement dated April 3, 2014, between EZCORP, Inc. and Sterling B. Brinkley, former Executive Chairman of the Board (incorporated by</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w w:val="97"/>
              </w:rPr>
              <w:t>reference to Exhibit 10.18 to the Company’s Quarterly Report on Form 10-Q for the quarter ended June 30, 2014, Commission File No. 0-19424)</w:t>
            </w:r>
          </w:p>
        </w:tc>
      </w:tr>
      <w:tr>
        <w:trPr>
          <w:trHeight w:val="257"/>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94"/>
              </w:rPr>
              <w:t>10.35*†</w:t>
            </w:r>
          </w:p>
        </w:tc>
        <w:tc>
          <w:tcPr>
            <w:tcW w:w="10220" w:type="dxa"/>
            <w:vAlign w:val="bottom"/>
          </w:tcPr>
          <w:p>
            <w:pPr>
              <w:ind w:left="260"/>
              <w:spacing w:after="0"/>
              <w:rPr>
                <w:sz w:val="20"/>
                <w:szCs w:val="20"/>
                <w:color w:val="auto"/>
              </w:rPr>
            </w:pPr>
            <w:r>
              <w:rPr>
                <w:rFonts w:ascii="Arial" w:cs="Arial" w:eastAsia="Arial" w:hAnsi="Arial"/>
                <w:sz w:val="16"/>
                <w:szCs w:val="16"/>
                <w:color w:val="auto"/>
              </w:rPr>
              <w:t>Separation Agreement dated September 12, 2014, between EZCORP, Inc. and Barry W. Guest, former President, U.S. Pawn &amp; Retail</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10.36†</w:t>
            </w:r>
          </w:p>
        </w:tc>
        <w:tc>
          <w:tcPr>
            <w:tcW w:w="10220" w:type="dxa"/>
            <w:vAlign w:val="bottom"/>
          </w:tcPr>
          <w:p>
            <w:pPr>
              <w:ind w:left="260"/>
              <w:spacing w:after="0"/>
              <w:rPr>
                <w:sz w:val="20"/>
                <w:szCs w:val="20"/>
                <w:color w:val="auto"/>
              </w:rPr>
            </w:pPr>
            <w:r>
              <w:rPr>
                <w:rFonts w:ascii="Arial" w:cs="Arial" w:eastAsia="Arial" w:hAnsi="Arial"/>
                <w:sz w:val="16"/>
                <w:szCs w:val="16"/>
                <w:color w:val="auto"/>
              </w:rPr>
              <w:t>Consulting Agreement, effective October 1, 2013, between the Company and LPG Limited (HK)</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21.1†</w:t>
            </w:r>
          </w:p>
        </w:tc>
        <w:tc>
          <w:tcPr>
            <w:tcW w:w="10220" w:type="dxa"/>
            <w:vAlign w:val="bottom"/>
          </w:tcPr>
          <w:p>
            <w:pPr>
              <w:ind w:left="260"/>
              <w:spacing w:after="0"/>
              <w:rPr>
                <w:sz w:val="20"/>
                <w:szCs w:val="20"/>
                <w:color w:val="auto"/>
              </w:rPr>
            </w:pPr>
            <w:r>
              <w:rPr>
                <w:rFonts w:ascii="Arial" w:cs="Arial" w:eastAsia="Arial" w:hAnsi="Arial"/>
                <w:sz w:val="16"/>
                <w:szCs w:val="16"/>
                <w:color w:val="auto"/>
              </w:rPr>
              <w:t>Subsidiaries of EZCORP, Inc.</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23.1†</w:t>
            </w:r>
          </w:p>
        </w:tc>
        <w:tc>
          <w:tcPr>
            <w:tcW w:w="10220" w:type="dxa"/>
            <w:vAlign w:val="bottom"/>
          </w:tcPr>
          <w:p>
            <w:pPr>
              <w:ind w:left="260"/>
              <w:spacing w:after="0"/>
              <w:rPr>
                <w:sz w:val="20"/>
                <w:szCs w:val="20"/>
                <w:color w:val="auto"/>
              </w:rPr>
            </w:pPr>
            <w:r>
              <w:rPr>
                <w:rFonts w:ascii="Arial" w:cs="Arial" w:eastAsia="Arial" w:hAnsi="Arial"/>
                <w:sz w:val="16"/>
                <w:szCs w:val="16"/>
                <w:color w:val="auto"/>
              </w:rPr>
              <w:t>Consent of BDO USA, LLP</w:t>
            </w:r>
          </w:p>
        </w:tc>
      </w:tr>
      <w:tr>
        <w:trPr>
          <w:trHeight w:val="270"/>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23.2†</w:t>
            </w:r>
          </w:p>
        </w:tc>
        <w:tc>
          <w:tcPr>
            <w:tcW w:w="10220" w:type="dxa"/>
            <w:vAlign w:val="bottom"/>
          </w:tcPr>
          <w:p>
            <w:pPr>
              <w:ind w:left="260"/>
              <w:spacing w:after="0"/>
              <w:rPr>
                <w:sz w:val="20"/>
                <w:szCs w:val="20"/>
                <w:color w:val="auto"/>
              </w:rPr>
            </w:pPr>
            <w:r>
              <w:rPr>
                <w:rFonts w:ascii="Arial" w:cs="Arial" w:eastAsia="Arial" w:hAnsi="Arial"/>
                <w:sz w:val="16"/>
                <w:szCs w:val="16"/>
                <w:color w:val="auto"/>
              </w:rPr>
              <w:t>Consent of Deloitte &amp; Touche LLP</w:t>
            </w:r>
          </w:p>
        </w:tc>
      </w:tr>
      <w:tr>
        <w:trPr>
          <w:trHeight w:val="266"/>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31.1†</w:t>
            </w:r>
          </w:p>
        </w:tc>
        <w:tc>
          <w:tcPr>
            <w:tcW w:w="10220" w:type="dxa"/>
            <w:vAlign w:val="bottom"/>
          </w:tcPr>
          <w:p>
            <w:pPr>
              <w:ind w:left="260"/>
              <w:spacing w:after="0"/>
              <w:rPr>
                <w:sz w:val="20"/>
                <w:szCs w:val="20"/>
                <w:color w:val="auto"/>
              </w:rPr>
            </w:pPr>
            <w:r>
              <w:rPr>
                <w:rFonts w:ascii="Arial" w:cs="Arial" w:eastAsia="Arial" w:hAnsi="Arial"/>
                <w:sz w:val="16"/>
                <w:szCs w:val="16"/>
                <w:color w:val="auto"/>
                <w:w w:val="92"/>
              </w:rPr>
              <w:t>Certification of Mark Kuchenrither, Chief Executive Officer, pursuant to Rule 13a-14(a) under the Securities Exchange Act of 1934, as adopted pursuant</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to Section 302 of the Sarbanes-Oxley Act of 2002</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31.2†</w:t>
            </w:r>
          </w:p>
        </w:tc>
        <w:tc>
          <w:tcPr>
            <w:tcW w:w="10220" w:type="dxa"/>
            <w:vAlign w:val="bottom"/>
          </w:tcPr>
          <w:p>
            <w:pPr>
              <w:ind w:left="260"/>
              <w:spacing w:after="0"/>
              <w:rPr>
                <w:sz w:val="20"/>
                <w:szCs w:val="20"/>
                <w:color w:val="auto"/>
              </w:rPr>
            </w:pPr>
            <w:r>
              <w:rPr>
                <w:rFonts w:ascii="Arial" w:cs="Arial" w:eastAsia="Arial" w:hAnsi="Arial"/>
                <w:sz w:val="16"/>
                <w:szCs w:val="16"/>
                <w:color w:val="auto"/>
                <w:w w:val="93"/>
              </w:rPr>
              <w:t>Certification of Mark Kuchenrither, Chief Financial Officer, pursuant to Rule 13a-14(a) under the Securities Exchange Act of 1934, as adopted pursuant</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to Section 302 of the Sarbanes-Oxley Act of 2002</w:t>
            </w:r>
          </w:p>
        </w:tc>
      </w:tr>
      <w:tr>
        <w:trPr>
          <w:trHeight w:val="253"/>
        </w:trPr>
        <w:tc>
          <w:tcPr>
            <w:tcW w:w="780" w:type="dxa"/>
            <w:vAlign w:val="bottom"/>
          </w:tcPr>
          <w:p>
            <w:pPr>
              <w:jc w:val="center"/>
              <w:ind w:right="179"/>
              <w:spacing w:after="0"/>
              <w:rPr>
                <w:sz w:val="20"/>
                <w:szCs w:val="20"/>
                <w:color w:val="auto"/>
              </w:rPr>
            </w:pPr>
            <w:r>
              <w:rPr>
                <w:rFonts w:ascii="Arial" w:cs="Arial" w:eastAsia="Arial" w:hAnsi="Arial"/>
                <w:sz w:val="16"/>
                <w:szCs w:val="16"/>
                <w:color w:val="auto"/>
                <w:w w:val="89"/>
              </w:rPr>
              <w:t>32.1††</w:t>
            </w:r>
          </w:p>
        </w:tc>
        <w:tc>
          <w:tcPr>
            <w:tcW w:w="10220" w:type="dxa"/>
            <w:vAlign w:val="bottom"/>
          </w:tcPr>
          <w:p>
            <w:pPr>
              <w:ind w:left="260"/>
              <w:spacing w:after="0"/>
              <w:rPr>
                <w:sz w:val="20"/>
                <w:szCs w:val="20"/>
                <w:color w:val="auto"/>
              </w:rPr>
            </w:pPr>
            <w:r>
              <w:rPr>
                <w:rFonts w:ascii="Arial" w:cs="Arial" w:eastAsia="Arial" w:hAnsi="Arial"/>
                <w:sz w:val="16"/>
                <w:szCs w:val="16"/>
                <w:color w:val="auto"/>
                <w:w w:val="96"/>
              </w:rPr>
              <w:t>Certification of Mark Kuchenrither, Chief Executive Officer and Chief Financial Officer, pursuant to 18 U.S.C. Section 1350, as adopted pursuant to</w:t>
            </w:r>
          </w:p>
        </w:tc>
      </w:tr>
      <w:tr>
        <w:trPr>
          <w:trHeight w:val="206"/>
        </w:trPr>
        <w:tc>
          <w:tcPr>
            <w:tcW w:w="780" w:type="dxa"/>
            <w:vAlign w:val="bottom"/>
          </w:tcPr>
          <w:p>
            <w:pPr>
              <w:spacing w:after="0"/>
              <w:rPr>
                <w:sz w:val="17"/>
                <w:szCs w:val="17"/>
                <w:color w:val="auto"/>
              </w:rPr>
            </w:pPr>
          </w:p>
        </w:tc>
        <w:tc>
          <w:tcPr>
            <w:tcW w:w="10220" w:type="dxa"/>
            <w:vAlign w:val="bottom"/>
          </w:tcPr>
          <w:p>
            <w:pPr>
              <w:ind w:left="260"/>
              <w:spacing w:after="0"/>
              <w:rPr>
                <w:sz w:val="20"/>
                <w:szCs w:val="20"/>
                <w:color w:val="auto"/>
              </w:rPr>
            </w:pPr>
            <w:r>
              <w:rPr>
                <w:rFonts w:ascii="Arial" w:cs="Arial" w:eastAsia="Arial" w:hAnsi="Arial"/>
                <w:sz w:val="16"/>
                <w:szCs w:val="16"/>
                <w:color w:val="auto"/>
              </w:rPr>
              <w:t>Section 906 of the Sarbanes-Oxley Act of 2002</w:t>
            </w:r>
          </w:p>
        </w:tc>
      </w:tr>
    </w:tbl>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4600" w:type="dxa"/>
            <w:vAlign w:val="bottom"/>
            <w:vMerge w:val="restart"/>
          </w:tcPr>
          <w:p>
            <w:pPr>
              <w:ind w:left="18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4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4600" w:type="dxa"/>
            <w:vAlign w:val="bottom"/>
            <w:vMerge w:val="restart"/>
          </w:tcPr>
          <w:p>
            <w:pPr>
              <w:ind w:left="18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4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4600" w:type="dxa"/>
            <w:vAlign w:val="bottom"/>
            <w:vMerge w:val="restart"/>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4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1020" w:type="dxa"/>
            <w:vAlign w:val="bottom"/>
          </w:tcPr>
          <w:p>
            <w:pPr>
              <w:spacing w:after="0"/>
              <w:rPr>
                <w:sz w:val="24"/>
                <w:szCs w:val="24"/>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60"/>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6"/>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6"/>
                <w:szCs w:val="16"/>
                <w:color w:val="auto"/>
                <w:w w:val="95"/>
              </w:rPr>
              <w:t>101.LAB†††</w:t>
            </w:r>
          </w:p>
        </w:tc>
        <w:tc>
          <w:tcPr>
            <w:tcW w:w="60" w:type="dxa"/>
            <w:vAlign w:val="bottom"/>
          </w:tcPr>
          <w:p>
            <w:pPr>
              <w:spacing w:after="0"/>
              <w:rPr>
                <w:sz w:val="24"/>
                <w:szCs w:val="24"/>
                <w:color w:val="auto"/>
              </w:rPr>
            </w:pPr>
          </w:p>
        </w:tc>
        <w:tc>
          <w:tcPr>
            <w:tcW w:w="4120" w:type="dxa"/>
            <w:vAlign w:val="bottom"/>
            <w:vMerge w:val="restart"/>
          </w:tcPr>
          <w:p>
            <w:pPr>
              <w:ind w:left="80"/>
              <w:spacing w:after="0"/>
              <w:rPr>
                <w:sz w:val="20"/>
                <w:szCs w:val="20"/>
                <w:color w:val="auto"/>
              </w:rPr>
            </w:pPr>
            <w:r>
              <w:rPr>
                <w:rFonts w:ascii="Arial" w:cs="Arial" w:eastAsia="Arial" w:hAnsi="Arial"/>
                <w:sz w:val="16"/>
                <w:szCs w:val="16"/>
                <w:color w:val="auto"/>
              </w:rPr>
              <w:t>XBRL Taxonomy Label Linkbase Document</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gridSpan w:val="2"/>
          </w:tcPr>
          <w:p>
            <w:pPr>
              <w:jc w:val="center"/>
              <w:ind w:right="60"/>
              <w:spacing w:after="0"/>
              <w:rPr>
                <w:sz w:val="20"/>
                <w:szCs w:val="20"/>
                <w:color w:val="auto"/>
              </w:rPr>
            </w:pPr>
            <w:r>
              <w:rPr>
                <w:rFonts w:ascii="Arial" w:cs="Arial" w:eastAsia="Arial" w:hAnsi="Arial"/>
                <w:sz w:val="16"/>
                <w:szCs w:val="16"/>
                <w:color w:val="auto"/>
                <w:w w:val="93"/>
              </w:rPr>
              <w:t>101.DEF†††</w:t>
            </w:r>
          </w:p>
        </w:tc>
        <w:tc>
          <w:tcPr>
            <w:tcW w:w="4120" w:type="dxa"/>
            <w:vAlign w:val="bottom"/>
            <w:vMerge w:val="restart"/>
          </w:tcPr>
          <w:p>
            <w:pPr>
              <w:ind w:left="80"/>
              <w:spacing w:after="0"/>
              <w:rPr>
                <w:sz w:val="20"/>
                <w:szCs w:val="20"/>
                <w:color w:val="auto"/>
              </w:rPr>
            </w:pPr>
            <w:r>
              <w:rPr>
                <w:rFonts w:ascii="Arial" w:cs="Arial" w:eastAsia="Arial" w:hAnsi="Arial"/>
                <w:sz w:val="16"/>
                <w:szCs w:val="16"/>
                <w:color w:val="auto"/>
                <w:w w:val="97"/>
              </w:rPr>
              <w:t>XBRL Taxonomy Extension Definition Linkbase Document</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101.PRE†††</w:t>
            </w:r>
          </w:p>
        </w:tc>
        <w:tc>
          <w:tcPr>
            <w:tcW w:w="4120" w:type="dxa"/>
            <w:vAlign w:val="bottom"/>
            <w:vMerge w:val="restart"/>
          </w:tcPr>
          <w:p>
            <w:pPr>
              <w:ind w:left="80"/>
              <w:spacing w:after="0"/>
              <w:rPr>
                <w:sz w:val="20"/>
                <w:szCs w:val="20"/>
                <w:color w:val="auto"/>
              </w:rPr>
            </w:pPr>
            <w:r>
              <w:rPr>
                <w:rFonts w:ascii="Arial" w:cs="Arial" w:eastAsia="Arial" w:hAnsi="Arial"/>
                <w:sz w:val="16"/>
                <w:szCs w:val="16"/>
                <w:color w:val="auto"/>
                <w:w w:val="92"/>
              </w:rPr>
              <w:t>XBRL Taxonomy Extension Presentation Linkbase Document</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5460" w:type="dxa"/>
            <w:vAlign w:val="bottom"/>
            <w:gridSpan w:val="3"/>
          </w:tcPr>
          <w:p>
            <w:pPr>
              <w:jc w:val="right"/>
              <w:ind w:right="2759"/>
              <w:spacing w:after="0"/>
              <w:rPr>
                <w:sz w:val="20"/>
                <w:szCs w:val="20"/>
                <w:color w:val="auto"/>
              </w:rPr>
            </w:pPr>
            <w:r>
              <w:rPr>
                <w:rFonts w:ascii="Arial" w:cs="Arial" w:eastAsia="Arial" w:hAnsi="Arial"/>
                <w:sz w:val="18"/>
                <w:szCs w:val="18"/>
                <w:color w:val="auto"/>
                <w:w w:val="89"/>
              </w:rPr>
              <w:t>_____________________________</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420" w:hanging="1385"/>
        <w:spacing w:after="0"/>
        <w:tabs>
          <w:tab w:leader="none" w:pos="14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hanging="1385"/>
        <w:spacing w:after="0" w:line="303" w:lineRule="auto"/>
        <w:tabs>
          <w:tab w:leader="none" w:pos="14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formatted in XBRL (Extensible Business Reporting Language): (i) Consolidated Balance Sheets at September 30, 2014, and September 30, 2013; (ii) Consolidated Statements of Operations for the years ended September 30, 2014, September 30, 2013 and September 30, 2012; (iii) Consolidated Statements of Comprehensive Income for the years ended September 30, 2014, September 30, 2013 and September 30, 2012; Consolidated Statements of Cash Flows for the for the years ended September 30, 2014, September 30, 2013 and September 30, 2012; Consolidated Statements of Shareholders’ Equity for the years ended September 30, 2014, September 30, 2013 and September 30, 2012; and</w:t>
      </w:r>
    </w:p>
    <w:p>
      <w:pPr>
        <w:ind w:left="1420"/>
        <w:spacing w:after="0"/>
        <w:rPr>
          <w:rFonts w:ascii="Arial" w:cs="Arial" w:eastAsia="Arial" w:hAnsi="Arial"/>
          <w:sz w:val="14"/>
          <w:szCs w:val="14"/>
          <w:color w:val="auto"/>
        </w:rPr>
      </w:pPr>
      <w:r>
        <w:rPr>
          <w:rFonts w:ascii="Arial" w:cs="Arial" w:eastAsia="Arial" w:hAnsi="Arial"/>
          <w:sz w:val="16"/>
          <w:szCs w:val="16"/>
          <w:color w:val="auto"/>
        </w:rPr>
        <w:t>(iv) Notes to Consolidated Financial Statements.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108" w:right="2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10.31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OFFICERS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Summary</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Recipient</w:t>
        <w:tab/>
        <w:t>[NAME OF EXECUTIVE OFFICER]</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Employee No.</w:t>
        <w:tab/>
        <w:t>[XXX-XX-XXXX]</w:t>
      </w:r>
    </w:p>
    <w:p>
      <w:pPr>
        <w:spacing w:after="0" w:line="11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Award Identification No.</w:t>
        <w:tab/>
        <w:t>[XXXXXXXXX]</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Date of Award</w:t>
      </w:r>
      <w:r>
        <w:rPr>
          <w:sz w:val="20"/>
          <w:szCs w:val="20"/>
          <w:color w:val="auto"/>
        </w:rPr>
        <w:tab/>
      </w:r>
      <w:r>
        <w:rPr>
          <w:rFonts w:ascii="Arial" w:cs="Arial" w:eastAsia="Arial" w:hAnsi="Arial"/>
          <w:sz w:val="16"/>
          <w:szCs w:val="16"/>
          <w:b w:val="1"/>
          <w:bCs w:val="1"/>
          <w:color w:val="auto"/>
        </w:rPr>
        <w:t>February 18, 2014</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Number of Units (Total)</w:t>
      </w:r>
      <w:r>
        <w:rPr>
          <w:sz w:val="20"/>
          <w:szCs w:val="20"/>
          <w:color w:val="auto"/>
        </w:rPr>
        <w:tab/>
      </w:r>
      <w:r>
        <w:rPr>
          <w:rFonts w:ascii="Arial" w:cs="Arial" w:eastAsia="Arial" w:hAnsi="Arial"/>
          <w:sz w:val="17"/>
          <w:szCs w:val="17"/>
          <w:b w:val="1"/>
          <w:bCs w:val="1"/>
          <w:color w:val="auto"/>
        </w:rPr>
        <w:t>[NUMBER OF UNITS]</w:t>
      </w:r>
    </w:p>
    <w:p>
      <w:pPr>
        <w:spacing w:after="0" w:line="117" w:lineRule="exact"/>
        <w:rPr>
          <w:sz w:val="20"/>
          <w:szCs w:val="20"/>
          <w:color w:val="auto"/>
        </w:rPr>
      </w:pPr>
    </w:p>
    <w:p>
      <w:pPr>
        <w:spacing w:after="0"/>
        <w:tabs>
          <w:tab w:leader="none" w:pos="1560" w:val="left"/>
          <w:tab w:leader="none" w:pos="238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Date</w:t>
      </w:r>
    </w:p>
    <w:p>
      <w:pPr>
        <w:spacing w:after="0" w:line="117" w:lineRule="exact"/>
        <w:rPr>
          <w:sz w:val="20"/>
          <w:szCs w:val="20"/>
          <w:color w:val="auto"/>
        </w:rPr>
      </w:pPr>
    </w:p>
    <w:p>
      <w:pPr>
        <w:jc w:val="both"/>
        <w:ind w:left="660" w:right="8840" w:hanging="4"/>
        <w:spacing w:after="0" w:line="314" w:lineRule="auto"/>
        <w:tabs>
          <w:tab w:leader="none" w:pos="1360" w:val="left"/>
        </w:tabs>
        <w:numPr>
          <w:ilvl w:val="1"/>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October 1, 2014 XXXX October 1, 2015 XXXX October 1, 2016</w:t>
      </w:r>
    </w:p>
    <w:p>
      <w:pPr>
        <w:spacing w:after="0" w:line="10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Subject to the Performance Goals described in Exhibit A.</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EZCORP, Inc., a Delaware corporation (the “Company”), is pleased to award you Restricted Stock Units, subject to the “Standard Terms and Conditions” attached to this Award Summary (the “Term and Conditions”). This Award Summary, together with the Terms and Conditions, shall constitute the Award Agreement with regard to the award of Restricted Stock Units described herein.</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As provided in the Terms and Conditions, this award of Restricted Stock Units will not be effective until you have accepted the award, and acknowledged and agreed to the terms and conditions set forth in the Award Agreement, by executing this Award Summary in the space provided below and returning it to the Company’s Stock Plan Administrator, 1901 Capital Parkway, Austin, Texas 78746, Attention: Laura Jones.</w:t>
      </w:r>
    </w:p>
    <w:p>
      <w:pPr>
        <w:spacing w:after="0" w:line="10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Awarded subject to the terms and conditions stated above:</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Anthony Sanders,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Senior Vice President - Human Resources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the Award described herein and acknowledge and agree to the terms and conditions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center"/>
        <w:ind w:right="7360"/>
        <w:spacing w:after="0"/>
        <w:rPr>
          <w:sz w:val="20"/>
          <w:szCs w:val="20"/>
          <w:color w:val="auto"/>
        </w:rPr>
      </w:pPr>
      <w:r>
        <w:rPr>
          <w:rFonts w:ascii="Arial" w:cs="Arial" w:eastAsia="Arial" w:hAnsi="Arial"/>
          <w:sz w:val="18"/>
          <w:szCs w:val="18"/>
          <w:color w:val="auto"/>
        </w:rPr>
        <w:t>[NAME OF EXECUTIVE OFFICER]</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EXECUTIVE OFFICERS</w:t>
      </w:r>
    </w:p>
    <w:p>
      <w:pPr>
        <w:sectPr>
          <w:pgSz w:w="11900" w:h="16838" w:orient="portrait"/>
          <w:cols w:equalWidth="0" w:num="1">
            <w:col w:w="11420"/>
          </w:cols>
          <w:pgMar w:left="240" w:top="7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97" w:right="239" w:bottom="1440" w:gutter="0" w:footer="0" w:header="0"/>
          <w:type w:val="continuous"/>
        </w:sectPr>
      </w:pPr>
    </w:p>
    <w:bookmarkStart w:id="174" w:name="page175"/>
    <w:bookmarkEnd w:id="174"/>
    <w:p>
      <w:pPr>
        <w:ind w:left="52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Exhibit constitutes a part of the Award Summary to which it is attached, and is hereby incorporated into such Award Summary.</w:t>
      </w: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PERFORMANCE GOALS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specific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581"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 and Conditions</w:t>
      </w: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The Award described below is made under the EZCORP, Inc. 2010 Long-Term Incentive Plan (the “Plan”) and is governed by the terms of the Plan in addition to the terms and conditions stated in the Award Agreement referred to below. A copy of the Plan is available from the Company’s Stock Plan Administration Department. Unless otherwise defined, all capitalized terms used herein shall have the respective meanings described in the Plan.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terms and conditions apply to the award of Restricted Stock Units made on or about February 15, 2014 by EZCORP, Inc., a Delaware corporation (the “Company”), to any employee of the Company or any Subsidiary of the Company. The recipient of an Award, the date of the Award and the number of Units awarded are set forth in an Award Summary that has been duly executed and issued by the Company and appropriately acknowledged and accepted by the recipient (the “Award Summary”). That Award Summary, together with these term and conditions, shall constitute the Award Agreement with regard to the Award. As used herein, the term “you” (and derivatives thereof) refers to the recipient of the Award, and the term “Units” refers to the Restricted Stock Units that are subject to the Award.</w:t>
      </w:r>
    </w:p>
    <w:p>
      <w:pPr>
        <w:spacing w:after="0" w:line="153" w:lineRule="exact"/>
        <w:rPr>
          <w:sz w:val="20"/>
          <w:szCs w:val="20"/>
          <w:color w:val="auto"/>
        </w:rPr>
      </w:pPr>
    </w:p>
    <w:p>
      <w:pPr>
        <w:jc w:val="both"/>
        <w:ind w:left="500" w:hanging="492"/>
        <w:spacing w:after="0" w:line="264"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As a material inducement to the Company to make this Award, you agree that the following terms and conditions shall apply to this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you are not otherwise entitled to this Award, that the Company is providing this Award in consideration for your promises and agreements below and that the Company would not grant this Award absent those promises and agreements.</w:t>
      </w:r>
    </w:p>
    <w:p>
      <w:pPr>
        <w:spacing w:after="0" w:line="14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Each Unit awarded to you represents your right to receive one share of Stock on the applicable vesting date, subject to the terms and conditions described herein.</w:t>
      </w:r>
    </w:p>
    <w:p>
      <w:pPr>
        <w:spacing w:after="0" w:line="125" w:lineRule="exact"/>
        <w:rPr>
          <w:rFonts w:ascii="Arial" w:cs="Arial" w:eastAsia="Arial" w:hAnsi="Arial"/>
          <w:sz w:val="18"/>
          <w:szCs w:val="18"/>
          <w:color w:val="auto"/>
        </w:rPr>
      </w:pPr>
    </w:p>
    <w:p>
      <w:pPr>
        <w:jc w:val="both"/>
        <w:ind w:left="500" w:right="20" w:hanging="492"/>
        <w:spacing w:after="0" w:line="266"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conditions of this Agreement, the Units will vest in accordance with the Vesting Schedule set forth in the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Summary. Notwithstanding that Vesting Schedule, if your Employment is terminated by reason of your death or Permanent Disability, all Units will vest immediately and automatically upon such termination of Employment.</w:t>
      </w:r>
    </w:p>
    <w:p>
      <w:pPr>
        <w:spacing w:after="0" w:line="139"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Transfer Restrictions and Expiration </w:t>
      </w:r>
      <w:r>
        <w:rPr>
          <w:rFonts w:ascii="Arial" w:cs="Arial" w:eastAsia="Arial" w:hAnsi="Arial"/>
          <w:sz w:val="18"/>
          <w:szCs w:val="18"/>
          <w:color w:val="auto"/>
        </w:rPr>
        <w:t>- You may not sell, assign, transfer, pledge or otherwise dispose of any Unit. You may sell, assign,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pledge or otherwise dispose of the underlying share of Stock only after you have received that share upon vesting of related Unit (if the Unit is settled in Stock).</w:t>
      </w:r>
    </w:p>
    <w:p>
      <w:pPr>
        <w:spacing w:after="0" w:line="140" w:lineRule="exact"/>
        <w:rPr>
          <w:rFonts w:ascii="Arial" w:cs="Arial" w:eastAsia="Arial" w:hAnsi="Arial"/>
          <w:sz w:val="18"/>
          <w:szCs w:val="18"/>
          <w:color w:val="auto"/>
        </w:rPr>
      </w:pPr>
    </w:p>
    <w:p>
      <w:pPr>
        <w:jc w:val="both"/>
        <w:ind w:left="500"/>
        <w:spacing w:after="0" w:line="264" w:lineRule="auto"/>
        <w:rPr>
          <w:rFonts w:ascii="Arial" w:cs="Arial" w:eastAsia="Arial" w:hAnsi="Arial"/>
          <w:sz w:val="18"/>
          <w:szCs w:val="18"/>
          <w:color w:val="auto"/>
        </w:rPr>
      </w:pPr>
      <w:r>
        <w:rPr>
          <w:rFonts w:ascii="Arial" w:cs="Arial" w:eastAsia="Arial" w:hAnsi="Arial"/>
          <w:sz w:val="18"/>
          <w:szCs w:val="18"/>
          <w:color w:val="auto"/>
        </w:rPr>
        <w:t>If your Employment (as defined below) terminates for any reason other than your death or Permanent Disability, any Unit that has not vested will expire at that time, and your right to receive any consideration for such Unit (whether Stock or cash) will terminate, without any payment of consideration by the Company.</w:t>
      </w:r>
    </w:p>
    <w:p>
      <w:pPr>
        <w:spacing w:after="0" w:line="140" w:lineRule="exact"/>
        <w:rPr>
          <w:rFonts w:ascii="Arial" w:cs="Arial" w:eastAsia="Arial" w:hAnsi="Arial"/>
          <w:sz w:val="18"/>
          <w:szCs w:val="18"/>
          <w:color w:val="auto"/>
        </w:rPr>
      </w:pPr>
    </w:p>
    <w:p>
      <w:pPr>
        <w:ind w:left="500"/>
        <w:spacing w:after="0" w:line="308" w:lineRule="auto"/>
        <w:rPr>
          <w:rFonts w:ascii="Arial" w:cs="Arial" w:eastAsia="Arial" w:hAnsi="Arial"/>
          <w:sz w:val="18"/>
          <w:szCs w:val="18"/>
          <w:color w:val="auto"/>
        </w:rPr>
      </w:pPr>
      <w:r>
        <w:rPr>
          <w:rFonts w:ascii="Arial" w:cs="Arial" w:eastAsia="Arial" w:hAnsi="Arial"/>
          <w:sz w:val="17"/>
          <w:szCs w:val="17"/>
          <w:color w:val="auto"/>
        </w:rPr>
        <w:t>As used herein, the term “Employment” means your regular full-time or part-time employment with the Company or any of its Subsidiaries, and the term “Employer” means the Company (if you are employed by the Company) or the Subsidiary of the Company that employs you.</w:t>
      </w:r>
    </w:p>
    <w:p>
      <w:pPr>
        <w:spacing w:after="0" w:line="106"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Rights as a Stockholder - </w:t>
      </w:r>
      <w:r>
        <w:rPr>
          <w:rFonts w:ascii="Arial" w:cs="Arial" w:eastAsia="Arial" w:hAnsi="Arial"/>
          <w:sz w:val="18"/>
          <w:szCs w:val="18"/>
          <w:color w:val="auto"/>
        </w:rPr>
        <w:t>You will have no rights as a stockholder with respect to the Units awarded pursuant to this Award (including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or dividend equivalent payments and rights to vote) until the Units have vested and the Stock underlying those Units has been actually been issued and registered in your name on the books of the Company’s transfer agent.</w:t>
      </w:r>
    </w:p>
    <w:p>
      <w:pPr>
        <w:spacing w:after="0" w:line="14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10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Settlement </w:t>
      </w:r>
      <w:r>
        <w:rPr>
          <w:rFonts w:ascii="Arial" w:cs="Arial" w:eastAsia="Arial" w:hAnsi="Arial"/>
          <w:sz w:val="17"/>
          <w:szCs w:val="17"/>
          <w:color w:val="auto"/>
        </w:rPr>
        <w:t>- Notwithstanding anything to the contrary herein and subject to Paragraph 6 below, as soon as practicable after the date on which the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vested, the Company, at its option and in its sole and absolute discretion, shall, for each vested Unit, either (a) issue to you a share of Stock or (b) deliver to you an amount in cash equal to the Fair Market Value of a share of Stock on the vesting date.</w:t>
      </w:r>
    </w:p>
    <w:p>
      <w:pPr>
        <w:spacing w:after="0" w:line="125" w:lineRule="exact"/>
        <w:rPr>
          <w:rFonts w:ascii="Arial" w:cs="Arial" w:eastAsia="Arial" w:hAnsi="Arial"/>
          <w:sz w:val="17"/>
          <w:szCs w:val="17"/>
          <w:b w:val="1"/>
          <w:bCs w:val="1"/>
          <w:i w:val="1"/>
          <w:iCs w:val="1"/>
          <w:color w:val="auto"/>
        </w:rPr>
      </w:pPr>
    </w:p>
    <w:p>
      <w:pPr>
        <w:jc w:val="both"/>
        <w:ind w:left="50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To the extent that the Company chooses to settle the Units in Stock, the Company will issue the underlying Stock in your name in the form of an entry into a share memo account with the Company’s stock transfer agent. At any time thereafter, you (or, in the case of your death or Permanent Disability, your legal representatives) shall have the right to have such Stock certificated and transferred in accordance with the transfer agent’s procedures generally applicable to all stockholders.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176" w:name="page177"/>
    <w:bookmarkEnd w:id="176"/>
    <w:p>
      <w:pPr>
        <w:jc w:val="both"/>
        <w:ind w:left="500" w:hanging="492"/>
        <w:spacing w:after="0" w:line="286" w:lineRule="auto"/>
        <w:tabs>
          <w:tab w:leader="none" w:pos="500"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Agreement With Respect to Taxes - </w:t>
      </w:r>
      <w:r>
        <w:rPr>
          <w:rFonts w:ascii="Arial" w:cs="Arial" w:eastAsia="Arial" w:hAnsi="Arial"/>
          <w:sz w:val="16"/>
          <w:szCs w:val="16"/>
          <w:color w:val="auto"/>
        </w:rPr>
        <w:t>You must pay any taxes that are required to be withheld by the Company or your Employer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granting or settlement of this Award. You may pay such amounts in cash or make other arrangements satisfactory to the Company or your Employer for the payment of such amounts. You agree that the Company and your Employer, at their sole discretion and to the fullest extent permitted by law, shall have the right to (a) demand that you pay such amounts in cash, (b) deduct such amounts from any payments of any kind otherwise due to you or</w:t>
      </w:r>
    </w:p>
    <w:p>
      <w:pPr>
        <w:spacing w:after="0" w:line="1" w:lineRule="exact"/>
        <w:rPr>
          <w:rFonts w:ascii="Arial" w:cs="Arial" w:eastAsia="Arial" w:hAnsi="Arial"/>
          <w:sz w:val="16"/>
          <w:szCs w:val="16"/>
          <w:color w:val="auto"/>
        </w:rPr>
      </w:pPr>
    </w:p>
    <w:p>
      <w:pPr>
        <w:jc w:val="both"/>
        <w:ind w:left="500" w:hanging="6"/>
        <w:spacing w:after="0" w:line="252" w:lineRule="auto"/>
        <w:tabs>
          <w:tab w:leader="none" w:pos="76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withhold or deduct from Stock or cash to which you would otherwise be entitled the number of shares of Stock, or amount of cash, having an aggregate Fair Market Value at that time equal to the amount you owe. If the Units are settled in Stock and the Company and your Employer, in their sole discretion, determine that your obligations will not be satisfied under the methods described in this Paragraph, you hereby authorize the Company (or its agent) to sell a portion of the Stock that is issued in satisfaction of the Units, which the Company determines as having at least the market value sufficient to meet your obligations (plus additional shares to account for rounding and market fluctuations), and use the net proceeds of such sale to satisfy your obligations. Any such shares may be sold as part of a block trade for the collective benefit of you and other participants, with all such participants receiving an average price.</w:t>
      </w:r>
    </w:p>
    <w:p>
      <w:pPr>
        <w:spacing w:after="0" w:line="1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Leaves of Absence - </w:t>
      </w:r>
      <w:r>
        <w:rPr>
          <w:rFonts w:ascii="Arial" w:cs="Arial" w:eastAsia="Arial" w:hAnsi="Arial"/>
          <w:sz w:val="18"/>
          <w:szCs w:val="18"/>
          <w:color w:val="auto"/>
        </w:rPr>
        <w:t>If you take a leave of absence from active Employment that has been approved by your Employer or is one to which you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entitled regardless of such approval, the following provisions will apply:</w:t>
      </w:r>
    </w:p>
    <w:p>
      <w:pPr>
        <w:spacing w:after="0" w:line="129" w:lineRule="exact"/>
        <w:rPr>
          <w:rFonts w:ascii="Arial" w:cs="Arial" w:eastAsia="Arial" w:hAnsi="Arial"/>
          <w:sz w:val="18"/>
          <w:szCs w:val="18"/>
          <w:color w:val="auto"/>
        </w:rPr>
      </w:pPr>
    </w:p>
    <w:p>
      <w:pPr>
        <w:jc w:val="both"/>
        <w:ind w:left="980" w:hanging="486"/>
        <w:spacing w:after="0" w:line="257" w:lineRule="auto"/>
        <w:tabs>
          <w:tab w:leader="none" w:pos="980" w:val="left"/>
        </w:tabs>
        <w:numPr>
          <w:ilvl w:val="2"/>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Vesting During Leave </w:t>
      </w:r>
      <w:r>
        <w:rPr>
          <w:rFonts w:ascii="Arial" w:cs="Arial" w:eastAsia="Arial" w:hAnsi="Arial"/>
          <w:sz w:val="18"/>
          <w:szCs w:val="18"/>
          <w:color w:val="auto"/>
        </w:rPr>
        <w:t>- Notwithstanding the Vesting Schedule set forth in the Award Summary, no Units will vest during a leave of absence</w:t>
      </w:r>
      <w:r>
        <w:rPr>
          <w:rFonts w:ascii="Arial" w:cs="Arial" w:eastAsia="Arial" w:hAnsi="Arial"/>
          <w:sz w:val="18"/>
          <w:szCs w:val="18"/>
          <w:i w:val="1"/>
          <w:iCs w:val="1"/>
          <w:color w:val="auto"/>
        </w:rPr>
        <w:t xml:space="preserve"> </w:t>
      </w:r>
      <w:r>
        <w:rPr>
          <w:rFonts w:ascii="Arial" w:cs="Arial" w:eastAsia="Arial" w:hAnsi="Arial"/>
          <w:sz w:val="18"/>
          <w:szCs w:val="18"/>
          <w:color w:val="auto"/>
        </w:rPr>
        <w:t>lasting more than 30 days, unless such leave of absence is an approved medical, FMLA or military leave. The vesting that would have otherwise occurred during a leave of absence lasting more than 30 days (other than an approved medical, FMLA or military leave) will be deferred by the number of days you are on leave of absence. For example, if Units are scheduled to vest on October 1, 2014 and you take a 60-day leave of absence, the vesting will be deferred to November 30, 2014.</w:t>
      </w:r>
    </w:p>
    <w:p>
      <w:pPr>
        <w:spacing w:after="0" w:line="147" w:lineRule="exact"/>
        <w:rPr>
          <w:rFonts w:ascii="Arial" w:cs="Arial" w:eastAsia="Arial" w:hAnsi="Arial"/>
          <w:sz w:val="18"/>
          <w:szCs w:val="18"/>
          <w:color w:val="auto"/>
        </w:rPr>
      </w:pPr>
    </w:p>
    <w:p>
      <w:pPr>
        <w:ind w:left="980" w:right="20" w:hanging="486"/>
        <w:spacing w:after="0" w:line="277" w:lineRule="auto"/>
        <w:tabs>
          <w:tab w:leader="none" w:pos="980" w:val="left"/>
        </w:tabs>
        <w:numPr>
          <w:ilvl w:val="2"/>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Effect of Termination During Leave </w:t>
      </w:r>
      <w:r>
        <w:rPr>
          <w:rFonts w:ascii="Arial" w:cs="Arial" w:eastAsia="Arial" w:hAnsi="Arial"/>
          <w:sz w:val="18"/>
          <w:szCs w:val="18"/>
          <w:color w:val="auto"/>
        </w:rPr>
        <w:t>- If your Employment is terminated while you are on a leave of absence, the Units will vest or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stated in Paragraphs 2 and 3.</w:t>
      </w:r>
    </w:p>
    <w:p>
      <w:pPr>
        <w:spacing w:after="0" w:line="129" w:lineRule="exact"/>
        <w:rPr>
          <w:rFonts w:ascii="Arial" w:cs="Arial" w:eastAsia="Arial" w:hAnsi="Arial"/>
          <w:sz w:val="18"/>
          <w:szCs w:val="18"/>
          <w:color w:val="auto"/>
        </w:rPr>
      </w:pPr>
    </w:p>
    <w:p>
      <w:pPr>
        <w:jc w:val="both"/>
        <w:ind w:left="500" w:hanging="492"/>
        <w:spacing w:after="0" w:line="272" w:lineRule="auto"/>
        <w:tabs>
          <w:tab w:leader="none" w:pos="50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 of Share or Cash Value - </w:t>
      </w:r>
      <w:r>
        <w:rPr>
          <w:rFonts w:ascii="Arial" w:cs="Arial" w:eastAsia="Arial" w:hAnsi="Arial"/>
          <w:sz w:val="17"/>
          <w:szCs w:val="17"/>
          <w:color w:val="auto"/>
        </w:rPr>
        <w:t>By accepting this Award, you agree that if the Company determines that you engaged in “Conduct Detrimental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 defined below) during your Employment or during the one-year period following the termination of your Employment, you shall be required, upon demand, to return to the Company, in the form of a cash payment, the “Returnable Value.” For this purpose, “Returnable Value” means the total Fair Market Value of all Stock that was issued to you, or the total amount of cash that was delivered to you, pursuant to this Award (including any Stock that was withheld or sold, or any cash that was withheld, to satisfy your obligations under Paragraph 6), determined as of the date such Stock was issued, or such cash was delivered, to you. The payment of the Returnable Value shall be in addition to and separate from any other relief or remedies available to the Company due to your Conduct Detrimental to the Company.</w:t>
      </w:r>
    </w:p>
    <w:p>
      <w:pPr>
        <w:spacing w:after="0" w:line="137" w:lineRule="exact"/>
        <w:rPr>
          <w:rFonts w:ascii="Arial" w:cs="Arial" w:eastAsia="Arial" w:hAnsi="Arial"/>
          <w:sz w:val="17"/>
          <w:szCs w:val="17"/>
          <w:color w:val="auto"/>
        </w:rPr>
      </w:pPr>
    </w:p>
    <w:p>
      <w:pPr>
        <w:jc w:val="both"/>
        <w:ind w:left="500"/>
        <w:spacing w:after="0" w:line="259" w:lineRule="auto"/>
        <w:rPr>
          <w:rFonts w:ascii="Arial" w:cs="Arial" w:eastAsia="Arial" w:hAnsi="Arial"/>
          <w:sz w:val="17"/>
          <w:szCs w:val="17"/>
          <w:color w:val="auto"/>
        </w:rPr>
      </w:pPr>
      <w:r>
        <w:rPr>
          <w:rFonts w:ascii="Arial" w:cs="Arial" w:eastAsia="Arial" w:hAnsi="Arial"/>
          <w:sz w:val="18"/>
          <w:szCs w:val="18"/>
          <w:color w:val="auto"/>
        </w:rPr>
        <w:t>For purposes of this Agreement, you will be considered to have engaged in “Conduct Detrimental to the Company” if (a) you engage in serious misconduct (whether or not such serious misconduct is discovered by the Company prior to the termination of your Employment) or (b) you violate the terms of the Protection of Sensitive Information, Noncompetition and Nonsolicitation Agreement between you and the Company, the terms and provisions of which you hereby acknowledge and reaffirm.</w:t>
      </w:r>
    </w:p>
    <w:p>
      <w:pPr>
        <w:spacing w:after="0" w:line="146"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Restrictions - </w:t>
      </w:r>
      <w:r>
        <w:rPr>
          <w:rFonts w:ascii="Arial" w:cs="Arial" w:eastAsia="Arial" w:hAnsi="Arial"/>
          <w:sz w:val="18"/>
          <w:szCs w:val="18"/>
          <w:color w:val="auto"/>
        </w:rPr>
        <w:t>The Company may establish periods from time to time during which your ability to engage in transactions involving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subject to specified restrictions (“Restricted Periods”). If the Units vest during a Restricted Period and are settled in Stock, then you may not be able to sell such Stock (either to satisfy tax withholding obligations or otherwise) unless you have made irrevocable arrangements to do so outside of any Restricted Period. You may be subject to a Restricted Period for any reason that the Company determines appropriate, including Restricted Periods generally applicable to employees or groups of employees or Restricted Periods applicable to you during an investigation of allegations of misconduct or Conduct Detrimental to the Company by you.</w:t>
      </w:r>
    </w:p>
    <w:p>
      <w:pPr>
        <w:spacing w:after="0" w:line="152" w:lineRule="exact"/>
        <w:rPr>
          <w:rFonts w:ascii="Arial" w:cs="Arial" w:eastAsia="Arial" w:hAnsi="Arial"/>
          <w:sz w:val="18"/>
          <w:szCs w:val="18"/>
          <w:color w:val="auto"/>
        </w:rPr>
      </w:pPr>
    </w:p>
    <w:p>
      <w:pPr>
        <w:ind w:left="500" w:hanging="478"/>
        <w:spacing w:after="0" w:line="277" w:lineRule="auto"/>
        <w:tabs>
          <w:tab w:leader="none" w:pos="500" w:val="left"/>
        </w:tabs>
        <w:numPr>
          <w:ilvl w:val="1"/>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Prospectus - </w:t>
      </w:r>
      <w:r>
        <w:rPr>
          <w:rFonts w:ascii="Arial" w:cs="Arial" w:eastAsia="Arial" w:hAnsi="Arial"/>
          <w:sz w:val="18"/>
          <w:szCs w:val="18"/>
          <w:color w:val="auto"/>
        </w:rPr>
        <w:t>You may obtain a copy of the prospectus related to the Stock underlying the Units free of charge by making a request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Plan Administration Department: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- 1901 Capital Parkway, Austin, Texas 78746, Attention: Laura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 (512) 314-3465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 Stock_Plan_Administrator@ezcorp.com</w:t>
      </w:r>
    </w:p>
    <w:p>
      <w:pPr>
        <w:spacing w:after="0" w:line="170" w:lineRule="exact"/>
        <w:rPr>
          <w:sz w:val="20"/>
          <w:szCs w:val="20"/>
          <w:color w:val="auto"/>
        </w:rPr>
      </w:pPr>
    </w:p>
    <w:p>
      <w:pPr>
        <w:jc w:val="both"/>
        <w:ind w:left="500" w:hanging="492"/>
        <w:spacing w:after="0" w:line="264"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 </w:t>
      </w:r>
      <w:r>
        <w:rPr>
          <w:rFonts w:ascii="Arial" w:cs="Arial" w:eastAsia="Arial" w:hAnsi="Arial"/>
          <w:sz w:val="18"/>
          <w:szCs w:val="18"/>
          <w:color w:val="auto"/>
        </w:rPr>
        <w:t>You agree that notices regarding this Award may be given to you in writing either at your home address as shown in the records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by electronic transmission (including e-mail or reference to a website or other URL) sent to you through the Company's normal process for communicating electronically with its employees.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177" w:name="page178"/>
    <w:bookmarkEnd w:id="177"/>
    <w:p>
      <w:pPr>
        <w:ind w:left="500" w:hanging="492"/>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Acknowledgements - </w:t>
      </w:r>
      <w:r>
        <w:rPr>
          <w:rFonts w:ascii="Arial" w:cs="Arial" w:eastAsia="Arial" w:hAnsi="Arial"/>
          <w:sz w:val="18"/>
          <w:szCs w:val="18"/>
          <w:color w:val="auto"/>
        </w:rPr>
        <w:t>By accepting this Award, you expressly acknowledge the following:</w:t>
      </w:r>
    </w:p>
    <w:p>
      <w:pPr>
        <w:spacing w:after="0" w:line="184" w:lineRule="exact"/>
        <w:rPr>
          <w:rFonts w:ascii="Arial" w:cs="Arial" w:eastAsia="Arial" w:hAnsi="Arial"/>
          <w:sz w:val="18"/>
          <w:szCs w:val="18"/>
          <w:color w:val="auto"/>
        </w:rPr>
      </w:pPr>
    </w:p>
    <w:p>
      <w:pPr>
        <w:jc w:val="both"/>
        <w:ind w:left="980" w:hanging="513"/>
        <w:spacing w:after="0" w:line="254"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Unless you have a written employment agreement, your Employment is “at will,” and this Award does not alter that relationship in any way and does not confer upon you any right to expectation of employment by, or to continue in the employment of, your Employer. If you have a written employment agreement, this Award shall not be deemed to in any manner enlarge your rights, or diminish your Employer’s rights, under such employment agreement.</w:t>
      </w:r>
    </w:p>
    <w:p>
      <w:pPr>
        <w:spacing w:after="0" w:line="2" w:lineRule="exact"/>
        <w:rPr>
          <w:rFonts w:ascii="Arial" w:cs="Arial" w:eastAsia="Arial" w:hAnsi="Arial"/>
          <w:sz w:val="18"/>
          <w:szCs w:val="18"/>
          <w:color w:val="auto"/>
        </w:rPr>
      </w:pPr>
    </w:p>
    <w:p>
      <w:pPr>
        <w:ind w:left="980" w:hanging="513"/>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9" w:lineRule="exact"/>
        <w:rPr>
          <w:rFonts w:ascii="Arial" w:cs="Arial" w:eastAsia="Arial" w:hAnsi="Arial"/>
          <w:sz w:val="18"/>
          <w:szCs w:val="18"/>
          <w:color w:val="auto"/>
        </w:rPr>
      </w:pPr>
    </w:p>
    <w:p>
      <w:pPr>
        <w:ind w:left="980" w:hanging="513"/>
        <w:spacing w:after="0"/>
        <w:tabs>
          <w:tab w:leader="none" w:pos="9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This Award is a one-time benefit that does not create any contractual or other right to receive future Awards or benefits in lieu of Awards.</w:t>
      </w:r>
    </w:p>
    <w:p>
      <w:pPr>
        <w:spacing w:after="0" w:line="20" w:lineRule="exact"/>
        <w:rPr>
          <w:rFonts w:ascii="Arial" w:cs="Arial" w:eastAsia="Arial" w:hAnsi="Arial"/>
          <w:sz w:val="17"/>
          <w:szCs w:val="17"/>
          <w:color w:val="auto"/>
        </w:rPr>
      </w:pPr>
    </w:p>
    <w:p>
      <w:pPr>
        <w:ind w:left="980" w:hanging="513"/>
        <w:spacing w:after="0" w:line="250"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determinations with respect to future Awards, if any, including the award date, the nature and size of the Award and the vesting dates, will be at the sole discretion of the Company.</w:t>
      </w:r>
    </w:p>
    <w:p>
      <w:pPr>
        <w:ind w:left="980" w:hanging="513"/>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Your participation in the Plan, and your acceptance of this Award, is entirely voluntary.</w:t>
      </w:r>
    </w:p>
    <w:p>
      <w:pPr>
        <w:spacing w:after="0" w:line="9" w:lineRule="exact"/>
        <w:rPr>
          <w:rFonts w:ascii="Arial" w:cs="Arial" w:eastAsia="Arial" w:hAnsi="Arial"/>
          <w:sz w:val="18"/>
          <w:szCs w:val="18"/>
          <w:color w:val="auto"/>
        </w:rPr>
      </w:pPr>
    </w:p>
    <w:p>
      <w:pPr>
        <w:jc w:val="both"/>
        <w:ind w:left="980" w:right="20" w:hanging="513"/>
        <w:spacing w:after="0" w:line="250"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is not part of normal or expected compensation for any purpose and is not to be used for purposes of calculating any severance, resignation, redundancy, end of service payments, bonuses, long-service awards, pension or retirement benefits or similar payments, and you waive any claim on such basis.</w:t>
      </w:r>
    </w:p>
    <w:p>
      <w:pPr>
        <w:spacing w:after="0" w:line="1" w:lineRule="exact"/>
        <w:rPr>
          <w:rFonts w:ascii="Arial" w:cs="Arial" w:eastAsia="Arial" w:hAnsi="Arial"/>
          <w:sz w:val="18"/>
          <w:szCs w:val="18"/>
          <w:color w:val="auto"/>
        </w:rPr>
      </w:pPr>
    </w:p>
    <w:p>
      <w:pPr>
        <w:jc w:val="both"/>
        <w:ind w:left="980" w:hanging="513"/>
        <w:spacing w:after="0" w:line="250"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grant of an equity-based interest in the Company (represented by this Award) gives rise to the Company’s need (on behalf of itself and its stockholders) to protect itself from Conduct Detrimental to the Company, and your promises and agreements described in Paragraph 8 are designed to protect the Company and its stockholders from Conduct Detrimental to the Company.</w:t>
      </w:r>
    </w:p>
    <w:p>
      <w:pPr>
        <w:spacing w:after="0" w:line="1" w:lineRule="exact"/>
        <w:rPr>
          <w:rFonts w:ascii="Arial" w:cs="Arial" w:eastAsia="Arial" w:hAnsi="Arial"/>
          <w:sz w:val="18"/>
          <w:szCs w:val="18"/>
          <w:color w:val="auto"/>
        </w:rPr>
      </w:pPr>
    </w:p>
    <w:p>
      <w:pPr>
        <w:ind w:left="980" w:right="20" w:hanging="513"/>
        <w:spacing w:after="0" w:line="250"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Vesting of Units ceases upon termination of Employment for any reason, except as may otherwise be explicitly provided in the Award Agreement or the Plan.</w:t>
      </w:r>
    </w:p>
    <w:p>
      <w:pPr>
        <w:ind w:left="980" w:hanging="513"/>
        <w:spacing w:after="0"/>
        <w:tabs>
          <w:tab w:leader="none" w:pos="9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The future value of the Units (and the Stock that may be issued pursuant to this Award) is unknown and cannot be predicted with certainty.</w:t>
      </w:r>
    </w:p>
    <w:p>
      <w:pPr>
        <w:spacing w:after="0" w:line="20" w:lineRule="exact"/>
        <w:rPr>
          <w:rFonts w:ascii="Arial" w:cs="Arial" w:eastAsia="Arial" w:hAnsi="Arial"/>
          <w:sz w:val="17"/>
          <w:szCs w:val="17"/>
          <w:color w:val="auto"/>
        </w:rPr>
      </w:pPr>
    </w:p>
    <w:p>
      <w:pPr>
        <w:jc w:val="both"/>
        <w:ind w:left="980" w:hanging="513"/>
        <w:spacing w:after="0" w:line="255"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You understand, acknowledge and agree that you will have no rights to compensation or damages related to this Award (or any Stock that may be issued pursuant to this Award) as a consequence of the termination of your Employment for any reason whatsoever and whether or not in breach of contract.</w:t>
      </w:r>
    </w:p>
    <w:p>
      <w:pPr>
        <w:spacing w:after="0" w:line="190" w:lineRule="exact"/>
        <w:rPr>
          <w:rFonts w:ascii="Arial" w:cs="Arial" w:eastAsia="Arial" w:hAnsi="Arial"/>
          <w:sz w:val="18"/>
          <w:szCs w:val="18"/>
          <w:color w:val="auto"/>
        </w:rPr>
      </w:pPr>
    </w:p>
    <w:p>
      <w:pPr>
        <w:jc w:val="both"/>
        <w:ind w:left="500" w:hanging="492"/>
        <w:spacing w:after="0" w:line="269" w:lineRule="auto"/>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Privacy Consent - </w:t>
      </w:r>
      <w:r>
        <w:rPr>
          <w:rFonts w:ascii="Arial" w:cs="Arial" w:eastAsia="Arial" w:hAnsi="Arial"/>
          <w:sz w:val="17"/>
          <w:szCs w:val="17"/>
          <w:color w:val="auto"/>
        </w:rPr>
        <w:t>As a condition to Company’s making this Award, you consent to the collection, use and transfer of personal data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this Paragraph. You understand that the Company and its Subsidiaries hold certain personal information about you, including your name, home address and telephone number, date of birth, social security number, salary, nationality, job title, any ownership interests or directorships held in the Company or its Subsidiaries and details of all Awards made or cancelled (collectively, “Data”). You further understand that the Company and its Subsidiaries will transfer Data among themselves as necessary for the purposes of implementation, administration and management of your participation in the Plan, and that the Company and any of its Subsidiaries may each further transfer Data to any third parties assisting the Company in the implementation, administration and management of the Plan. You understand that these recipients may be located in the United States of America, the European Economic Area or elsewhere. You authorize them to receive, possess, use, retain and transfer such Data as may be required for the administration of the Plan or the subsequent holding of Stock on your behalf, in electronic or other form, for the purposes of implementing, administering and managing your participation in the Plan, including any requisite transfer to a broker or other third party with whom you may elect to deposit any shares of Stock acquired under the Plan. You understand that you may, at any time, view such Data or require any necessary amendments to it.</w:t>
      </w:r>
    </w:p>
    <w:p>
      <w:pPr>
        <w:spacing w:after="0" w:line="139"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This Award Agreement and the Plan shall be governed by, and construed in accordance with,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Delaware, United States of America. The venue for any and all disputes arising out of or in connection with this Agreement shall be Travis County, Texas, United States of America, and the courts sitting exclusively in Travis County, Texas,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Invalid Provisions - </w:t>
      </w:r>
      <w:r>
        <w:rPr>
          <w:rFonts w:ascii="Arial" w:cs="Arial" w:eastAsia="Arial" w:hAnsi="Arial"/>
          <w:sz w:val="18"/>
          <w:szCs w:val="18"/>
          <w:color w:val="auto"/>
        </w:rPr>
        <w:t>If any of the terms or conditions set forth in the Award Agreement are determined by a court of competent jurisdiction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unenforceable, any Units that have not vested as described above will expire at that time and you agree to return to the Company the Returnable Value (as defined in Paragraph 8) with respect to this Award.</w:t>
      </w:r>
    </w:p>
    <w:p>
      <w:pPr>
        <w:spacing w:after="0" w:line="14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Acceptance of Terms and Conditions - </w:t>
      </w:r>
      <w:r>
        <w:rPr>
          <w:rFonts w:ascii="Arial" w:cs="Arial" w:eastAsia="Arial" w:hAnsi="Arial"/>
          <w:sz w:val="18"/>
          <w:szCs w:val="18"/>
          <w:color w:val="auto"/>
        </w:rPr>
        <w:t>This Award will not be effective until you have accepted the Award and acknowledged and agreed to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set forth in the Award Agreement in the manner prescribed by the Company. Failure to accept the Award prior to the first vesting date will result in immediate and automatic expiration and cancellation of the Award.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10.35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Separation Agreement and Release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September 12, 2014, sets forth the mutual agreement of EZCORP, Inc., a Delaware corporation, for itself and its subsidiaries and affiliates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Barry W. Guest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regarding Executive’s separation from employment with EZCORP.</w:t>
      </w:r>
    </w:p>
    <w:p>
      <w:pPr>
        <w:spacing w:after="0" w:line="100" w:lineRule="exact"/>
        <w:rPr>
          <w:sz w:val="20"/>
          <w:szCs w:val="20"/>
          <w:color w:val="auto"/>
        </w:rPr>
      </w:pPr>
    </w:p>
    <w:p>
      <w:pPr>
        <w:ind w:left="660" w:right="20" w:hanging="652"/>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Employment </w:t>
      </w:r>
      <w:r>
        <w:rPr>
          <w:rFonts w:ascii="Arial" w:cs="Arial" w:eastAsia="Arial" w:hAnsi="Arial"/>
          <w:sz w:val="18"/>
          <w:szCs w:val="18"/>
          <w:color w:val="auto"/>
        </w:rPr>
        <w:t>- The Company and Executive acknowledge that Executive’s employment with the Company, and his position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Pawn and CCV North Americas, shall terminate effective September 12, 2014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Severance Payments </w:t>
      </w:r>
      <w:r>
        <w:rPr>
          <w:rFonts w:ascii="Arial" w:cs="Arial" w:eastAsia="Arial" w:hAnsi="Arial"/>
          <w:sz w:val="16"/>
          <w:szCs w:val="16"/>
          <w:color w:val="auto"/>
        </w:rPr>
        <w:t>- As severance, the Company shall pay Executive an amount equal to the amount of salary that it would have paid to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had Executive remained an employee of the Company through September 12, 2015. Such amount shall be paid in the increments and at the times that such salary would have been paid and shall assume that Executive’s current rate of salary would have continued through September 12, 2015.</w:t>
      </w:r>
    </w:p>
    <w:p>
      <w:pPr>
        <w:spacing w:after="0" w:line="65" w:lineRule="exact"/>
        <w:rPr>
          <w:rFonts w:ascii="Arial" w:cs="Arial" w:eastAsia="Arial" w:hAnsi="Arial"/>
          <w:sz w:val="16"/>
          <w:szCs w:val="16"/>
          <w:color w:val="auto"/>
        </w:rPr>
      </w:pPr>
    </w:p>
    <w:p>
      <w:pPr>
        <w:jc w:val="both"/>
        <w:ind w:left="660"/>
        <w:spacing w:after="0" w:line="290" w:lineRule="auto"/>
        <w:rPr>
          <w:rFonts w:ascii="Arial" w:cs="Arial" w:eastAsia="Arial" w:hAnsi="Arial"/>
          <w:sz w:val="16"/>
          <w:szCs w:val="16"/>
          <w:color w:val="auto"/>
        </w:rPr>
      </w:pPr>
      <w:r>
        <w:rPr>
          <w:rFonts w:ascii="Arial" w:cs="Arial" w:eastAsia="Arial" w:hAnsi="Arial"/>
          <w:sz w:val="16"/>
          <w:szCs w:val="16"/>
          <w:color w:val="auto"/>
        </w:rPr>
        <w:t>Notwithstanding the foregoing, if, before September 12, 2015, Executive obtains other full or part-time employment or engagement as a consultant, advisor or independent contractor, the Company shall only be obligated to pay Executive an amount equal to the excess, if any, of (a) the amount that it would have otherwise paid to Executive pursuant to this Paragraph 2, less (b) the gross amount of compensation that Executive earns through such employment or engagement. Executive shall be required to notify the Company promptly upon obtaining such employment or engagement, and failure to do so shall constitute a breach of this agreement and shall entitle the Company to cease any and all payments hereunder and to recoup any payments previously made after the date on which Executive obtained such employment or engagement. Such amount shall be paid in equal installments at the times that Executive’s Company salary would have been paid and only if Executive furnishes the Company with evidence reasonably satisfactory to the Company of the compensation associated with such employment or engagement.</w:t>
      </w:r>
    </w:p>
    <w:p>
      <w:pPr>
        <w:spacing w:after="0" w:line="85" w:lineRule="exact"/>
        <w:rPr>
          <w:rFonts w:ascii="Arial" w:cs="Arial" w:eastAsia="Arial" w:hAnsi="Arial"/>
          <w:sz w:val="16"/>
          <w:szCs w:val="16"/>
          <w:color w:val="auto"/>
        </w:rPr>
      </w:pPr>
    </w:p>
    <w:p>
      <w:pPr>
        <w:ind w:left="660" w:right="520"/>
        <w:spacing w:after="0" w:line="277" w:lineRule="auto"/>
        <w:rPr>
          <w:rFonts w:ascii="Arial" w:cs="Arial" w:eastAsia="Arial" w:hAnsi="Arial"/>
          <w:sz w:val="16"/>
          <w:szCs w:val="16"/>
          <w:color w:val="auto"/>
        </w:rPr>
      </w:pPr>
      <w:r>
        <w:rPr>
          <w:rFonts w:ascii="Arial" w:cs="Arial" w:eastAsia="Arial" w:hAnsi="Arial"/>
          <w:sz w:val="18"/>
          <w:szCs w:val="18"/>
          <w:color w:val="auto"/>
        </w:rPr>
        <w:t>In addition, the Company will make an incremental cash payment to Executive in the amount of $50,000, such payment to be made as soon as practicable following the end of the revocation period described in Paragraph 15 below.</w:t>
      </w:r>
    </w:p>
    <w:p>
      <w:pPr>
        <w:spacing w:after="0" w:line="8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All payments pursuant to this Paragraph 2 shall be subject to applicable tax and other withholdings.</w:t>
      </w:r>
    </w:p>
    <w:p>
      <w:pPr>
        <w:spacing w:after="0" w:line="144"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Notwithstanding any other provision of this Paragraph 2, no amounts shall be paid prior to the end of the revocation period described in Paragraph 15 below, and any amounts that would otherwise have been paid prior to the end of such revocation period shall be paid as soon as practicable after the end of such revocation period.</w:t>
      </w:r>
    </w:p>
    <w:p>
      <w:pPr>
        <w:spacing w:after="0" w:line="100" w:lineRule="exact"/>
        <w:rPr>
          <w:rFonts w:ascii="Arial" w:cs="Arial" w:eastAsia="Arial" w:hAnsi="Arial"/>
          <w:sz w:val="16"/>
          <w:szCs w:val="16"/>
          <w:color w:val="auto"/>
        </w:rPr>
      </w:pPr>
    </w:p>
    <w:p>
      <w:pPr>
        <w:jc w:val="both"/>
        <w:ind w:left="660"/>
        <w:spacing w:after="0" w:line="276" w:lineRule="auto"/>
        <w:rPr>
          <w:rFonts w:ascii="Arial" w:cs="Arial" w:eastAsia="Arial" w:hAnsi="Arial"/>
          <w:sz w:val="16"/>
          <w:szCs w:val="16"/>
          <w:color w:val="auto"/>
        </w:rPr>
      </w:pPr>
      <w:r>
        <w:rPr>
          <w:rFonts w:ascii="Arial" w:cs="Arial" w:eastAsia="Arial" w:hAnsi="Arial"/>
          <w:sz w:val="17"/>
          <w:szCs w:val="17"/>
          <w:color w:val="auto"/>
        </w:rPr>
        <w:t>Executive agrees that the payments described in Paragraph 2 satisfy the Company’s obligations to pay severance or other compensation to Executive, and acknowledges that such payments constitute adequate and sufficient consideration for the release described in Paragraph 5, as well as the other covenants and agreements made by Executive in this Agreement. Executive also acknowledges that, except as expressly set forth in this Agreement or in the Company’s stock or benefit plans, Executive is not entitled to receive from the Company the payment or distribution of any amounts of pay, bonus, benefits, cash, stock, stock options or other type of property.</w:t>
      </w:r>
    </w:p>
    <w:p>
      <w:pPr>
        <w:spacing w:after="0" w:line="91" w:lineRule="exact"/>
        <w:rPr>
          <w:rFonts w:ascii="Arial" w:cs="Arial" w:eastAsia="Arial" w:hAnsi="Arial"/>
          <w:sz w:val="16"/>
          <w:szCs w:val="16"/>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Executive’s Benefits and Restricted Stock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Executive understands and agrees that balances or vested balances he has in any Company benefit plan will be available to him consistent with applicable laws, regulations and the administrative provisions of the various plan documents.</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Company and Employee acknowledge that:</w:t>
      </w:r>
    </w:p>
    <w:p>
      <w:pPr>
        <w:spacing w:after="0" w:line="17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On October 3, 2011, Executive was granted 24,700 shares of restricted stock, 16,466 shares of which have vested and 8,234 shares of which will remain unvested as of the Termination Date and, pursuant to the terms of the applicable award agreement, will be forfeited as of that date;</w:t>
      </w:r>
    </w:p>
    <w:p>
      <w:pPr>
        <w:spacing w:after="0" w:line="127"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On January 1, 2013, Executive was granted 23,000 shares of restricted stock, 7,667 shares of which have vested and 15,333 shares of which will remain unvested as of the Termination Date and, pursuant to the terms of the applicable award agreement, will be forfeited as of that date;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7" w:right="239" w:bottom="1440" w:gutter="0" w:footer="0" w:header="0"/>
        </w:sectPr>
      </w:pPr>
    </w:p>
    <w:bookmarkStart w:id="179" w:name="page180"/>
    <w:bookmarkEnd w:id="179"/>
    <w:p>
      <w:pPr>
        <w:ind w:left="1960" w:right="20" w:hanging="655"/>
        <w:spacing w:after="0" w:line="277" w:lineRule="auto"/>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February 18, 2014, Executive was granted 34,400 Restricted Stock Units, all of which will remain unvested as of the Termination Date and, pursuant to the terms of the applicable award agreement, will be forfeited as of that date.</w:t>
      </w:r>
    </w:p>
    <w:p>
      <w:pPr>
        <w:spacing w:after="0" w:line="1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 Benefits </w:t>
      </w:r>
      <w:r>
        <w:rPr>
          <w:rFonts w:ascii="Arial" w:cs="Arial" w:eastAsia="Arial" w:hAnsi="Arial"/>
          <w:sz w:val="18"/>
          <w:szCs w:val="18"/>
          <w:color w:val="auto"/>
        </w:rPr>
        <w:t>- Upon the termination of his employment with the Company, Executive will be eligible for continuation of certain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under COBRA, at his option and his expense, as provided by law.</w:t>
      </w:r>
    </w:p>
    <w:p>
      <w:pPr>
        <w:spacing w:after="0" w:line="8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Release </w:t>
      </w:r>
      <w:r>
        <w:rPr>
          <w:rFonts w:ascii="Arial" w:cs="Arial" w:eastAsia="Arial" w:hAnsi="Arial"/>
          <w:sz w:val="16"/>
          <w:szCs w:val="16"/>
          <w:color w:val="auto"/>
        </w:rPr>
        <w:t>- Executive hereby fully releases the Company and all of its owners, partners, shareholders, predecessors, successors,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directors, officers, employees, representatives, attorneys, subsidiaries, joint ventures and affiliates, and agents, directors, officers, employees, representatives and attorneys of such subsidiaries and affiliates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xml:space="preserve">”), from any and all known or unknown claims or demands Executive may have against any of them. Executive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16"/>
          <w:szCs w:val="16"/>
          <w:b w:val="1"/>
          <w:bCs w:val="1"/>
          <w:color w:val="auto"/>
        </w:rPr>
        <w:t>(whether intentional or negligent, including claims arising out of the negligence or gross negligence of any Released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and claims of express or implied defamation by any Released Party)</w:t>
      </w:r>
      <w:r>
        <w:rPr>
          <w:rFonts w:ascii="Arial" w:cs="Arial" w:eastAsia="Arial" w:hAnsi="Arial"/>
          <w:sz w:val="16"/>
          <w:szCs w:val="16"/>
          <w:color w:val="auto"/>
        </w:rPr>
        <w:t>, and any federal, state or other governmental statute, regulation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and the Occupational Safety and Health Act. Executive represents that he has not assigned to any other person any of such claims and that he has the full right to grant this release. Notwithstanding any other provision herein, Executive and the Company agree that Executive is not waiving any claims that may arise under the Age Discrimination in Employment Act after this Agreement is executed, any claim for benefits under the Company’s health and welfare or other benefit plans or any future claims based on the Company’s obligations and agreements set forth in this Agreement.</w:t>
      </w:r>
    </w:p>
    <w:p>
      <w:pPr>
        <w:spacing w:after="0" w:line="90" w:lineRule="exact"/>
        <w:rPr>
          <w:rFonts w:ascii="Arial" w:cs="Arial" w:eastAsia="Arial" w:hAnsi="Arial"/>
          <w:sz w:val="16"/>
          <w:szCs w:val="16"/>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Executive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Executive obtained personal knowledge while employed with the Company. Executive’s compliance with a subpoena or other legally compulsive process will not be a violation of this provision.</w:t>
      </w:r>
    </w:p>
    <w:p>
      <w:pPr>
        <w:spacing w:after="0" w:line="7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Non-Admission of Liability </w:t>
      </w:r>
      <w:r>
        <w:rPr>
          <w:rFonts w:ascii="Arial" w:cs="Arial" w:eastAsia="Arial" w:hAnsi="Arial"/>
          <w:sz w:val="18"/>
          <w:szCs w:val="18"/>
          <w:color w:val="auto"/>
        </w:rPr>
        <w:t>- Executive and the Company understand and agree that they are entering into this Agreement to, among other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resolve any claims or differences that may exist between them. By entering into this Agreement neither Executive nor the Company admits any liability or wrongdoing.</w:t>
      </w:r>
    </w:p>
    <w:p>
      <w:pPr>
        <w:spacing w:after="0" w:line="100"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Return of Company Documents and Property </w:t>
      </w:r>
      <w:r>
        <w:rPr>
          <w:rFonts w:ascii="Arial" w:cs="Arial" w:eastAsia="Arial" w:hAnsi="Arial"/>
          <w:sz w:val="16"/>
          <w:szCs w:val="16"/>
          <w:color w:val="auto"/>
        </w:rPr>
        <w:t>- Executive agrees that, on the Termination Date or as soon as practicable thereafter, he will return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any and all documents relating to the Company or its business operations (and any and all copies thereof, whether in paper form or electronic form), computer equipment, badges, credit cards and any other Company property in his possession or control. Executive agrees that he will not take any such documents or property from the control or premises of the Company and that if, at any time after the Termination Date, he should come into possession of any such documents or property, he will return such documents or property to the Company immediately.</w:t>
      </w:r>
    </w:p>
    <w:p>
      <w:pPr>
        <w:spacing w:after="0" w:line="77" w:lineRule="exact"/>
        <w:rPr>
          <w:rFonts w:ascii="Arial" w:cs="Arial" w:eastAsia="Arial" w:hAnsi="Arial"/>
          <w:sz w:val="16"/>
          <w:szCs w:val="16"/>
          <w:color w:val="auto"/>
        </w:rPr>
      </w:pPr>
    </w:p>
    <w:p>
      <w:pPr>
        <w:jc w:val="both"/>
        <w:ind w:left="660" w:hanging="652"/>
        <w:spacing w:after="0" w:line="270"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Information, Non-Competition and Non-Solicitation </w:t>
      </w:r>
      <w:r>
        <w:rPr>
          <w:rFonts w:ascii="Arial" w:cs="Arial" w:eastAsia="Arial" w:hAnsi="Arial"/>
          <w:sz w:val="17"/>
          <w:szCs w:val="17"/>
          <w:color w:val="auto"/>
        </w:rPr>
        <w:t>- The parties acknowledge that, pursuant to the Protection of Sensitive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Noncompetition and Nonsolicitation Agreement, effective August 9, 2011, between Executive and the Company (the “Restrictive Agreement”), Executive is subject to various obligations regarding (a) the protection and non-disclosure of the Company’s confidential, sensitive and proprietary information, (b) competition with the Company, (c) solicitation of the Company’s customers, suppliers and vendors and (d) solicitation of the Company’s employees. The Company agrees that the Restrictive Agreement is hereby modified to eliminate Executive's obligations regarding competition with the Company, as described in Paragraph 3 of the Restrictive Agreement. Executive hereby affirms the obligations set forth in the Restrictive Agreement (modified as described in this Paragraph 8) and acknowledges that such provisions (as so modified) shall remain in full force and effect in accordance with their terms. Moreover, Executive hereby represents and warrants that he will comply with the terms of the Restrictive Agreement (modified as described in this Paragraph 8).</w:t>
      </w:r>
    </w:p>
    <w:p>
      <w:pPr>
        <w:spacing w:after="0" w:line="100"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 Executive agrees that, except as may be required by law or court order, he will not, directly or indirectly, make any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oral or written, or perform any act or omission that is or could be detrimental in any material respect to the reputation or goodwill of the Company or any other person or entity released herein. Further, the Company agrees that, except as may be required by law or court order, it will not, directly or indirectly, make any statement, oral or written, or perform any act or omission which is or could be detrimental in any material respect to the reputation or goodwill of Executive. The parties agree and understand that the Company’s obligations under this Paragraph extend only to the members of the Company’s Board of Directors, the Executive Officers of the Company and any employee 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180" w:name="page181"/>
    <w:bookmarkEnd w:id="180"/>
    <w:p>
      <w:pPr>
        <w:ind w:left="660"/>
        <w:spacing w:after="0" w:line="395" w:lineRule="auto"/>
        <w:rPr>
          <w:sz w:val="20"/>
          <w:szCs w:val="20"/>
          <w:color w:val="auto"/>
        </w:rPr>
      </w:pPr>
      <w:r>
        <w:rPr>
          <w:rFonts w:ascii="Arial" w:cs="Arial" w:eastAsia="Arial" w:hAnsi="Arial"/>
          <w:sz w:val="16"/>
          <w:szCs w:val="16"/>
          <w:color w:val="auto"/>
        </w:rPr>
        <w:t>the Company who has been authorized by an Executive Officer to communicate, or perform any act or omission, on behalf of the Company with respect to Executive. The parties further agree that truthful statements made in connection with legal proceedings will not violate this provision.</w:t>
      </w:r>
    </w:p>
    <w:p>
      <w:pPr>
        <w:spacing w:after="0" w:line="1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Cooperation </w:t>
      </w:r>
      <w:r>
        <w:rPr>
          <w:rFonts w:ascii="Arial" w:cs="Arial" w:eastAsia="Arial" w:hAnsi="Arial"/>
          <w:sz w:val="18"/>
          <w:szCs w:val="18"/>
          <w:color w:val="auto"/>
        </w:rPr>
        <w:t>- Executive agrees that, following the termination of his employment with the Company:</w:t>
      </w:r>
    </w:p>
    <w:p>
      <w:pPr>
        <w:spacing w:after="0" w:line="11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Unless specifically requested or authorized by the Company’s Chief Executive Officer, Executive will not engage in any form of communication (whether initiated by Executive or others) with investors or potential investors, commercial bankers or other lenders, financial or industry analysts, investment bankers, or auditors or other financial professionals regarding the Company, the Company’s business or any aspect of Executive’s employment with the Company;</w:t>
      </w:r>
    </w:p>
    <w:p>
      <w:pPr>
        <w:spacing w:after="0" w:line="10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Unless specifically requested or authorized by the Company’s Chief Executive Officer, Executive will not contact any employee of the Company regarding the Company’s business or any aspect of Executive’s or such employee’s employment with the Company; and</w:t>
      </w:r>
    </w:p>
    <w:p>
      <w:pPr>
        <w:spacing w:after="0" w:line="65"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Executive will cooperate with the Company, to the extent and as requested by the Company’s Chief Executive Office, in transitioning the management of the Company’s Pawn and CCV North Americas business to new management.</w:t>
      </w:r>
    </w:p>
    <w:p>
      <w:pPr>
        <w:spacing w:after="0" w:line="12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Law and Venue </w:t>
      </w:r>
      <w:r>
        <w:rPr>
          <w:rFonts w:ascii="Arial" w:cs="Arial" w:eastAsia="Arial" w:hAnsi="Arial"/>
          <w:sz w:val="18"/>
          <w:szCs w:val="18"/>
          <w:color w:val="auto"/>
        </w:rPr>
        <w:t>- THIS AGREEMENT SHALL BE INTERPRETED IN ALL RESPECTS BY THE INTERNAL LAWS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OF TEXAS, AND THE VENUE FOR THE RESOLUTION OF ANY DISPUTES (LOCATION OF ANY LAWSUIT) SHALL BE SOLELY IN THE STATE AND FEDERAL COURTS OF TRAVIS COUNTY, TEXAS.</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The fact that one or more Paragraphs (or portion thereof) of this Agreement may be deemed invalid or unenforceable by any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invalidate the remaining Paragraphs or portions of such Paragraphs of this Agreement.</w:t>
      </w:r>
    </w:p>
    <w:p>
      <w:pPr>
        <w:spacing w:after="0" w:line="129"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Entire Agreement; Amendments </w:t>
      </w:r>
      <w:r>
        <w:rPr>
          <w:rFonts w:ascii="Arial" w:cs="Arial" w:eastAsia="Arial" w:hAnsi="Arial"/>
          <w:sz w:val="17"/>
          <w:szCs w:val="17"/>
          <w:color w:val="auto"/>
        </w:rPr>
        <w:t>- This Agreement constitutes the entire agreement between Executive and the Company, and supersedes all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oral or written negotiations and agreements with the Company, concerning the subject matter hereof; provided however, that as noted in Paragraph 8 above, the provisions of the Restrictive Agreement shall remain in full force and effect in accordance with its terms (modified as described in Paragraph 8 above), and Executive shall remain subject to the obligations set forth therein (as so modified). Executive understands and acknowledges that any breach of this Agreement or Executive’s continuing obligations under the Restrictive Agreement (modified as described in Paragraph 8) will entitle the Company to cease making the payments described in Paragraph 2 above, and recover any such payments previously made, in addition to any other remedies that may be available to the Company. This Agreement may not be amended or modified except by a written agreement signed by Executive and the Company’s Chief Executive Officer.</w:t>
      </w:r>
    </w:p>
    <w:p>
      <w:pPr>
        <w:spacing w:after="0" w:line="134" w:lineRule="exact"/>
        <w:rPr>
          <w:rFonts w:ascii="Arial" w:cs="Arial" w:eastAsia="Arial" w:hAnsi="Arial"/>
          <w:sz w:val="17"/>
          <w:szCs w:val="17"/>
          <w:color w:val="auto"/>
        </w:rPr>
      </w:pPr>
    </w:p>
    <w:p>
      <w:pPr>
        <w:jc w:val="both"/>
        <w:ind w:left="660" w:hanging="652"/>
        <w:spacing w:after="0" w:line="266"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Acknowledgments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Executive acknowledges (a) that he has carefully read this Agreement and is signing it voluntarily with full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knowledge of its contents, (b) that he has been advised by counsel to the extent he deems necessary, appropriate or desirable and (c) that he understands and accepts all the terms of this Agreement.</w:t>
      </w:r>
    </w:p>
    <w:p>
      <w:pPr>
        <w:spacing w:after="0" w:line="139"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Consideration and Revocation Periods </w:t>
      </w:r>
      <w:r>
        <w:rPr>
          <w:rFonts w:ascii="Arial" w:cs="Arial" w:eastAsia="Arial" w:hAnsi="Arial"/>
          <w:sz w:val="17"/>
          <w:szCs w:val="17"/>
          <w:color w:val="auto"/>
        </w:rPr>
        <w:t>- Executive may take up to 21 days to consider this Agreement. Executive may use as much or as little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period as he chooses before signing this Agreement. Executive is advised to consult with an attorney before signing this Agreement. If Executive accepts this Agreement, he must sign it and return it to the Company’s General Counsel on or before the expiration of the 21-day period referred to above or the Company’s withdrawal of the offer contained in this Agreement. By signing this Agreement, Executive acknowledges that he was afforded a period of at least 21 days from the date the Company’s proposal was presented to him in which to consider it. Executive understands that any changes that the parties agree to make to this Agreement after it has been presented to him, whether such changes are material or non-material, will not extend the amount of time Executive has to consider the agreement. In addition, Executive has a period of seven days within which to revoke this Agreement after signing it. To revoke this Agreement, Executive must notify the Company’s General Counsel of revocation in writing within seven days from the date Executive signed this Agreement.</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for this Agreement to become effective, Executive must sign this Agreement in the space provided below and return it to the Company’s General Counsel on or before the close of business on October 3, 2014. If the Company has not received a signed copy of this Agreement by that time, the offer reflected in this Agreement will automatically terminate and expire without further notice from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11"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9"/>
              </w:rPr>
              <w:t>EZCORP, INC.</w:t>
            </w:r>
          </w:p>
        </w:tc>
        <w:tc>
          <w:tcPr>
            <w:tcW w:w="0" w:type="dxa"/>
            <w:vAlign w:val="bottom"/>
          </w:tcPr>
          <w:p>
            <w:pPr>
              <w:spacing w:after="0"/>
              <w:rPr>
                <w:sz w:val="1"/>
                <w:szCs w:val="1"/>
                <w:color w:val="auto"/>
              </w:rPr>
            </w:pPr>
          </w:p>
        </w:tc>
      </w:tr>
      <w:tr>
        <w:trPr>
          <w:trHeight w:val="608"/>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080" w:type="dxa"/>
            <w:vAlign w:val="bottom"/>
          </w:tcPr>
          <w:p>
            <w:pPr>
              <w:ind w:left="100"/>
              <w:spacing w:after="0"/>
              <w:rPr>
                <w:sz w:val="20"/>
                <w:szCs w:val="20"/>
                <w:color w:val="auto"/>
              </w:rPr>
            </w:pPr>
            <w:r>
              <w:rPr>
                <w:rFonts w:ascii="Arial" w:cs="Arial" w:eastAsia="Arial" w:hAnsi="Arial"/>
                <w:sz w:val="18"/>
                <w:szCs w:val="18"/>
                <w:color w:val="auto"/>
              </w:rPr>
              <w:t>Sept 12 2014</w:t>
            </w:r>
          </w:p>
        </w:tc>
        <w:tc>
          <w:tcPr>
            <w:tcW w:w="2320" w:type="dxa"/>
            <w:vAlign w:val="bottom"/>
            <w:gridSpan w:val="4"/>
          </w:tcPr>
          <w:p>
            <w:pPr>
              <w:ind w:left="40"/>
              <w:spacing w:after="0"/>
              <w:rPr>
                <w:sz w:val="20"/>
                <w:szCs w:val="20"/>
                <w:color w:val="auto"/>
              </w:rPr>
            </w:pPr>
            <w:r>
              <w:rPr>
                <w:rFonts w:ascii="Arial" w:cs="Arial" w:eastAsia="Arial" w:hAnsi="Arial"/>
                <w:sz w:val="18"/>
                <w:szCs w:val="18"/>
                <w:color w:val="auto"/>
              </w:rPr>
              <w:t>By:  /s/ Mark Kuchenrither</w:t>
            </w:r>
          </w:p>
        </w:tc>
        <w:tc>
          <w:tcPr>
            <w:tcW w:w="3700" w:type="dxa"/>
            <w:vAlign w:val="bottom"/>
          </w:tcPr>
          <w:p>
            <w:pPr>
              <w:ind w:left="1740"/>
              <w:spacing w:after="0"/>
              <w:rPr>
                <w:sz w:val="20"/>
                <w:szCs w:val="20"/>
                <w:color w:val="auto"/>
              </w:rPr>
            </w:pPr>
            <w:r>
              <w:rPr>
                <w:rFonts w:ascii="Arial" w:cs="Arial" w:eastAsia="Arial" w:hAnsi="Arial"/>
                <w:sz w:val="18"/>
                <w:szCs w:val="18"/>
                <w:color w:val="auto"/>
              </w:rPr>
              <w:t>Mark Kuchenrither</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ind w:left="960"/>
              <w:spacing w:after="0"/>
              <w:rPr>
                <w:sz w:val="20"/>
                <w:szCs w:val="20"/>
                <w:color w:val="auto"/>
              </w:rPr>
            </w:pPr>
            <w:r>
              <w:rPr>
                <w:rFonts w:ascii="Arial" w:cs="Arial" w:eastAsia="Arial" w:hAnsi="Arial"/>
                <w:sz w:val="18"/>
                <w:szCs w:val="18"/>
                <w:color w:val="auto"/>
                <w:w w:val="90"/>
              </w:rPr>
              <w:t>President and Chief Executive Officer</w:t>
            </w:r>
          </w:p>
        </w:tc>
        <w:tc>
          <w:tcPr>
            <w:tcW w:w="0" w:type="dxa"/>
            <w:vAlign w:val="bottom"/>
          </w:tcPr>
          <w:p>
            <w:pPr>
              <w:spacing w:after="0"/>
              <w:rPr>
                <w:sz w:val="1"/>
                <w:szCs w:val="1"/>
                <w:color w:val="auto"/>
              </w:rPr>
            </w:pPr>
          </w:p>
        </w:tc>
      </w:tr>
      <w:tr>
        <w:trPr>
          <w:trHeight w:val="608"/>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080" w:type="dxa"/>
            <w:vAlign w:val="bottom"/>
          </w:tcPr>
          <w:p>
            <w:pPr>
              <w:ind w:left="100"/>
              <w:spacing w:after="0"/>
              <w:rPr>
                <w:sz w:val="20"/>
                <w:szCs w:val="20"/>
                <w:color w:val="auto"/>
              </w:rPr>
            </w:pPr>
            <w:r>
              <w:rPr>
                <w:rFonts w:ascii="Arial" w:cs="Arial" w:eastAsia="Arial" w:hAnsi="Arial"/>
                <w:sz w:val="18"/>
                <w:szCs w:val="18"/>
                <w:color w:val="auto"/>
              </w:rPr>
              <w:t>9/26/14</w:t>
            </w:r>
          </w:p>
        </w:tc>
        <w:tc>
          <w:tcPr>
            <w:tcW w:w="2320" w:type="dxa"/>
            <w:vAlign w:val="bottom"/>
            <w:gridSpan w:val="4"/>
          </w:tcPr>
          <w:p>
            <w:pPr>
              <w:spacing w:after="0"/>
              <w:rPr>
                <w:sz w:val="20"/>
                <w:szCs w:val="20"/>
                <w:color w:val="auto"/>
              </w:rPr>
            </w:pPr>
            <w:r>
              <w:rPr>
                <w:rFonts w:ascii="Arial" w:cs="Arial" w:eastAsia="Arial" w:hAnsi="Arial"/>
                <w:sz w:val="18"/>
                <w:szCs w:val="18"/>
                <w:color w:val="auto"/>
              </w:rPr>
              <w:t>/s/ Barry W. Guest</w:t>
            </w:r>
          </w:p>
        </w:tc>
        <w:tc>
          <w:tcPr>
            <w:tcW w:w="3700" w:type="dxa"/>
            <w:vAlign w:val="bottom"/>
            <w:vMerge w:val="restart"/>
          </w:tcPr>
          <w:p>
            <w:pPr>
              <w:ind w:left="960"/>
              <w:spacing w:after="0"/>
              <w:rPr>
                <w:sz w:val="20"/>
                <w:szCs w:val="20"/>
                <w:color w:val="auto"/>
              </w:rPr>
            </w:pPr>
            <w:r>
              <w:rPr>
                <w:rFonts w:ascii="Arial" w:cs="Arial" w:eastAsia="Arial" w:hAnsi="Arial"/>
                <w:sz w:val="18"/>
                <w:szCs w:val="18"/>
                <w:color w:val="auto"/>
              </w:rPr>
              <w:t>Barry W. Guest</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jc w:val="right"/>
              <w:ind w:right="27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0219"/>
          </w:cols>
          <w:pgMar w:left="240" w:top="581"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CONSULTING AGREEMENT</w:t>
      </w:r>
    </w:p>
    <w:p>
      <w:pPr>
        <w:spacing w:after="0" w:line="3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Consulting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effective October 1, 2013, by and between EZCORP, Inc., a Delaware corporation (“</w:t>
      </w:r>
      <w:r>
        <w:rPr>
          <w:rFonts w:ascii="Arial" w:cs="Arial" w:eastAsia="Arial" w:hAnsi="Arial"/>
          <w:sz w:val="17"/>
          <w:szCs w:val="17"/>
          <w:b w:val="1"/>
          <w:bCs w:val="1"/>
          <w:i w:val="1"/>
          <w:iCs w:val="1"/>
          <w:color w:val="auto"/>
        </w:rPr>
        <w:t>EZCORP</w:t>
      </w:r>
      <w:r>
        <w:rPr>
          <w:rFonts w:ascii="Arial" w:cs="Arial" w:eastAsia="Arial" w:hAnsi="Arial"/>
          <w:sz w:val="17"/>
          <w:szCs w:val="17"/>
          <w:color w:val="auto"/>
        </w:rPr>
        <w:t>”), and LPG Limited (HK), an entity wholly-owned by Lachlan Paul Given (“</w:t>
      </w:r>
      <w:r>
        <w:rPr>
          <w:rFonts w:ascii="Arial" w:cs="Arial" w:eastAsia="Arial" w:hAnsi="Arial"/>
          <w:sz w:val="17"/>
          <w:szCs w:val="17"/>
          <w:b w:val="1"/>
          <w:bCs w:val="1"/>
          <w:i w:val="1"/>
          <w:iCs w:val="1"/>
          <w:color w:val="auto"/>
        </w:rPr>
        <w:t>LPG</w:t>
      </w:r>
      <w:r>
        <w:rPr>
          <w:rFonts w:ascii="Arial" w:cs="Arial" w:eastAsia="Arial" w:hAnsi="Arial"/>
          <w:sz w:val="17"/>
          <w:szCs w:val="17"/>
          <w:color w:val="auto"/>
        </w:rPr>
        <w:t>”), regarding certain international consulting advisory services to be rendered by LPG to EZCORP and its wholly-owned subsidiary, Change Capital, Inc. (“</w:t>
      </w:r>
      <w:r>
        <w:rPr>
          <w:rFonts w:ascii="Arial" w:cs="Arial" w:eastAsia="Arial" w:hAnsi="Arial"/>
          <w:sz w:val="17"/>
          <w:szCs w:val="17"/>
          <w:b w:val="1"/>
          <w:bCs w:val="1"/>
          <w:i w:val="1"/>
          <w:iCs w:val="1"/>
          <w:color w:val="auto"/>
        </w:rPr>
        <w:t>Change Capital</w:t>
      </w:r>
      <w:r>
        <w:rPr>
          <w:rFonts w:ascii="Arial" w:cs="Arial" w:eastAsia="Arial" w:hAnsi="Arial"/>
          <w:sz w:val="17"/>
          <w:szCs w:val="17"/>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Recitals</w:t>
      </w:r>
    </w:p>
    <w:p>
      <w:pPr>
        <w:spacing w:after="0" w:line="185" w:lineRule="exact"/>
        <w:rPr>
          <w:sz w:val="20"/>
          <w:szCs w:val="20"/>
          <w:color w:val="auto"/>
        </w:rPr>
      </w:pPr>
    </w:p>
    <w:p>
      <w:pPr>
        <w:ind w:left="66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EZCORP desires to engage LPG as an independent contractor to provide consulting and advisory services to EZCORP and Change Capital, as described herein.</w:t>
      </w:r>
    </w:p>
    <w:p>
      <w:pPr>
        <w:spacing w:after="0" w:line="129"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LPG desires to accept such engagement subject to the terms and conditions specified herein.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for and in consideration of the premises and mutual covenants and agreements specified herein, and for other consideration the receipt and adequacy of which are hereby acknowledged, the parties hereby agree as follow:</w:t>
      </w:r>
    </w:p>
    <w:p>
      <w:pPr>
        <w:spacing w:after="0" w:line="130" w:lineRule="exact"/>
        <w:rPr>
          <w:sz w:val="20"/>
          <w:szCs w:val="20"/>
          <w:color w:val="auto"/>
        </w:rPr>
      </w:pPr>
    </w:p>
    <w:p>
      <w:pPr>
        <w:ind w:left="660"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Services - </w:t>
      </w:r>
      <w:r>
        <w:rPr>
          <w:rFonts w:ascii="Arial" w:cs="Arial" w:eastAsia="Arial" w:hAnsi="Arial"/>
          <w:sz w:val="18"/>
          <w:szCs w:val="18"/>
          <w:color w:val="auto"/>
        </w:rPr>
        <w:t>EZCORP hereby engages LPG to provide, and LPG hereby accepts such engagement and agrees to provide to EZCORP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Capital, the following consulting and advisory services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Identifying and evaluating new international investment, partnership and joint venture opportunities, with particular focus on the Asia-Pacific Region, including:</w:t>
      </w:r>
    </w:p>
    <w:p>
      <w:pPr>
        <w:spacing w:after="0" w:line="12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Australia and New Zealand;</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India, Pakistan and Sri Lanka;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Japan;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Hong Kong and mainland China;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Philippines;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Malaysia and Singapore;</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Thailand and Vietnam;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Indonesia.</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Identifying and evaluating significant global private equity partnerships;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Structuring and evaluating international financing alternatives, including issuances of equity securities, equity-linked and hybrid securities, debt securities and other debt facilities and off-balance sheet financing vehicles;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Advising on, and providing contacts with respect to, relationships with global investment banks and brokerage houses, as well as commercial banks and other global funding sources;</w:t>
      </w:r>
    </w:p>
    <w:p>
      <w:pPr>
        <w:spacing w:after="0" w:line="129"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Working with EZCORP, Change Capital and other advisors to EZCORP, including Madison Park LLC, to identify and evaluate mergers, acquisitions and other strategic transactions and investment opportunities, and to review and evaluate the post-closing performance of those transactions and investments; and</w:t>
      </w:r>
    </w:p>
    <w:p>
      <w:pPr>
        <w:spacing w:after="0" w:line="140" w:lineRule="exact"/>
        <w:rPr>
          <w:rFonts w:ascii="Arial" w:cs="Arial" w:eastAsia="Arial" w:hAnsi="Arial"/>
          <w:sz w:val="18"/>
          <w:szCs w:val="18"/>
          <w:color w:val="auto"/>
        </w:rPr>
      </w:pPr>
    </w:p>
    <w:p>
      <w:pPr>
        <w:ind w:left="1300" w:hanging="644"/>
        <w:spacing w:after="0"/>
        <w:tabs>
          <w:tab w:leader="none" w:pos="13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Performing such other services related to the foregoing as are reasonably requested by EZCORP.</w:t>
      </w:r>
    </w:p>
    <w:p>
      <w:pPr>
        <w:spacing w:after="0" w:line="18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It is hereby agreed that, while performing the Services, Mr. Given may utilize the titles of “Vice Chairman” of Change Capital and “Chairman of Change Capital Asia”; provided, however, that neither Mr. Given nor LPG shall have any authority to make any agreement (written or oral), incur any obligation or execute any document on behalf of, or to otherwise bind, either EZCORP or Change Capital.</w:t>
      </w:r>
    </w:p>
    <w:p>
      <w:pPr>
        <w:spacing w:after="0" w:line="125"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and Payments -</w:t>
      </w:r>
    </w:p>
    <w:p>
      <w:pPr>
        <w:spacing w:after="0" w:line="184"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Monthly Retainer Fee - </w:t>
      </w:r>
      <w:r>
        <w:rPr>
          <w:rFonts w:ascii="Arial" w:cs="Arial" w:eastAsia="Arial" w:hAnsi="Arial"/>
          <w:sz w:val="18"/>
          <w:szCs w:val="18"/>
          <w:color w:val="auto"/>
        </w:rPr>
        <w:t>As compensation for providing the Services, EZCORP shall pay LPG a retainer fee equal to $30,000 per 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advance on or before the fifth day of each month; provided, however, that the first such payment, which shall cover the month of October 2013, shall be paid as soon as practicable after the execution of this Agreement.</w:t>
      </w:r>
    </w:p>
    <w:p>
      <w:pPr>
        <w:sectPr>
          <w:pgSz w:w="11900" w:h="16838" w:orient="portrait"/>
          <w:cols w:equalWidth="0" w:num="1">
            <w:col w:w="11420"/>
          </w:cols>
          <w:pgMar w:left="240" w:top="797" w:right="239" w:bottom="1440" w:gutter="0" w:footer="0" w:header="0"/>
        </w:sectPr>
      </w:pPr>
    </w:p>
    <w:bookmarkStart w:id="183" w:name="page184"/>
    <w:bookmarkEnd w:id="183"/>
    <w:p>
      <w:pPr>
        <w:jc w:val="both"/>
        <w:ind w:left="1292" w:hanging="644"/>
        <w:spacing w:after="0" w:line="255" w:lineRule="auto"/>
        <w:tabs>
          <w:tab w:leader="none" w:pos="1292"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Bonus Opportunity - </w:t>
      </w:r>
      <w:r>
        <w:rPr>
          <w:rFonts w:ascii="Arial" w:cs="Arial" w:eastAsia="Arial" w:hAnsi="Arial"/>
          <w:sz w:val="18"/>
          <w:szCs w:val="18"/>
          <w:color w:val="auto"/>
        </w:rPr>
        <w:t>Following the expiration of this engagement, EZCORP may, but shall not be obligated to, pay LPG a bonus.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 Amount” of the bonus shall be 100% of the annual monthly retainer fee described in subparagraph (a) above (i.e., $360,000). As a guide, if LPG “meets” performance expectations, the bonus should be equal to the Target Amount; if LPG “exceeds” expectations, the bonus should be in excess of the Target Amount; and if LPG “misses” expectations, the bonus should be less than the Target Amount. The Chief Executive Officer of EZCORP, in his sole and absolute discretion, shall determine (i) whether any bonus shall be paid, (ii) whether LPG’s performance during the term of this Agreement “meets,” “exceeds” or “misses” expectations and (ii) if a bonus is to be paid, the amount of such bonus.</w:t>
      </w:r>
    </w:p>
    <w:p>
      <w:pPr>
        <w:spacing w:after="0" w:line="148"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Reimbursement of Expenses - </w:t>
      </w:r>
      <w:r>
        <w:rPr>
          <w:rFonts w:ascii="Arial" w:cs="Arial" w:eastAsia="Arial" w:hAnsi="Arial"/>
          <w:sz w:val="17"/>
          <w:szCs w:val="17"/>
          <w:color w:val="auto"/>
        </w:rPr>
        <w:t>EZCORP shall reimburse LPG for its out-of-pocket travel and entertainment expenses incurred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providing the Services. In order to document those expenses, LPG shall submit expense reports (including supporting documentation) in accordance with EZCORP’s expense reporting policies generally applicable to its executive officers. Expenses shall be paid within 30 days after receipt of appropriate expense reports and supporting documentation.</w:t>
      </w:r>
    </w:p>
    <w:p>
      <w:pPr>
        <w:spacing w:after="0" w:line="13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All such payments may be made either by EZCORP directly or by Change Capital.</w:t>
      </w:r>
    </w:p>
    <w:p>
      <w:pPr>
        <w:spacing w:after="0" w:line="185" w:lineRule="exact"/>
        <w:rPr>
          <w:sz w:val="20"/>
          <w:szCs w:val="20"/>
          <w:color w:val="auto"/>
        </w:rPr>
      </w:pPr>
    </w:p>
    <w:p>
      <w:pPr>
        <w:ind w:left="652" w:hanging="652"/>
        <w:spacing w:after="0"/>
        <w:tabs>
          <w:tab w:leader="none" w:pos="652"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Term and Termination -</w:t>
      </w:r>
    </w:p>
    <w:p>
      <w:pPr>
        <w:spacing w:after="0" w:line="184" w:lineRule="exact"/>
        <w:rPr>
          <w:rFonts w:ascii="Arial" w:cs="Arial" w:eastAsia="Arial" w:hAnsi="Arial"/>
          <w:sz w:val="18"/>
          <w:szCs w:val="18"/>
          <w:color w:val="auto"/>
        </w:rPr>
      </w:pPr>
    </w:p>
    <w:p>
      <w:pPr>
        <w:ind w:left="1292" w:hanging="644"/>
        <w:spacing w:after="0" w:line="277" w:lineRule="auto"/>
        <w:tabs>
          <w:tab w:leader="none" w:pos="129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engagement described in this Agreement shall be deemed to have commenced on October 1, 2013 and shall terminate on September 30, 2014.</w:t>
      </w:r>
    </w:p>
    <w:p>
      <w:pPr>
        <w:spacing w:after="0" w:line="129" w:lineRule="exact"/>
        <w:rPr>
          <w:rFonts w:ascii="Arial" w:cs="Arial" w:eastAsia="Arial" w:hAnsi="Arial"/>
          <w:sz w:val="18"/>
          <w:szCs w:val="18"/>
          <w:color w:val="auto"/>
        </w:rPr>
      </w:pPr>
    </w:p>
    <w:p>
      <w:pPr>
        <w:ind w:left="1292" w:right="20" w:hanging="644"/>
        <w:spacing w:after="0" w:line="277" w:lineRule="auto"/>
        <w:tabs>
          <w:tab w:leader="none" w:pos="129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Either party may terminate this Agreement, and the engagement described herein, with or without cause upon 30 days written notice to the other party.</w:t>
      </w:r>
    </w:p>
    <w:p>
      <w:pPr>
        <w:spacing w:after="0" w:line="129"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2"/>
          <w:numId w:val="116"/>
        </w:numPr>
        <w:rPr>
          <w:rFonts w:ascii="Arial" w:cs="Arial" w:eastAsia="Arial" w:hAnsi="Arial"/>
          <w:sz w:val="17"/>
          <w:szCs w:val="17"/>
          <w:color w:val="auto"/>
        </w:rPr>
      </w:pPr>
      <w:r>
        <w:rPr>
          <w:rFonts w:ascii="Arial" w:cs="Arial" w:eastAsia="Arial" w:hAnsi="Arial"/>
          <w:sz w:val="17"/>
          <w:szCs w:val="17"/>
          <w:color w:val="auto"/>
        </w:rPr>
        <w:t>Upon termination of this Agreement, all obligations of the parties hereunder shall cease; provided, however that (i) EZCORP shall be obligated to pay any portion of the retainer fee under Paragraph 2(a) above that has been earned but remains unpaid as of the date of termination and shall be obligated to pay unreimbursed expenses pursuant to Paragraph 2(c) above (subject to the provisions thereof), and (ii) the provisions of Paragraphs 4 and 5 below shall survive such termination and shall continue in full force and effect.</w:t>
      </w:r>
    </w:p>
    <w:p>
      <w:pPr>
        <w:spacing w:after="0" w:line="130" w:lineRule="exact"/>
        <w:rPr>
          <w:rFonts w:ascii="Arial" w:cs="Arial" w:eastAsia="Arial" w:hAnsi="Arial"/>
          <w:sz w:val="17"/>
          <w:szCs w:val="17"/>
          <w:color w:val="auto"/>
        </w:rPr>
      </w:pPr>
    </w:p>
    <w:p>
      <w:pPr>
        <w:ind w:left="652" w:hanging="652"/>
        <w:spacing w:after="0"/>
        <w:tabs>
          <w:tab w:leader="none" w:pos="652"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and Contribution -</w:t>
      </w:r>
    </w:p>
    <w:p>
      <w:pPr>
        <w:spacing w:after="0" w:line="184" w:lineRule="exact"/>
        <w:rPr>
          <w:rFonts w:ascii="Arial" w:cs="Arial" w:eastAsia="Arial" w:hAnsi="Arial"/>
          <w:sz w:val="18"/>
          <w:szCs w:val="18"/>
          <w:color w:val="auto"/>
        </w:rPr>
      </w:pPr>
    </w:p>
    <w:p>
      <w:pPr>
        <w:jc w:val="both"/>
        <w:ind w:left="1292" w:hanging="671"/>
        <w:spacing w:after="0" w:line="266" w:lineRule="auto"/>
        <w:tabs>
          <w:tab w:leader="none" w:pos="129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EZCORP shall indemnify and hold harmless LPG, its affiliates, the respective officers, directors, employees, consultants, associates and agents of LPG and its affiliates, and any person controlling LPG or any of its affiliates (each an “Indemnified Person”) from and against any and all claims, costs, expenses, liabilities, losses and damages (or actions in respect thereof) related to or arising out of this engagement or LPG’s performance of the Services; provided, however, that EZCORP shall not be responsible for any claims, costs, expenses, liabilities, losses or damages of an Indemnified Person to the extent that it is finally determined by a court or other tribunal of competent jurisdiction that they resulted primarily from actions taken or omitted to be taken by such Indemnified Person due to such Indemnified Person’s recklessness, willful misconduct or bad faith or that they arose primarily out of or were based primarily upon any untrue statement or omission made (i) in any document or writing in reliance upon and in conformity with information furnished to EZCORP by such Indemnified Person for use in such document or writing or (ii) in any document in connection with the engagement without the prior approval of EZCORP. For purposes of this provision, a person shall be considered to be “controlling” LPG if such person would be considered to be a “controlling person” of LPG for purposes of either Section 15 of the Securities Act of 1933 or Section 20(a) of the Securities Exchange Act of 1934.</w:t>
      </w:r>
    </w:p>
    <w:p>
      <w:pPr>
        <w:spacing w:after="0" w:line="7" w:lineRule="exact"/>
        <w:rPr>
          <w:rFonts w:ascii="Arial" w:cs="Arial" w:eastAsia="Arial" w:hAnsi="Arial"/>
          <w:sz w:val="17"/>
          <w:szCs w:val="17"/>
          <w:color w:val="auto"/>
        </w:rPr>
      </w:pPr>
    </w:p>
    <w:p>
      <w:pPr>
        <w:jc w:val="both"/>
        <w:ind w:left="1292" w:hanging="671"/>
        <w:spacing w:after="0" w:line="267" w:lineRule="auto"/>
        <w:tabs>
          <w:tab w:leader="none" w:pos="129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any action or proceeding, including any governmental investigation, shall be brought or asserted against an Indemnified Person in respect of which indemnity may be sought from EZCORP, such Indemnified Person shall promptly notify EZCORP in writing of an Indemnified Person’s knowledge of such action or proceeding, and EZCORP shall assume the defense thereof, including the employment of counsel reasonably satisfactory to such Indemnified Person and the payment of all fees and disbursements of such counsel and all other expenses related to such action or proceeding. Such Indemnified Person shall have the right to employ separate counsel in any such action or proceeding and to participate in the defense thereof, but the fees and expenses of such separate counsel shall be at the expense of such Indemnified Person unless (i) EZCORP has agreed to pay such fees and expenses or (ii) EZCORP shall have failed to timely assume the defense of such action or proceeding, to employ counsel reasonably satisfactory to such Indemnified Person in any such action or proceeding and if requested by such Indemnified Person, to confirm in writing that it is obligated to indemnify such Indemnified Person against all claims, costs, expenses, liabilities, losses and damages related to or arising out of such action or proceeding in accordance with this Agreement or (iii) counsel shall determine that there is or could reasonably</w:t>
      </w:r>
    </w:p>
    <w:p>
      <w:pPr>
        <w:sectPr>
          <w:pgSz w:w="11900" w:h="16838" w:orient="portrait"/>
          <w:cols w:equalWidth="0" w:num="1">
            <w:col w:w="11412"/>
          </w:cols>
          <w:pgMar w:left="248" w:top="584" w:right="239" w:bottom="1440" w:gutter="0" w:footer="0" w:header="0"/>
        </w:sectPr>
      </w:pPr>
    </w:p>
    <w:bookmarkStart w:id="184" w:name="page185"/>
    <w:bookmarkEnd w:id="184"/>
    <w:p>
      <w:pPr>
        <w:jc w:val="both"/>
        <w:ind w:left="1292"/>
        <w:spacing w:after="0" w:line="331" w:lineRule="auto"/>
        <w:rPr>
          <w:sz w:val="20"/>
          <w:szCs w:val="20"/>
          <w:color w:val="auto"/>
        </w:rPr>
      </w:pPr>
      <w:r>
        <w:rPr>
          <w:rFonts w:ascii="Arial" w:cs="Arial" w:eastAsia="Arial" w:hAnsi="Arial"/>
          <w:sz w:val="16"/>
          <w:szCs w:val="16"/>
          <w:color w:val="auto"/>
        </w:rPr>
        <w:t>be expected to be a conflict of interest by reason of having common counsel in any action or proceeding, in which case, if such Indemnified Person notifies EZCORP in writing that it elects to employ separate counsel at the expense of EZCORP, EZCORP shall not have the right to assume the defense of such action or proceeding on behalf of such Indemnified Person, it being understood, however, that EZCORP shall not, in connection with any one such action or proceeding or separate but substantially similar or related actions or proceedings in the same jurisdiction arising out of the same general allegations or circumstances, be liable for the reasonable fees and expenses of more than one separate firm of attorneys (together with appropriate local counsel) at any time for such Indemnified Person, which firm shall be designated in writing by such Indemnified Person. EZCORP shall not be liable for any settlement of any such action or proceeding effected without EZCORP’s written consent, which should not be unreasonably withheld. If settled with EZCORP’s prior written consent or if there be a final and nonappealable judgment for the plaintiff in any such action or proceeding, EZCORP agrees to indemnify and hold harmless such Indemnified Person from and against any loss or liability to the extent stated above by reason of such settlement or judgment.</w:t>
      </w:r>
    </w:p>
    <w:p>
      <w:pPr>
        <w:spacing w:after="0" w:line="2" w:lineRule="exact"/>
        <w:rPr>
          <w:sz w:val="20"/>
          <w:szCs w:val="20"/>
          <w:color w:val="auto"/>
        </w:rPr>
      </w:pPr>
    </w:p>
    <w:p>
      <w:pPr>
        <w:jc w:val="both"/>
        <w:ind w:left="1292" w:hanging="644"/>
        <w:spacing w:after="0" w:line="287" w:lineRule="auto"/>
        <w:tabs>
          <w:tab w:leader="none" w:pos="129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for any reason the indemnification provided herein is unavailable to an Indemnified Person under subparagraph (a) of this Paragraph in respect of any claims, costs, expenses, liabilities, losses or damages referred to therein or if such indemnification shall be insufficient to hold such Indemnified Person harmless from all such claims, costs, expenses, liabilities, losses or damages, then EZCORP, in lieu of indemnifying such Indemnified Person shall contribute to the amount paid or payable by such Indemnified Person as a result of such claims, costs, expenses, liabilities, losses, or damages (i) in such proportion as is appropriate to reflect the relative benefits received by EZCORP on the one hand and such Indemnified Person on the other hand or (ii) if the allocation provided by clause (i) above is not permitted by applicable law, in such proportion as is appropriate to reflect not only the relative benefits referred to in clause (i) but also the relative fault of EZCORP, on the one hand, and such Indemnified Person, on the other, as well as any other relevant equitable consideration. The amount paid or payable by a party as a result of the claims, costs, expenses, liabilities, losses or damages referred to above shall be deemed to include, subject to the limitations set forth in subparagraph (b) of this Paragraph any legal or other fees or expenses reasonably incurred by such party in connection with investigating or defending any action or claim. Notwithstanding the provisions herein, LPG shall not be required to contribute any amount in excess of the aggregate amount of retainer fees received by LPG under this Agreement.</w:t>
      </w:r>
    </w:p>
    <w:p>
      <w:pPr>
        <w:spacing w:after="0" w:line="127" w:lineRule="exact"/>
        <w:rPr>
          <w:rFonts w:ascii="Arial" w:cs="Arial" w:eastAsia="Arial" w:hAnsi="Arial"/>
          <w:sz w:val="16"/>
          <w:szCs w:val="16"/>
          <w:color w:val="auto"/>
        </w:rPr>
      </w:pPr>
    </w:p>
    <w:p>
      <w:pPr>
        <w:ind w:left="652" w:hanging="652"/>
        <w:spacing w:after="0"/>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Confidentiality and Securities Trading -</w:t>
      </w:r>
    </w:p>
    <w:p>
      <w:pPr>
        <w:spacing w:after="0" w:line="184" w:lineRule="exact"/>
        <w:rPr>
          <w:rFonts w:ascii="Arial" w:cs="Arial" w:eastAsia="Arial" w:hAnsi="Arial"/>
          <w:sz w:val="18"/>
          <w:szCs w:val="18"/>
          <w:color w:val="auto"/>
        </w:rPr>
      </w:pPr>
    </w:p>
    <w:p>
      <w:pPr>
        <w:jc w:val="both"/>
        <w:ind w:left="1292" w:hanging="644"/>
        <w:spacing w:after="0" w:line="291" w:lineRule="auto"/>
        <w:tabs>
          <w:tab w:leader="none" w:pos="129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Neither party, without the express written consent of the other party, shall disclose to any person (i) the information disclosed by EZCORP or Change Capital to LPG in connection with LPG’s performance of the Services, (ii) the advice provided to EZCORP or Change Capital by LPG in connection with LPG’s performance of the Services or (iii) the terms of this Agreement; provided, however, that a party shall be entitled to make such disclosure if, but only to the extent that, it is required to do so by reason of a deposition, interrogatory, request for documents, subpoena, civil investigative demand, other demand or request by a governmental agency or the application of statutes, rules and regulations or similar process, including stock exchange requirements. The provisions of this subparagraph shall not apply to any information that is now or hereafter becomes generally available to the public other than as a result of a violation of this subparagraph.</w:t>
      </w:r>
    </w:p>
    <w:p>
      <w:pPr>
        <w:spacing w:after="0" w:line="126" w:lineRule="exact"/>
        <w:rPr>
          <w:rFonts w:ascii="Arial" w:cs="Arial" w:eastAsia="Arial" w:hAnsi="Arial"/>
          <w:sz w:val="16"/>
          <w:szCs w:val="16"/>
          <w:color w:val="auto"/>
        </w:rPr>
      </w:pPr>
    </w:p>
    <w:p>
      <w:pPr>
        <w:jc w:val="both"/>
        <w:ind w:left="1292" w:hanging="644"/>
        <w:spacing w:after="0" w:line="257" w:lineRule="auto"/>
        <w:tabs>
          <w:tab w:leader="none" w:pos="12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LPG hereby acknowledges that EZCORP is a publicly traded company and that the information EZCORP or Change Capital discloses to LPG and its representatives during the course of this engagement may include material non-public information. Accordingly, LPG agrees (for itself and on behalf of its representatives) that it will not use any of such information for any purpose (including engaging in transactions involving the publicly traded securities of EZCORP) other than in connection with the performance of the Services pursuant to this engagement.</w:t>
      </w:r>
    </w:p>
    <w:p>
      <w:pPr>
        <w:spacing w:after="0" w:line="147" w:lineRule="exact"/>
        <w:rPr>
          <w:rFonts w:ascii="Arial" w:cs="Arial" w:eastAsia="Arial" w:hAnsi="Arial"/>
          <w:sz w:val="18"/>
          <w:szCs w:val="18"/>
          <w:color w:val="auto"/>
        </w:rPr>
      </w:pPr>
    </w:p>
    <w:p>
      <w:pPr>
        <w:ind w:left="652" w:hanging="652"/>
        <w:spacing w:after="0"/>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 </w:t>
      </w:r>
      <w:r>
        <w:rPr>
          <w:rFonts w:ascii="Arial" w:cs="Arial" w:eastAsia="Arial" w:hAnsi="Arial"/>
          <w:sz w:val="18"/>
          <w:szCs w:val="18"/>
          <w:color w:val="auto"/>
        </w:rPr>
        <w:t>This Agreement shall be governed by the laws of the State of New York.</w:t>
      </w:r>
    </w:p>
    <w:p>
      <w:pPr>
        <w:spacing w:after="0" w:line="184" w:lineRule="exact"/>
        <w:rPr>
          <w:rFonts w:ascii="Arial" w:cs="Arial" w:eastAsia="Arial" w:hAnsi="Arial"/>
          <w:sz w:val="18"/>
          <w:szCs w:val="18"/>
          <w:color w:val="auto"/>
        </w:rPr>
      </w:pPr>
    </w:p>
    <w:p>
      <w:pPr>
        <w:jc w:val="both"/>
        <w:ind w:left="652" w:hanging="652"/>
        <w:spacing w:after="0" w:line="312"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Assignment - </w:t>
      </w:r>
      <w:r>
        <w:rPr>
          <w:rFonts w:ascii="Arial" w:cs="Arial" w:eastAsia="Arial" w:hAnsi="Arial"/>
          <w:sz w:val="16"/>
          <w:szCs w:val="16"/>
          <w:color w:val="auto"/>
        </w:rPr>
        <w:t>The rights and obligations under this Agreement may not be assigned by either party without the express written consent of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provided, however, that LPG, with at least 30 days’ written notice to EZCORP, may assign its rights and obligations to any of its affiliates. For purposes of this provision, LPG’s “affiliates” shall include those persons who control, are controlled by or are under common control with LPG.</w:t>
      </w:r>
    </w:p>
    <w:p>
      <w:pPr>
        <w:spacing w:after="0" w:line="106" w:lineRule="exact"/>
        <w:rPr>
          <w:rFonts w:ascii="Arial" w:cs="Arial" w:eastAsia="Arial" w:hAnsi="Arial"/>
          <w:sz w:val="16"/>
          <w:szCs w:val="16"/>
          <w:color w:val="auto"/>
        </w:rPr>
      </w:pPr>
    </w:p>
    <w:p>
      <w:pPr>
        <w:jc w:val="both"/>
        <w:ind w:left="652" w:hanging="652"/>
        <w:spacing w:after="0" w:line="264" w:lineRule="auto"/>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 </w:t>
      </w:r>
      <w:r>
        <w:rPr>
          <w:rFonts w:ascii="Arial" w:cs="Arial" w:eastAsia="Arial" w:hAnsi="Arial"/>
          <w:sz w:val="18"/>
          <w:szCs w:val="18"/>
          <w:color w:val="auto"/>
        </w:rPr>
        <w:t>This Agreement constitutes the entire agreement of the parties hereto with respect to all matters contemplated hereby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supersedes all previous agreements and understandings among them concerning such matters. No statements or agreements, oral or written, made prior to or at the signing hereof, shall vary, waive or modify the written terms hereof.</w:t>
      </w:r>
    </w:p>
    <w:p>
      <w:pPr>
        <w:sectPr>
          <w:pgSz w:w="11900" w:h="16838" w:orient="portrait"/>
          <w:cols w:equalWidth="0" w:num="1">
            <w:col w:w="11412"/>
          </w:cols>
          <w:pgMar w:left="248" w:top="612" w:right="2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have executed this Agreement, intending to be legally bound in accordance with its terms, to be effective as of the date first written above.</w:t>
      </w:r>
    </w:p>
    <w:p>
      <w:pPr>
        <w:spacing w:after="0" w:line="27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380"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Thomas H. Welch, Jr.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H. Welch, Jr.,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and Secretary</w:t>
      </w:r>
    </w:p>
    <w:p>
      <w:pPr>
        <w:spacing w:after="0" w:line="31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CHANGE CAPITAL, INC.</w:t>
      </w:r>
    </w:p>
    <w:p>
      <w:pPr>
        <w:spacing w:after="0" w:line="200" w:lineRule="exact"/>
        <w:rPr>
          <w:sz w:val="20"/>
          <w:szCs w:val="20"/>
          <w:color w:val="auto"/>
        </w:rPr>
      </w:pPr>
    </w:p>
    <w:p>
      <w:pPr>
        <w:spacing w:after="0" w:line="380"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Thomas H. Welch, Jr.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H. Welch, Jr.,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and Secretary</w:t>
      </w:r>
    </w:p>
    <w:p>
      <w:pPr>
        <w:spacing w:after="0" w:line="31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LPG LIMITED (HK)</w:t>
      </w:r>
    </w:p>
    <w:p>
      <w:pPr>
        <w:spacing w:after="0" w:line="200" w:lineRule="exact"/>
        <w:rPr>
          <w:sz w:val="20"/>
          <w:szCs w:val="20"/>
          <w:color w:val="auto"/>
        </w:rPr>
      </w:pPr>
    </w:p>
    <w:p>
      <w:pPr>
        <w:spacing w:after="0" w:line="380"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Lachlan P. Given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Lachlan Paul Given,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Owner and Principal</w:t>
      </w:r>
    </w:p>
    <w:p>
      <w:pPr>
        <w:sectPr>
          <w:pgSz w:w="11900" w:h="16838" w:orient="portrait"/>
          <w:cols w:equalWidth="0" w:num="1">
            <w:col w:w="11420"/>
          </w:cols>
          <w:pgMar w:left="240" w:top="584"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tcPr>
          <w:p>
            <w:pPr>
              <w:ind w:left="64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56"/>
        </w:trPr>
        <w:tc>
          <w:tcPr>
            <w:tcW w:w="40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SUBSIDIARIES OF EZCORP, INC.</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400" w:type="dxa"/>
            <w:vAlign w:val="bottom"/>
            <w:tcBorders>
              <w:bottom w:val="single" w:sz="8" w:color="auto"/>
            </w:tcBorders>
          </w:tcPr>
          <w:p>
            <w:pPr>
              <w:jc w:val="center"/>
              <w:ind w:left="4931"/>
              <w:spacing w:after="0"/>
              <w:rPr>
                <w:sz w:val="20"/>
                <w:szCs w:val="20"/>
                <w:color w:val="auto"/>
              </w:rPr>
            </w:pPr>
            <w:r>
              <w:rPr>
                <w:rFonts w:ascii="Arial" w:cs="Arial" w:eastAsia="Arial" w:hAnsi="Arial"/>
                <w:sz w:val="14"/>
                <w:szCs w:val="14"/>
                <w:b w:val="1"/>
                <w:bCs w:val="1"/>
                <w:color w:val="auto"/>
                <w:w w:val="93"/>
              </w:rPr>
              <w:t>Jurisdiction of Organization</w:t>
            </w:r>
          </w:p>
        </w:tc>
        <w:tc>
          <w:tcPr>
            <w:tcW w:w="0" w:type="dxa"/>
            <w:vAlign w:val="bottom"/>
          </w:tcPr>
          <w:p>
            <w:pPr>
              <w:spacing w:after="0"/>
              <w:rPr>
                <w:sz w:val="1"/>
                <w:szCs w:val="1"/>
                <w:color w:val="auto"/>
              </w:rPr>
            </w:pPr>
          </w:p>
        </w:tc>
      </w:tr>
      <w:tr>
        <w:trPr>
          <w:trHeight w:val="67"/>
        </w:trPr>
        <w:tc>
          <w:tcPr>
            <w:tcW w:w="40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Cash-N-Pawn International, Ltd.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Cash-N-Pawn of Minnesota, Ltd.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Investments,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Ventures,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C-N-P Northwest, Ltd.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Minnesota</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 Morgan Services Limited</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ECS Online, Inc.</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Alabama,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California,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Delaware,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Florida,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Hawaii,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Idaho,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Illinois,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Kansas,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Louisiana,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Michigan,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Mississippi,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Missouri,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Nevada,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Ohio,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Oklahoma,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Rhode Island,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South Dakota,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Tennessee,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ONLINE Utah,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ONLINE Wisconsin,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Talent S. de R.L.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Transfers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Latin America Coöperatief, U.A.</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Holdings,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Global,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Holdings,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Latin America Services, S.A.</w:t>
            </w:r>
          </w:p>
        </w:tc>
        <w:tc>
          <w:tcPr>
            <w:tcW w:w="7400" w:type="dxa"/>
            <w:vAlign w:val="bottom"/>
            <w:vMerge w:val="restart"/>
          </w:tcPr>
          <w:p>
            <w:pPr>
              <w:jc w:val="center"/>
              <w:ind w:left="4911"/>
              <w:spacing w:after="0"/>
              <w:rPr>
                <w:sz w:val="20"/>
                <w:szCs w:val="20"/>
                <w:color w:val="auto"/>
              </w:rPr>
            </w:pPr>
            <w:r>
              <w:rPr>
                <w:rFonts w:ascii="Arial" w:cs="Arial" w:eastAsia="Arial" w:hAnsi="Arial"/>
                <w:sz w:val="18"/>
                <w:szCs w:val="18"/>
                <w:color w:val="auto"/>
                <w:w w:val="83"/>
              </w:rPr>
              <w:t>Panama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260" w:type="dxa"/>
            <w:vAlign w:val="bottom"/>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EZCORP Online,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USA,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Alabama,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4"/>
              </w:rPr>
              <w:t>British Columbia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Canada,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Colorado,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Hawaii,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Idaho,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Kansas,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Management,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Missouri,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Nova,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4"/>
              </w:rPr>
              <w:t>British Columbia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4"/>
              </w:rPr>
              <w:t>British Columbia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Toba,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4"/>
              </w:rPr>
              <w:t>British Columbia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Utah,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EZMONEY Wisconsin,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Services Limited</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4"/>
              </w:rPr>
              <w:t>Ireland</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EZParkway Trading Limited</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4"/>
              </w:rPr>
              <w:t>Ireland</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Mexico Limited</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4"/>
              </w:rPr>
              <w:t>Ireland</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Alabama,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Arizona,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Arkansas,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Colorado,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Florida,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Georgia,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Louisiana,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Wisconsin,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Fondo ACH, S.A. de C.V. SOFOM, E.N.R.</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shd w:val="clear" w:color="auto" w:fill="CCEEFF"/>
          </w:tcPr>
          <w:p>
            <w:pPr>
              <w:jc w:val="center"/>
              <w:ind w:left="4771"/>
              <w:spacing w:after="0"/>
              <w:rPr>
                <w:sz w:val="20"/>
                <w:szCs w:val="20"/>
                <w:color w:val="auto"/>
              </w:rPr>
            </w:pPr>
            <w:r>
              <w:rPr>
                <w:rFonts w:ascii="Arial" w:cs="Arial" w:eastAsia="Arial" w:hAnsi="Arial"/>
                <w:sz w:val="18"/>
                <w:szCs w:val="18"/>
                <w:color w:val="auto"/>
                <w:w w:val="93"/>
              </w:rPr>
              <w:t>Colorado</w:t>
            </w:r>
          </w:p>
        </w:tc>
      </w:tr>
      <w:tr>
        <w:trPr>
          <w:trHeight w:val="27"/>
        </w:trPr>
        <w:tc>
          <w:tcPr>
            <w:tcW w:w="416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spacing w:after="0"/>
              <w:rPr>
                <w:sz w:val="16"/>
                <w:szCs w:val="16"/>
                <w:color w:val="auto"/>
              </w:rPr>
            </w:pPr>
          </w:p>
        </w:tc>
        <w:tc>
          <w:tcPr>
            <w:tcW w:w="7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120" w:type="dxa"/>
            <w:vAlign w:val="bottom"/>
          </w:tcPr>
          <w:p>
            <w:pPr>
              <w:jc w:val="center"/>
              <w:ind w:left="465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Parkway Insurance,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4"/>
              </w:rPr>
              <w:t>Utah</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Pawn Management, Inc.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Premier Management Company,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Premier NY Operating Co, LLC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Premier Pawn and Jewelry, LLC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Prestaciones Finmart, S.A.P.I. de C.V. SOFOM, E.N.R.</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Red Dog Holdings, LLC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1"/>
              </w:rPr>
              <w:t>Minnesota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Renueva Comercial, S.A.P.I. de C.V.</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98"/>
              </w:rPr>
              <w:t>Mexico</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Texas EZMONEY, L.P.</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Management, Inc.</w:t>
            </w:r>
          </w:p>
        </w:tc>
        <w:tc>
          <w:tcPr>
            <w:tcW w:w="7120" w:type="dxa"/>
            <w:vAlign w:val="bottom"/>
            <w:tcBorders>
              <w:bottom w:val="single" w:sz="8" w:color="CCEEFF"/>
            </w:tcBorders>
            <w:shd w:val="clear" w:color="auto" w:fill="CCEEFF"/>
          </w:tcPr>
          <w:p>
            <w:pPr>
              <w:jc w:val="center"/>
              <w:ind w:left="4631"/>
              <w:spacing w:after="0"/>
              <w:rPr>
                <w:sz w:val="20"/>
                <w:szCs w:val="20"/>
                <w:color w:val="auto"/>
              </w:rPr>
            </w:pPr>
            <w:r>
              <w:rPr>
                <w:rFonts w:ascii="Arial" w:cs="Arial" w:eastAsia="Arial" w:hAnsi="Arial"/>
                <w:sz w:val="18"/>
                <w:szCs w:val="18"/>
                <w:color w:val="auto"/>
                <w:w w:val="89"/>
              </w:rPr>
              <w:t>Delaware</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Texas EZPAWN, L.P.</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PRA Management, L.P.</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5"/>
              </w:rPr>
              <w:t>Texas</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Twyford Developments Limited</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95"/>
              </w:rPr>
              <w:t>United Kingdom</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II,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III,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IV,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V,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VI,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VII,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VIII,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X,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USA Pawn &amp; Jewelry CO XII, LLC</w:t>
            </w:r>
          </w:p>
        </w:tc>
        <w:tc>
          <w:tcPr>
            <w:tcW w:w="7120" w:type="dxa"/>
            <w:vAlign w:val="bottom"/>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XIII, LLC</w:t>
            </w:r>
          </w:p>
        </w:tc>
        <w:tc>
          <w:tcPr>
            <w:tcW w:w="7120" w:type="dxa"/>
            <w:vAlign w:val="bottom"/>
            <w:tcBorders>
              <w:bottom w:val="single" w:sz="8" w:color="CCEEFF"/>
            </w:tcBorders>
            <w:shd w:val="clear" w:color="auto" w:fill="CCEEFF"/>
          </w:tcPr>
          <w:p>
            <w:pPr>
              <w:jc w:val="center"/>
              <w:ind w:left="4651"/>
              <w:spacing w:after="0"/>
              <w:rPr>
                <w:sz w:val="20"/>
                <w:szCs w:val="20"/>
                <w:color w:val="auto"/>
              </w:rPr>
            </w:pPr>
            <w:r>
              <w:rPr>
                <w:rFonts w:ascii="Arial" w:cs="Arial" w:eastAsia="Arial" w:hAnsi="Arial"/>
                <w:sz w:val="18"/>
                <w:szCs w:val="18"/>
                <w:color w:val="auto"/>
                <w:w w:val="86"/>
              </w:rPr>
              <w:t>Nevada</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Value Financial Services, Inc.</w:t>
            </w:r>
          </w:p>
        </w:tc>
        <w:tc>
          <w:tcPr>
            <w:tcW w:w="7120" w:type="dxa"/>
            <w:vAlign w:val="bottom"/>
          </w:tcPr>
          <w:p>
            <w:pPr>
              <w:jc w:val="center"/>
              <w:ind w:left="4631"/>
              <w:spacing w:after="0"/>
              <w:rPr>
                <w:sz w:val="20"/>
                <w:szCs w:val="20"/>
                <w:color w:val="auto"/>
              </w:rPr>
            </w:pPr>
            <w:r>
              <w:rPr>
                <w:rFonts w:ascii="Arial" w:cs="Arial" w:eastAsia="Arial" w:hAnsi="Arial"/>
                <w:sz w:val="18"/>
                <w:szCs w:val="18"/>
                <w:color w:val="auto"/>
                <w:w w:val="94"/>
              </w:rPr>
              <w:t>Florida</w:t>
            </w:r>
          </w:p>
        </w:tc>
      </w:tr>
      <w:tr>
        <w:trPr>
          <w:trHeight w:val="27"/>
        </w:trPr>
        <w:tc>
          <w:tcPr>
            <w:tcW w:w="4300" w:type="dxa"/>
            <w:vAlign w:val="bottom"/>
          </w:tcPr>
          <w:p>
            <w:pPr>
              <w:spacing w:after="0"/>
              <w:rPr>
                <w:sz w:val="2"/>
                <w:szCs w:val="2"/>
                <w:color w:val="auto"/>
              </w:rPr>
            </w:pPr>
          </w:p>
        </w:tc>
        <w:tc>
          <w:tcPr>
            <w:tcW w:w="7120" w:type="dxa"/>
            <w:vAlign w:val="bottom"/>
          </w:tcPr>
          <w:p>
            <w:pPr>
              <w:spacing w:after="0"/>
              <w:rPr>
                <w:sz w:val="2"/>
                <w:szCs w:val="2"/>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Yellow Dog Holdings, LLC</w:t>
            </w:r>
          </w:p>
        </w:tc>
        <w:tc>
          <w:tcPr>
            <w:tcW w:w="7120" w:type="dxa"/>
            <w:vAlign w:val="bottom"/>
            <w:shd w:val="clear" w:color="auto" w:fill="CCEEFF"/>
          </w:tcPr>
          <w:p>
            <w:pPr>
              <w:jc w:val="center"/>
              <w:ind w:left="4631"/>
              <w:spacing w:after="0"/>
              <w:rPr>
                <w:sz w:val="20"/>
                <w:szCs w:val="20"/>
                <w:color w:val="auto"/>
              </w:rPr>
            </w:pPr>
            <w:r>
              <w:rPr>
                <w:rFonts w:ascii="Arial" w:cs="Arial" w:eastAsia="Arial" w:hAnsi="Arial"/>
                <w:sz w:val="18"/>
                <w:szCs w:val="18"/>
                <w:color w:val="auto"/>
                <w:w w:val="91"/>
              </w:rPr>
              <w:t>Minnesota</w:t>
            </w:r>
          </w:p>
        </w:tc>
      </w:tr>
      <w:tr>
        <w:trPr>
          <w:trHeight w:val="27"/>
        </w:trPr>
        <w:tc>
          <w:tcPr>
            <w:tcW w:w="43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(Reg. No. 333-191671), Registration Statement on Form S-8 (Reg. No. 333-191675), and Registration Statement on Form S-8 (Reg. No. 333-191677) of our reports dated November 26, 2014, relating to the consolidated financial statements of EZCorp, Inc., and the effectiveness of EZCorp Inc.’s internal control over financial reporting, appearing in this Annual Report on Form 10-K of EZCorp, Inc. for the year ended September 30, 2014.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2014</w:t>
      </w:r>
    </w:p>
    <w:p>
      <w:pPr>
        <w:sectPr>
          <w:pgSz w:w="11900" w:h="16838" w:orient="portrait"/>
          <w:cols w:equalWidth="0" w:num="1">
            <w:col w:w="11420"/>
          </w:cols>
          <w:pgMar w:left="240" w:top="797"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hereby consent to the incorporation by reference in the Registration Statement (Form S-8 No. 333-191675) pertaining to the EZCORP, Inc. 2003 Incentive Plan, the Registration Statement (Form S-8 No. 333-191671) pertaining to the EZCORP, Inc. 2006 Incentive Plan and the Registration Statement (Form S-8 No. 333-191677) pertaining to the EZCORP, Inc. 2010 Long-Term Incentive Plan of our report dated November 20, 2012, except for Notes 2, 4, 6, 7, 12, 14, 19 and 23, which are as of November 26, 2014 relating to the consolidated financial statements of EZCORP which appears in the Annual Report to Shareholders, which is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26, 2014</w:t>
      </w:r>
    </w:p>
    <w:p>
      <w:pPr>
        <w:sectPr>
          <w:pgSz w:w="11900" w:h="16838" w:orient="portrait"/>
          <w:cols w:equalWidth="0" w:num="1">
            <w:col w:w="11420"/>
          </w:cols>
          <w:pgMar w:left="240" w:top="796"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E. Kuchenrither,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E. Kuchenrither, certify that:</w:t>
      </w:r>
    </w:p>
    <w:p>
      <w:pPr>
        <w:spacing w:after="0" w:line="63"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2014</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Chief Executive Officer and Chief Financial Officer</w:t>
      </w:r>
    </w:p>
    <w:p>
      <w:pPr>
        <w:sectPr>
          <w:pgSz w:w="11900" w:h="16838" w:orient="portrait"/>
          <w:cols w:equalWidth="0" w:num="1">
            <w:col w:w="11420"/>
          </w:cols>
          <w:pgMar w:left="240" w:top="797"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E. Kuchenrither,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E. Kuchenrither, certify that:</w:t>
      </w:r>
    </w:p>
    <w:p>
      <w:pPr>
        <w:spacing w:after="0" w:line="63"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2014</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Chief Executive Officer and Chief Financial Officer</w:t>
      </w:r>
    </w:p>
    <w:p>
      <w:pPr>
        <w:sectPr>
          <w:pgSz w:w="11900" w:h="16838" w:orient="portrait"/>
          <w:cols w:equalWidth="0" w:num="1">
            <w:col w:w="11420"/>
          </w:cols>
          <w:pgMar w:left="240" w:top="797"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E. Kuchenrither, President, Chief Executive Officer and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2014</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E. Kuchenrither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Chief Executive Officer and Chief Financial Officer</w:t>
      </w: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emdash "/>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1)"/>
      <w:numFmt w:val="decimal"/>
      <w:start w:val="3"/>
    </w:lvl>
  </w:abstractNum>
  <w:abstractNum w:abstractNumId="24">
    <w:nsid w:val="168E121F"/>
    <w:multiLevelType w:val="hybridMultilevel"/>
    <w:lvl w:ilvl="0">
      <w:lvlJc w:val="left"/>
      <w:lvlText w:val="(%1)"/>
      <w:numFmt w:val="decimal"/>
      <w:start w:val="2"/>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1)"/>
      <w:numFmt w:val="decimal"/>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decimal"/>
      <w:start w:val="4"/>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lvl w:ilvl="1">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emdash "/>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
      <w:numFmt w:val="bullet"/>
      <w:start w:val="1"/>
    </w:lvl>
    <w:lvl w:ilvl="1">
      <w:lvlJc w:val="left"/>
      <w:lvlText w:val="•"/>
      <w:numFmt w:val="bullet"/>
      <w:start w:val="1"/>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lvl w:ilvl="1">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1)"/>
      <w:numFmt w:val="decimal"/>
      <w:start w:val="1"/>
    </w:lvl>
  </w:abstractNum>
  <w:abstractNum w:abstractNumId="73">
    <w:nsid w:val="50801EE1"/>
    <w:multiLevelType w:val="hybridMultilevel"/>
    <w:lvl w:ilvl="0">
      <w:lvlJc w:val="left"/>
      <w:lvlText w:val="(%1)"/>
      <w:numFmt w:val="decimal"/>
      <w:start w:val="7"/>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1)"/>
      <w:numFmt w:val="decimal"/>
      <w:start w:val="1"/>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decimal"/>
      <w:start w:val="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3"/>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
      <w:numFmt w:val="bullet"/>
      <w:start w:val="1"/>
    </w:lvl>
    <w:lvl w:ilvl="1">
      <w:lvlJc w:val="left"/>
      <w:lvlText w:val="%2"/>
      <w:numFmt w:val="upperLetter"/>
      <w:start w:val="102"/>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6"/>
    </w:lvl>
    <w:lvl w:ilvl="1">
      <w:lvlJc w:val="left"/>
      <w:lvlText w:val="%2"/>
      <w:numFmt w:val="decimal"/>
      <w:start w:val="1"/>
    </w:lvl>
    <w:lvl w:ilvl="2">
      <w:lvlJc w:val="left"/>
      <w:lvlText w:val="(%3)"/>
      <w:numFmt w:val="lowerLetter"/>
      <w:start w:val="3"/>
    </w:lvl>
  </w:abstractNum>
  <w:abstractNum w:abstractNumId="103">
    <w:nsid w:val="7C58FD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4">
    <w:nsid w:val="23D86AAC"/>
    <w:multiLevelType w:val="hybridMultilevel"/>
    <w:lvl w:ilvl="0">
      <w:lvlJc w:val="left"/>
      <w:lvlText w:val="%1."/>
      <w:numFmt w:val="decimal"/>
      <w:start w:val="8"/>
    </w:lvl>
    <w:lvl w:ilvl="1">
      <w:lvlJc w:val="left"/>
      <w:lvlText w:val="%2."/>
      <w:numFmt w:val="decimal"/>
      <w:start w:val="10"/>
    </w:lvl>
    <w:lvl w:ilvl="2">
      <w:lvlJc w:val="left"/>
      <w:lvlText w:val="%3"/>
      <w:numFmt w:val="lowerLetter"/>
      <w:start w:val="1"/>
    </w:lvl>
  </w:abstractNum>
  <w:abstractNum w:abstractNumId="105">
    <w:nsid w:val="45E6D486"/>
    <w:multiLevelType w:val="hybridMultilevel"/>
    <w:lvl w:ilvl="0">
      <w:lvlJc w:val="left"/>
      <w:lvlText w:val="%1."/>
      <w:numFmt w:val="decimal"/>
      <w:start w:val="11"/>
    </w:lvl>
  </w:abstractNum>
  <w:abstractNum w:abstractNumId="106">
    <w:nsid w:val="5C10FE21"/>
    <w:multiLevelType w:val="hybridMultilevel"/>
    <w:lvl w:ilvl="0">
      <w:lvlJc w:val="left"/>
      <w:lvlText w:val="%1."/>
      <w:numFmt w:val="decimal"/>
      <w:start w:val="12"/>
    </w:lvl>
    <w:lvl w:ilvl="1">
      <w:lvlJc w:val="left"/>
      <w:lvlText w:val="•"/>
      <w:numFmt w:val="bullet"/>
      <w:start w:val="1"/>
    </w:lvl>
  </w:abstractNum>
  <w:abstractNum w:abstractNumId="107">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3C5991AA"/>
    <w:multiLevelType w:val="hybridMultilevel"/>
    <w:lvl w:ilvl="0">
      <w:lvlJc w:val="left"/>
      <w:lvlText w:val="%1"/>
      <w:numFmt w:val="decimal"/>
      <w:start w:val="1"/>
    </w:lvl>
    <w:lvl w:ilvl="1">
      <w:lvlJc w:val="left"/>
      <w:lvlText w:val="(%2)"/>
      <w:numFmt w:val="lowerRoman"/>
      <w:start w:val="3"/>
    </w:lvl>
  </w:abstractNum>
  <w:abstractNum w:abstractNumId="109">
    <w:nsid w:val="4BD8591A"/>
    <w:multiLevelType w:val="hybridMultilevel"/>
    <w:lvl w:ilvl="0">
      <w:lvlJc w:val="left"/>
      <w:lvlText w:val="%1."/>
      <w:numFmt w:val="decimal"/>
      <w:start w:val="4"/>
    </w:lvl>
    <w:lvl w:ilvl="1">
      <w:lvlJc w:val="left"/>
      <w:lvlText w:val="%2"/>
      <w:numFmt w:val="lowerRoman"/>
      <w:start w:val="1"/>
    </w:lvl>
  </w:abstractNum>
  <w:abstractNum w:abstractNumId="110">
    <w:nsid w:val="78DF6A55"/>
    <w:multiLevelType w:val="hybridMultilevel"/>
    <w:lvl w:ilvl="0">
      <w:lvlJc w:val="left"/>
      <w:lvlText w:val="%1."/>
      <w:numFmt w:val="decimal"/>
      <w:start w:val="10"/>
    </w:lvl>
    <w:lvl w:ilvl="1">
      <w:lvlJc w:val="left"/>
      <w:lvlText w:val="(%2)"/>
      <w:numFmt w:val="lowerLetter"/>
      <w:start w:val="1"/>
    </w:lvl>
  </w:abstractNum>
  <w:abstractNum w:abstractNumId="111">
    <w:nsid w:val="39B7AAA2"/>
    <w:multiLevelType w:val="hybridMultilevel"/>
    <w:lvl w:ilvl="0">
      <w:lvlJc w:val="left"/>
      <w:lvlText w:val="%1."/>
      <w:numFmt w:val="upperLetter"/>
      <w:start w:val="1"/>
    </w:lvl>
  </w:abstractNum>
  <w:abstractNum w:abstractNumId="112">
    <w:nsid w:val="2B0D8DB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3">
    <w:nsid w:val="6C80EC70"/>
    <w:multiLevelType w:val="hybridMultilevel"/>
    <w:lvl w:ilvl="0">
      <w:lvlJc w:val="left"/>
      <w:lvlText w:val="%1."/>
      <w:numFmt w:val="decimal"/>
      <w:start w:val="2"/>
    </w:lvl>
    <w:lvl w:ilvl="1">
      <w:lvlJc w:val="left"/>
      <w:lvlText w:val="(%2)"/>
      <w:numFmt w:val="lowerLetter"/>
      <w:start w:val="1"/>
    </w:lvl>
  </w:abstractNum>
  <w:abstractNum w:abstractNumId="114">
    <w:nsid w:val="379E21B5"/>
    <w:multiLevelType w:val="hybridMultilevel"/>
    <w:lvl w:ilvl="0">
      <w:lvlJc w:val="left"/>
      <w:lvlText w:val="(%1)"/>
      <w:numFmt w:val="lowerLetter"/>
      <w:start w:val="2"/>
    </w:lvl>
  </w:abstractNum>
  <w:abstractNum w:abstractNumId="115">
    <w:nsid w:val="69E37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16">
    <w:nsid w:val="2C27173B"/>
    <w:multiLevelType w:val="hybridMultilevel"/>
    <w:lvl w:ilvl="0">
      <w:lvlJc w:val="left"/>
      <w:lvlText w:val="%1"/>
      <w:numFmt w:val="decimal"/>
      <w:start w:val="1"/>
    </w:lvl>
    <w:lvl w:ilvl="1">
      <w:lvlJc w:val="left"/>
      <w:lvlText w:val="(%2)"/>
      <w:numFmt w:val="lowerLetter"/>
      <w:start w:val="3"/>
    </w:lvl>
  </w:abstractNum>
  <w:abstractNum w:abstractNumId="117">
    <w:nsid w:val="4C9B0904"/>
    <w:multiLevelType w:val="hybridMultilevel"/>
    <w:lvl w:ilvl="0">
      <w:lvlJc w:val="left"/>
      <w:lvlText w:val="%1."/>
      <w:numFmt w:val="decimal"/>
      <w:start w:val="5"/>
    </w:lvl>
    <w:lvl w:ilvl="1">
      <w:lvlJc w:val="left"/>
      <w:lvlText w:val="(%2)"/>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2020-01-28T19:18:46Z</dcterms:created>
  <dcterms:modified xsi:type="dcterms:W3CDTF">2020-01-28T19:18:46Z</dcterms:modified>
</cp:coreProperties>
</file>