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7"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8" w:lineRule="exact"/>
        <w:rPr>
          <w:sz w:val="24"/>
          <w:szCs w:val="24"/>
          <w:color w:val="auto"/>
        </w:rPr>
      </w:pPr>
    </w:p>
    <w:p>
      <w:pPr>
        <w:ind w:left="340" w:right="8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-230505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3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-619760</wp:posOffset>
            </wp:positionV>
            <wp:extent cx="57785" cy="633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095"/>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-619760</wp:posOffset>
            </wp:positionV>
            <wp:extent cx="57785" cy="6330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309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735330</wp:posOffset>
            </wp:positionV>
            <wp:extent cx="6995160" cy="66224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6622415"/>
                    </a:xfrm>
                    <a:prstGeom prst="rect">
                      <a:avLst/>
                    </a:prstGeom>
                    <a:noFill/>
                  </pic:spPr>
                </pic:pic>
              </a:graphicData>
            </a:graphic>
          </wp:anchor>
        </w:drawing>
      </w:r>
    </w:p>
    <w:p>
      <w:pPr>
        <w:spacing w:after="0" w:line="1208" w:lineRule="exact"/>
        <w:rPr>
          <w:sz w:val="24"/>
          <w:szCs w:val="24"/>
          <w:color w:val="auto"/>
        </w:rPr>
      </w:pPr>
    </w:p>
    <w:p>
      <w:pPr>
        <w:sectPr>
          <w:pgSz w:w="11900" w:h="16915" w:orient="portrait"/>
          <w:cols w:equalWidth="0" w:num="2">
            <w:col w:w="2300" w:space="300"/>
            <w:col w:w="8480"/>
          </w:cols>
          <w:pgMar w:left="460" w:top="216" w:right="359" w:bottom="0" w:gutter="0" w:footer="0" w:header="0"/>
        </w:sectPr>
      </w:pPr>
    </w:p>
    <w:p>
      <w:pPr>
        <w:spacing w:after="0" w:line="1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Sajnani Sunil</w:t>
        </w:r>
      </w:hyperlink>
    </w:p>
    <w:p>
      <w:pPr>
        <w:spacing w:after="0" w:line="29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2500 BEE CAVE ROAD</w:t>
      </w:r>
    </w:p>
    <w:p>
      <w:pPr>
        <w:spacing w:after="0" w:line="6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BUILDING 1, SUITE 200</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EZCORP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EZPW</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11/12/2024</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4" w:right="660" w:hanging="4"/>
        <w:spacing w:after="0" w:line="254"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 w:lineRule="exact"/>
        <w:rPr>
          <w:sz w:val="24"/>
          <w:szCs w:val="24"/>
          <w:color w:val="auto"/>
        </w:rPr>
      </w:pPr>
    </w:p>
    <w:p>
      <w:pPr>
        <w:ind w:left="524"/>
        <w:spacing w:after="0"/>
        <w:tabs>
          <w:tab w:leader="none" w:pos="2063"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2"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24"/>
        <w:spacing w:after="0"/>
        <w:tabs>
          <w:tab w:leader="none" w:pos="2063"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0" w:lineRule="exact"/>
        <w:rPr>
          <w:sz w:val="24"/>
          <w:szCs w:val="24"/>
          <w:color w:val="auto"/>
        </w:rPr>
      </w:pPr>
    </w:p>
    <w:p>
      <w:pPr>
        <w:ind w:left="724"/>
        <w:spacing w:after="0"/>
        <w:rPr>
          <w:sz w:val="20"/>
          <w:szCs w:val="20"/>
          <w:color w:val="auto"/>
        </w:rPr>
      </w:pPr>
      <w:r>
        <w:rPr>
          <w:rFonts w:ascii="Times New Roman" w:cs="Times New Roman" w:eastAsia="Times New Roman" w:hAnsi="Times New Roman"/>
          <w:sz w:val="17"/>
          <w:szCs w:val="17"/>
          <w:color w:val="0000FF"/>
        </w:rPr>
        <w:t>Chief Audit/LP Executive</w:t>
      </w:r>
    </w:p>
    <w:p>
      <w:pPr>
        <w:spacing w:after="0" w:line="387" w:lineRule="exact"/>
        <w:rPr>
          <w:sz w:val="24"/>
          <w:szCs w:val="24"/>
          <w:color w:val="auto"/>
        </w:rPr>
      </w:pPr>
    </w:p>
    <w:p>
      <w:pPr>
        <w:sectPr>
          <w:pgSz w:w="11900" w:h="16915" w:orient="portrait"/>
          <w:cols w:equalWidth="0" w:num="3">
            <w:col w:w="3180" w:space="720"/>
            <w:col w:w="3116" w:space="720"/>
            <w:col w:w="3344"/>
          </w:cols>
          <w:pgMar w:left="460" w:top="216" w:right="359" w:bottom="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3720" w:type="dxa"/>
            <w:vAlign w:val="bottom"/>
            <w:gridSpan w:val="7"/>
          </w:tcPr>
          <w:p>
            <w:pPr>
              <w:jc w:val="center"/>
              <w:ind w:right="137"/>
              <w:spacing w:after="0"/>
              <w:rPr>
                <w:sz w:val="20"/>
                <w:szCs w:val="20"/>
                <w:color w:val="auto"/>
              </w:rPr>
            </w:pPr>
            <w:r>
              <w:rPr>
                <w:rFonts w:ascii="Arial" w:cs="Arial" w:eastAsia="Arial" w:hAnsi="Arial"/>
                <w:sz w:val="13"/>
                <w:szCs w:val="13"/>
                <w:color w:val="auto"/>
                <w:w w:val="97"/>
              </w:rPr>
              <w:t>4. If Amendment, Date of Original Filed (Month/Day/Year)</w:t>
            </w:r>
          </w:p>
        </w:tc>
        <w:tc>
          <w:tcPr>
            <w:tcW w:w="3600" w:type="dxa"/>
            <w:vAlign w:val="bottom"/>
            <w:gridSpan w:val="10"/>
          </w:tcPr>
          <w:p>
            <w:pPr>
              <w:ind w:left="2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4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2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ROLLINGWOOD TX</w:t>
            </w:r>
          </w:p>
        </w:tc>
        <w:tc>
          <w:tcPr>
            <w:tcW w:w="11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78746</w:t>
            </w: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20" w:type="dxa"/>
            <w:vAlign w:val="bottom"/>
            <w:gridSpan w:val="3"/>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48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76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600" w:type="dxa"/>
            <w:vAlign w:val="bottom"/>
          </w:tcPr>
          <w:p>
            <w:pPr>
              <w:spacing w:after="0"/>
              <w:rPr>
                <w:sz w:val="6"/>
                <w:szCs w:val="6"/>
                <w:color w:val="auto"/>
              </w:rPr>
            </w:pPr>
          </w:p>
        </w:tc>
        <w:tc>
          <w:tcPr>
            <w:tcW w:w="48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vMerge w:val="restart"/>
          </w:tcPr>
          <w:p>
            <w:pPr>
              <w:spacing w:after="0"/>
              <w:rPr>
                <w:sz w:val="6"/>
                <w:szCs w:val="6"/>
                <w:color w:val="auto"/>
              </w:rPr>
            </w:pPr>
          </w:p>
        </w:tc>
        <w:tc>
          <w:tcPr>
            <w:tcW w:w="62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0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48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1820" w:type="dxa"/>
            <w:vAlign w:val="bottom"/>
            <w:gridSpan w:val="2"/>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0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ind w:left="800"/>
              <w:spacing w:after="0"/>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4"/>
          </w:tcPr>
          <w:p>
            <w:pPr>
              <w:ind w:left="10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600" w:type="dxa"/>
            <w:vAlign w:val="bottom"/>
          </w:tcPr>
          <w:p>
            <w:pPr>
              <w:spacing w:after="0"/>
              <w:rPr>
                <w:sz w:val="11"/>
                <w:szCs w:val="11"/>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00"/>
              <w:spacing w:after="0"/>
              <w:rPr>
                <w:sz w:val="20"/>
                <w:szCs w:val="20"/>
                <w:color w:val="auto"/>
              </w:rPr>
            </w:pPr>
            <w:r>
              <w:rPr>
                <w:rFonts w:ascii="Arial" w:cs="Arial" w:eastAsia="Arial" w:hAnsi="Arial"/>
                <w:sz w:val="11"/>
                <w:szCs w:val="11"/>
                <w:b w:val="1"/>
                <w:bCs w:val="1"/>
                <w:color w:val="auto"/>
              </w:rPr>
              <w:t>(Month/Day/Year)</w:t>
            </w:r>
          </w:p>
        </w:tc>
        <w:tc>
          <w:tcPr>
            <w:tcW w:w="48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48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4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jc w:val="center"/>
              <w:ind w:right="19"/>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5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40" w:type="dxa"/>
            <w:vAlign w:val="bottom"/>
            <w:vMerge w:val="restart"/>
          </w:tcPr>
          <w:p>
            <w:pPr>
              <w:jc w:val="center"/>
              <w:ind w:right="17"/>
              <w:spacing w:after="0"/>
              <w:rPr>
                <w:sz w:val="20"/>
                <w:szCs w:val="20"/>
                <w:color w:val="auto"/>
              </w:rPr>
            </w:pPr>
            <w:r>
              <w:rPr>
                <w:rFonts w:ascii="Arial" w:cs="Arial" w:eastAsia="Arial" w:hAnsi="Arial"/>
                <w:sz w:val="11"/>
                <w:szCs w:val="11"/>
                <w:b w:val="1"/>
                <w:bCs w:val="1"/>
                <w:color w:val="auto"/>
              </w:rPr>
              <w:t>(D)</w:t>
            </w:r>
          </w:p>
        </w:tc>
        <w:tc>
          <w:tcPr>
            <w:tcW w:w="5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48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4"/>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w w:val="96"/>
              </w:rPr>
              <w:t>Class A Non-Voting Common Stock</w:t>
            </w:r>
          </w:p>
        </w:tc>
        <w:tc>
          <w:tcPr>
            <w:tcW w:w="1840" w:type="dxa"/>
            <w:vAlign w:val="bottom"/>
            <w:gridSpan w:val="3"/>
          </w:tcPr>
          <w:p>
            <w:pPr>
              <w:ind w:left="900"/>
              <w:spacing w:after="0"/>
              <w:rPr>
                <w:sz w:val="20"/>
                <w:szCs w:val="20"/>
                <w:color w:val="auto"/>
              </w:rPr>
            </w:pPr>
            <w:r>
              <w:rPr>
                <w:rFonts w:ascii="Times New Roman" w:cs="Times New Roman" w:eastAsia="Times New Roman" w:hAnsi="Times New Roman"/>
                <w:sz w:val="17"/>
                <w:szCs w:val="17"/>
                <w:color w:val="0000FF"/>
              </w:rPr>
              <w:t>11/12/2024</w:t>
            </w:r>
          </w:p>
        </w:tc>
        <w:tc>
          <w:tcPr>
            <w:tcW w:w="4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jc w:val="center"/>
              <w:ind w:right="240"/>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53,014</w:t>
            </w:r>
          </w:p>
        </w:tc>
        <w:tc>
          <w:tcPr>
            <w:tcW w:w="6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11.77</w:t>
            </w:r>
          </w:p>
        </w:tc>
        <w:tc>
          <w:tcPr>
            <w:tcW w:w="1280" w:type="dxa"/>
            <w:vAlign w:val="bottom"/>
            <w:gridSpan w:val="3"/>
          </w:tcPr>
          <w:p>
            <w:pPr>
              <w:ind w:left="360"/>
              <w:spacing w:after="0"/>
              <w:rPr>
                <w:sz w:val="20"/>
                <w:szCs w:val="20"/>
                <w:color w:val="auto"/>
              </w:rPr>
            </w:pPr>
            <w:r>
              <w:rPr>
                <w:rFonts w:ascii="Times New Roman" w:cs="Times New Roman" w:eastAsia="Times New Roman" w:hAnsi="Times New Roman"/>
                <w:sz w:val="17"/>
                <w:szCs w:val="17"/>
                <w:color w:val="0000FF"/>
              </w:rPr>
              <w:t>113,644</w:t>
            </w:r>
          </w:p>
        </w:tc>
        <w:tc>
          <w:tcPr>
            <w:tcW w:w="26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500" w:type="dxa"/>
            <w:vAlign w:val="bottom"/>
            <w:tcBorders>
              <w:bottom w:val="single" w:sz="8" w:color="2C2C2C"/>
            </w:tcBorders>
            <w:gridSpan w:val="4"/>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w w:val="96"/>
              </w:rPr>
              <w:t>Class A Non-Voting Common Stock</w:t>
            </w:r>
          </w:p>
        </w:tc>
        <w:tc>
          <w:tcPr>
            <w:tcW w:w="1840" w:type="dxa"/>
            <w:vAlign w:val="bottom"/>
            <w:gridSpan w:val="3"/>
          </w:tcPr>
          <w:p>
            <w:pPr>
              <w:ind w:left="900"/>
              <w:spacing w:after="0"/>
              <w:rPr>
                <w:sz w:val="20"/>
                <w:szCs w:val="20"/>
                <w:color w:val="auto"/>
              </w:rPr>
            </w:pPr>
            <w:r>
              <w:rPr>
                <w:rFonts w:ascii="Times New Roman" w:cs="Times New Roman" w:eastAsia="Times New Roman" w:hAnsi="Times New Roman"/>
                <w:sz w:val="17"/>
                <w:szCs w:val="17"/>
                <w:color w:val="0000FF"/>
              </w:rPr>
              <w:t>11/12/2024</w:t>
            </w:r>
          </w:p>
        </w:tc>
        <w:tc>
          <w:tcPr>
            <w:tcW w:w="4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jc w:val="center"/>
              <w:ind w:right="240"/>
              <w:spacing w:after="0"/>
              <w:rPr>
                <w:sz w:val="20"/>
                <w:szCs w:val="20"/>
                <w:color w:val="auto"/>
              </w:rPr>
            </w:pPr>
            <w:r>
              <w:rPr>
                <w:rFonts w:ascii="Times New Roman" w:cs="Times New Roman" w:eastAsia="Times New Roman" w:hAnsi="Times New Roman"/>
                <w:sz w:val="13"/>
                <w:szCs w:val="13"/>
                <w:color w:val="0000FF"/>
              </w:rPr>
              <w:t>F</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12,909</w:t>
            </w:r>
          </w:p>
        </w:tc>
        <w:tc>
          <w:tcPr>
            <w:tcW w:w="6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11.77</w:t>
            </w:r>
          </w:p>
        </w:tc>
        <w:tc>
          <w:tcPr>
            <w:tcW w:w="1280" w:type="dxa"/>
            <w:vAlign w:val="bottom"/>
            <w:gridSpan w:val="3"/>
          </w:tcPr>
          <w:p>
            <w:pPr>
              <w:ind w:left="360"/>
              <w:spacing w:after="0"/>
              <w:rPr>
                <w:sz w:val="20"/>
                <w:szCs w:val="20"/>
                <w:color w:val="auto"/>
              </w:rPr>
            </w:pPr>
            <w:r>
              <w:rPr>
                <w:rFonts w:ascii="Times New Roman" w:cs="Times New Roman" w:eastAsia="Times New Roman" w:hAnsi="Times New Roman"/>
                <w:sz w:val="17"/>
                <w:szCs w:val="17"/>
                <w:color w:val="0000FF"/>
              </w:rPr>
              <w:t>100,735</w:t>
            </w:r>
          </w:p>
        </w:tc>
        <w:tc>
          <w:tcPr>
            <w:tcW w:w="26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gridSpan w:val="6"/>
          </w:tcPr>
          <w:p>
            <w:pPr>
              <w:spacing w:after="0"/>
              <w:rPr>
                <w:sz w:val="8"/>
                <w:szCs w:val="8"/>
                <w:color w:val="auto"/>
              </w:rPr>
            </w:pPr>
          </w:p>
        </w:tc>
        <w:tc>
          <w:tcPr>
            <w:tcW w:w="2600" w:type="dxa"/>
            <w:vAlign w:val="bottom"/>
            <w:tcBorders>
              <w:bottom w:val="single" w:sz="8" w:color="2C2C2C"/>
            </w:tcBorders>
            <w:gridSpan w:val="4"/>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jc w:val="center"/>
              <w:ind w:right="121"/>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jc w:val="center"/>
              <w:ind w:left="432"/>
              <w:spacing w:after="0"/>
              <w:rPr>
                <w:sz w:val="20"/>
                <w:szCs w:val="20"/>
                <w:color w:val="auto"/>
              </w:rPr>
            </w:pPr>
            <w:r>
              <w:rPr>
                <w:rFonts w:ascii="Arial" w:cs="Arial" w:eastAsia="Arial" w:hAnsi="Arial"/>
                <w:sz w:val="17"/>
                <w:szCs w:val="17"/>
                <w:b w:val="1"/>
                <w:bCs w:val="1"/>
                <w:color w:val="auto"/>
                <w:w w:val="97"/>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20" w:type="dxa"/>
            <w:vAlign w:val="bottom"/>
            <w:gridSpan w:val="3"/>
          </w:tcPr>
          <w:p>
            <w:pPr>
              <w:ind w:left="2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220" w:type="dxa"/>
            <w:vAlign w:val="bottom"/>
            <w:gridSpan w:val="3"/>
          </w:tcPr>
          <w:p>
            <w:pPr>
              <w:ind w:left="2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Securities</w:t>
            </w:r>
          </w:p>
        </w:tc>
        <w:tc>
          <w:tcPr>
            <w:tcW w:w="148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Security</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3"/>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3"/>
          </w:tcPr>
          <w:p>
            <w:pPr>
              <w:ind w:left="2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(D) (Instr. 3,</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4 and 5)</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4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ind w:right="39"/>
              <w:spacing w:after="0"/>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48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(2)</w:t>
            </w:r>
          </w:p>
        </w:tc>
        <w:tc>
          <w:tcPr>
            <w:tcW w:w="640" w:type="dxa"/>
            <w:vAlign w:val="bottom"/>
          </w:tcPr>
          <w:p>
            <w:pPr>
              <w:jc w:val="center"/>
              <w:ind w:right="37"/>
              <w:spacing w:after="0" w:line="141" w:lineRule="exact"/>
              <w:rPr>
                <w:sz w:val="20"/>
                <w:szCs w:val="20"/>
                <w:color w:val="auto"/>
              </w:rPr>
            </w:pPr>
            <w:r>
              <w:rPr>
                <w:rFonts w:ascii="Times New Roman" w:cs="Times New Roman" w:eastAsia="Times New Roman" w:hAnsi="Times New Roman"/>
                <w:sz w:val="13"/>
                <w:szCs w:val="13"/>
                <w:color w:val="0000FF"/>
                <w:w w:val="97"/>
              </w:rPr>
              <w:t>Non-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4,068</w:t>
            </w:r>
          </w:p>
        </w:tc>
        <w:tc>
          <w:tcPr>
            <w:tcW w:w="60" w:type="dxa"/>
            <w:vAlign w:val="bottom"/>
          </w:tcPr>
          <w:p>
            <w:pPr>
              <w:spacing w:after="0"/>
              <w:rPr>
                <w:sz w:val="12"/>
                <w:szCs w:val="12"/>
                <w:color w:val="auto"/>
              </w:rPr>
            </w:pPr>
          </w:p>
        </w:tc>
        <w:tc>
          <w:tcPr>
            <w:tcW w:w="680" w:type="dxa"/>
            <w:vAlign w:val="bottom"/>
            <w:gridSpan w:val="2"/>
            <w:vMerge w:val="restart"/>
          </w:tcPr>
          <w:p>
            <w:pPr>
              <w:jc w:val="center"/>
              <w:ind w:right="41"/>
              <w:spacing w:after="0"/>
              <w:rPr>
                <w:sz w:val="20"/>
                <w:szCs w:val="20"/>
                <w:color w:val="auto"/>
              </w:rPr>
            </w:pPr>
            <w:r>
              <w:rPr>
                <w:rFonts w:ascii="Arial" w:cs="Arial" w:eastAsia="Arial" w:hAnsi="Arial"/>
                <w:sz w:val="11"/>
                <w:szCs w:val="11"/>
                <w:color w:val="auto"/>
                <w:w w:val="92"/>
              </w:rPr>
              <w:t>$</w:t>
            </w:r>
            <w:r>
              <w:rPr>
                <w:rFonts w:ascii="Times New Roman" w:cs="Times New Roman" w:eastAsia="Times New Roman" w:hAnsi="Times New Roman"/>
                <w:sz w:val="12"/>
                <w:szCs w:val="12"/>
                <w:color w:val="0000FF"/>
                <w:w w:val="92"/>
              </w:rPr>
              <w:t>11.77</w:t>
            </w:r>
            <w:r>
              <w:rPr>
                <w:rFonts w:ascii="Times New Roman" w:cs="Times New Roman" w:eastAsia="Times New Roman" w:hAnsi="Times New Roman"/>
                <w:sz w:val="21"/>
                <w:szCs w:val="21"/>
                <w:color w:val="008000"/>
                <w:w w:val="92"/>
                <w:vertAlign w:val="superscript"/>
              </w:rPr>
              <w:t>(3)</w:t>
            </w: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11/12/2024</w:t>
            </w: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ind w:left="2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480" w:type="dxa"/>
            <w:vAlign w:val="bottom"/>
          </w:tcPr>
          <w:p>
            <w:pPr>
              <w:ind w:left="120"/>
              <w:spacing w:after="0" w:line="141" w:lineRule="exact"/>
              <w:rPr>
                <w:sz w:val="20"/>
                <w:szCs w:val="20"/>
                <w:color w:val="auto"/>
              </w:rPr>
            </w:pPr>
            <w:r>
              <w:rPr>
                <w:rFonts w:ascii="Times New Roman" w:cs="Times New Roman" w:eastAsia="Times New Roman" w:hAnsi="Times New Roman"/>
                <w:sz w:val="13"/>
                <w:szCs w:val="13"/>
                <w:color w:val="0000FF"/>
              </w:rPr>
              <w:t>4,068</w:t>
            </w:r>
          </w:p>
        </w:tc>
        <w:tc>
          <w:tcPr>
            <w:tcW w:w="5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40" w:type="dxa"/>
            <w:vAlign w:val="bottom"/>
          </w:tcPr>
          <w:p>
            <w:pPr>
              <w:jc w:val="center"/>
              <w:ind w:right="37"/>
              <w:spacing w:after="0" w:line="141" w:lineRule="exact"/>
              <w:rPr>
                <w:sz w:val="20"/>
                <w:szCs w:val="20"/>
                <w:color w:val="auto"/>
              </w:rPr>
            </w:pPr>
            <w:r>
              <w:rPr>
                <w:rFonts w:ascii="Times New Roman" w:cs="Times New Roman" w:eastAsia="Times New Roman" w:hAnsi="Times New Roman"/>
                <w:sz w:val="13"/>
                <w:szCs w:val="13"/>
                <w:color w:val="0000FF"/>
                <w:w w:val="94"/>
              </w:rPr>
              <w:t>Voting</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860" w:type="dxa"/>
            <w:vAlign w:val="bottom"/>
            <w:gridSpan w:val="2"/>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9"/>
              </w:rPr>
              <w:t>126,685</w:t>
            </w:r>
          </w:p>
        </w:tc>
        <w:tc>
          <w:tcPr>
            <w:tcW w:w="660" w:type="dxa"/>
            <w:vAlign w:val="bottom"/>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jc w:val="center"/>
              <w:ind w:right="37"/>
              <w:spacing w:after="0" w:line="141" w:lineRule="exact"/>
              <w:rPr>
                <w:sz w:val="20"/>
                <w:szCs w:val="20"/>
                <w:color w:val="auto"/>
              </w:rPr>
            </w:pPr>
            <w:r>
              <w:rPr>
                <w:rFonts w:ascii="Times New Roman" w:cs="Times New Roman" w:eastAsia="Times New Roman" w:hAnsi="Times New Roman"/>
                <w:sz w:val="13"/>
                <w:szCs w:val="13"/>
                <w:color w:val="0000FF"/>
                <w:w w:val="94"/>
              </w:rPr>
              <w:t>Common</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jc w:val="center"/>
              <w:ind w:right="37"/>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640" w:type="dxa"/>
            <w:vAlign w:val="bottom"/>
          </w:tcPr>
          <w:p>
            <w:pPr>
              <w:jc w:val="center"/>
              <w:ind w:right="37"/>
              <w:spacing w:after="0" w:line="141" w:lineRule="exact"/>
              <w:rPr>
                <w:sz w:val="20"/>
                <w:szCs w:val="20"/>
                <w:color w:val="auto"/>
              </w:rPr>
            </w:pPr>
            <w:r>
              <w:rPr>
                <w:rFonts w:ascii="Times New Roman" w:cs="Times New Roman" w:eastAsia="Times New Roman" w:hAnsi="Times New Roman"/>
                <w:sz w:val="13"/>
                <w:szCs w:val="13"/>
                <w:color w:val="0000FF"/>
                <w:w w:val="97"/>
              </w:rPr>
              <w:t>Non-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2,396</w:t>
            </w:r>
          </w:p>
        </w:tc>
        <w:tc>
          <w:tcPr>
            <w:tcW w:w="60" w:type="dxa"/>
            <w:vAlign w:val="bottom"/>
          </w:tcPr>
          <w:p>
            <w:pPr>
              <w:spacing w:after="0"/>
              <w:rPr>
                <w:sz w:val="12"/>
                <w:szCs w:val="12"/>
                <w:color w:val="auto"/>
              </w:rPr>
            </w:pPr>
          </w:p>
        </w:tc>
        <w:tc>
          <w:tcPr>
            <w:tcW w:w="680" w:type="dxa"/>
            <w:vAlign w:val="bottom"/>
            <w:gridSpan w:val="2"/>
            <w:vMerge w:val="restart"/>
          </w:tcPr>
          <w:p>
            <w:pPr>
              <w:jc w:val="center"/>
              <w:ind w:right="41"/>
              <w:spacing w:after="0"/>
              <w:rPr>
                <w:sz w:val="20"/>
                <w:szCs w:val="20"/>
                <w:color w:val="auto"/>
              </w:rPr>
            </w:pPr>
            <w:r>
              <w:rPr>
                <w:rFonts w:ascii="Arial" w:cs="Arial" w:eastAsia="Arial" w:hAnsi="Arial"/>
                <w:sz w:val="11"/>
                <w:szCs w:val="11"/>
                <w:color w:val="auto"/>
                <w:w w:val="92"/>
              </w:rPr>
              <w:t>$</w:t>
            </w:r>
            <w:r>
              <w:rPr>
                <w:rFonts w:ascii="Times New Roman" w:cs="Times New Roman" w:eastAsia="Times New Roman" w:hAnsi="Times New Roman"/>
                <w:sz w:val="12"/>
                <w:szCs w:val="12"/>
                <w:color w:val="0000FF"/>
                <w:w w:val="92"/>
              </w:rPr>
              <w:t>11.77</w:t>
            </w:r>
            <w:r>
              <w:rPr>
                <w:rFonts w:ascii="Times New Roman" w:cs="Times New Roman" w:eastAsia="Times New Roman" w:hAnsi="Times New Roman"/>
                <w:sz w:val="21"/>
                <w:szCs w:val="21"/>
                <w:color w:val="008000"/>
                <w:w w:val="92"/>
                <w:vertAlign w:val="superscript"/>
              </w:rPr>
              <w:t>(3)</w:t>
            </w: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11/12/2024</w:t>
            </w: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ind w:left="2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480" w:type="dxa"/>
            <w:vAlign w:val="bottom"/>
          </w:tcPr>
          <w:p>
            <w:pPr>
              <w:ind w:left="120"/>
              <w:spacing w:after="0" w:line="141" w:lineRule="exact"/>
              <w:rPr>
                <w:sz w:val="20"/>
                <w:szCs w:val="20"/>
                <w:color w:val="auto"/>
              </w:rPr>
            </w:pPr>
            <w:r>
              <w:rPr>
                <w:rFonts w:ascii="Times New Roman" w:cs="Times New Roman" w:eastAsia="Times New Roman" w:hAnsi="Times New Roman"/>
                <w:sz w:val="13"/>
                <w:szCs w:val="13"/>
                <w:color w:val="0000FF"/>
              </w:rPr>
              <w:t>2,396</w:t>
            </w:r>
          </w:p>
        </w:tc>
        <w:tc>
          <w:tcPr>
            <w:tcW w:w="5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40" w:type="dxa"/>
            <w:vAlign w:val="bottom"/>
          </w:tcPr>
          <w:p>
            <w:pPr>
              <w:jc w:val="center"/>
              <w:ind w:right="37"/>
              <w:spacing w:after="0" w:line="141" w:lineRule="exact"/>
              <w:rPr>
                <w:sz w:val="20"/>
                <w:szCs w:val="20"/>
                <w:color w:val="auto"/>
              </w:rPr>
            </w:pPr>
            <w:r>
              <w:rPr>
                <w:rFonts w:ascii="Times New Roman" w:cs="Times New Roman" w:eastAsia="Times New Roman" w:hAnsi="Times New Roman"/>
                <w:sz w:val="13"/>
                <w:szCs w:val="13"/>
                <w:color w:val="0000FF"/>
                <w:w w:val="94"/>
              </w:rPr>
              <w:t>Voting</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860" w:type="dxa"/>
            <w:vAlign w:val="bottom"/>
            <w:gridSpan w:val="2"/>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9"/>
              </w:rPr>
              <w:t>129,081</w:t>
            </w:r>
          </w:p>
        </w:tc>
        <w:tc>
          <w:tcPr>
            <w:tcW w:w="660" w:type="dxa"/>
            <w:vAlign w:val="bottom"/>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jc w:val="center"/>
              <w:ind w:right="37"/>
              <w:spacing w:after="0" w:line="141" w:lineRule="exact"/>
              <w:rPr>
                <w:sz w:val="20"/>
                <w:szCs w:val="20"/>
                <w:color w:val="auto"/>
              </w:rPr>
            </w:pPr>
            <w:r>
              <w:rPr>
                <w:rFonts w:ascii="Times New Roman" w:cs="Times New Roman" w:eastAsia="Times New Roman" w:hAnsi="Times New Roman"/>
                <w:sz w:val="13"/>
                <w:szCs w:val="13"/>
                <w:color w:val="0000FF"/>
                <w:w w:val="94"/>
              </w:rPr>
              <w:t>Common</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jc w:val="center"/>
              <w:ind w:right="37"/>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640" w:type="dxa"/>
            <w:vAlign w:val="bottom"/>
          </w:tcPr>
          <w:p>
            <w:pPr>
              <w:jc w:val="center"/>
              <w:ind w:right="37"/>
              <w:spacing w:after="0" w:line="141" w:lineRule="exact"/>
              <w:rPr>
                <w:sz w:val="20"/>
                <w:szCs w:val="20"/>
                <w:color w:val="auto"/>
              </w:rPr>
            </w:pPr>
            <w:r>
              <w:rPr>
                <w:rFonts w:ascii="Times New Roman" w:cs="Times New Roman" w:eastAsia="Times New Roman" w:hAnsi="Times New Roman"/>
                <w:sz w:val="13"/>
                <w:szCs w:val="13"/>
                <w:color w:val="0000FF"/>
                <w:w w:val="97"/>
              </w:rPr>
              <w:t>Non-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2,239</w:t>
            </w:r>
          </w:p>
        </w:tc>
        <w:tc>
          <w:tcPr>
            <w:tcW w:w="60" w:type="dxa"/>
            <w:vAlign w:val="bottom"/>
          </w:tcPr>
          <w:p>
            <w:pPr>
              <w:spacing w:after="0"/>
              <w:rPr>
                <w:sz w:val="12"/>
                <w:szCs w:val="12"/>
                <w:color w:val="auto"/>
              </w:rPr>
            </w:pPr>
          </w:p>
        </w:tc>
        <w:tc>
          <w:tcPr>
            <w:tcW w:w="680" w:type="dxa"/>
            <w:vAlign w:val="bottom"/>
            <w:gridSpan w:val="2"/>
            <w:vMerge w:val="restart"/>
          </w:tcPr>
          <w:p>
            <w:pPr>
              <w:jc w:val="center"/>
              <w:ind w:right="41"/>
              <w:spacing w:after="0"/>
              <w:rPr>
                <w:sz w:val="20"/>
                <w:szCs w:val="20"/>
                <w:color w:val="auto"/>
              </w:rPr>
            </w:pPr>
            <w:r>
              <w:rPr>
                <w:rFonts w:ascii="Arial" w:cs="Arial" w:eastAsia="Arial" w:hAnsi="Arial"/>
                <w:sz w:val="11"/>
                <w:szCs w:val="11"/>
                <w:color w:val="auto"/>
                <w:w w:val="92"/>
              </w:rPr>
              <w:t>$</w:t>
            </w:r>
            <w:r>
              <w:rPr>
                <w:rFonts w:ascii="Times New Roman" w:cs="Times New Roman" w:eastAsia="Times New Roman" w:hAnsi="Times New Roman"/>
                <w:sz w:val="12"/>
                <w:szCs w:val="12"/>
                <w:color w:val="0000FF"/>
                <w:w w:val="92"/>
              </w:rPr>
              <w:t>11.77</w:t>
            </w:r>
            <w:r>
              <w:rPr>
                <w:rFonts w:ascii="Times New Roman" w:cs="Times New Roman" w:eastAsia="Times New Roman" w:hAnsi="Times New Roman"/>
                <w:sz w:val="21"/>
                <w:szCs w:val="21"/>
                <w:color w:val="008000"/>
                <w:w w:val="92"/>
                <w:vertAlign w:val="superscript"/>
              </w:rPr>
              <w:t>(3)</w:t>
            </w: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11/12/2024</w:t>
            </w: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ind w:left="2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480" w:type="dxa"/>
            <w:vAlign w:val="bottom"/>
          </w:tcPr>
          <w:p>
            <w:pPr>
              <w:ind w:left="120"/>
              <w:spacing w:after="0" w:line="141" w:lineRule="exact"/>
              <w:rPr>
                <w:sz w:val="20"/>
                <w:szCs w:val="20"/>
                <w:color w:val="auto"/>
              </w:rPr>
            </w:pPr>
            <w:r>
              <w:rPr>
                <w:rFonts w:ascii="Times New Roman" w:cs="Times New Roman" w:eastAsia="Times New Roman" w:hAnsi="Times New Roman"/>
                <w:sz w:val="13"/>
                <w:szCs w:val="13"/>
                <w:color w:val="0000FF"/>
              </w:rPr>
              <w:t>2,239</w:t>
            </w:r>
          </w:p>
        </w:tc>
        <w:tc>
          <w:tcPr>
            <w:tcW w:w="5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40" w:type="dxa"/>
            <w:vAlign w:val="bottom"/>
          </w:tcPr>
          <w:p>
            <w:pPr>
              <w:jc w:val="center"/>
              <w:ind w:right="37"/>
              <w:spacing w:after="0" w:line="141" w:lineRule="exact"/>
              <w:rPr>
                <w:sz w:val="20"/>
                <w:szCs w:val="20"/>
                <w:color w:val="auto"/>
              </w:rPr>
            </w:pPr>
            <w:r>
              <w:rPr>
                <w:rFonts w:ascii="Times New Roman" w:cs="Times New Roman" w:eastAsia="Times New Roman" w:hAnsi="Times New Roman"/>
                <w:sz w:val="13"/>
                <w:szCs w:val="13"/>
                <w:color w:val="0000FF"/>
                <w:w w:val="94"/>
              </w:rPr>
              <w:t>Voting</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860" w:type="dxa"/>
            <w:vAlign w:val="bottom"/>
            <w:gridSpan w:val="2"/>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9"/>
              </w:rPr>
              <w:t>131,320</w:t>
            </w:r>
          </w:p>
        </w:tc>
        <w:tc>
          <w:tcPr>
            <w:tcW w:w="660" w:type="dxa"/>
            <w:vAlign w:val="bottom"/>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jc w:val="center"/>
              <w:ind w:right="37"/>
              <w:spacing w:after="0" w:line="141" w:lineRule="exact"/>
              <w:rPr>
                <w:sz w:val="20"/>
                <w:szCs w:val="20"/>
                <w:color w:val="auto"/>
              </w:rPr>
            </w:pPr>
            <w:r>
              <w:rPr>
                <w:rFonts w:ascii="Times New Roman" w:cs="Times New Roman" w:eastAsia="Times New Roman" w:hAnsi="Times New Roman"/>
                <w:sz w:val="13"/>
                <w:szCs w:val="13"/>
                <w:color w:val="0000FF"/>
                <w:w w:val="94"/>
              </w:rPr>
              <w:t>Common</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jc w:val="center"/>
              <w:ind w:right="37"/>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(6)</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640" w:type="dxa"/>
            <w:vAlign w:val="bottom"/>
          </w:tcPr>
          <w:p>
            <w:pPr>
              <w:jc w:val="center"/>
              <w:ind w:right="37"/>
              <w:spacing w:after="0" w:line="141" w:lineRule="exact"/>
              <w:rPr>
                <w:sz w:val="20"/>
                <w:szCs w:val="20"/>
                <w:color w:val="auto"/>
              </w:rPr>
            </w:pPr>
            <w:r>
              <w:rPr>
                <w:rFonts w:ascii="Times New Roman" w:cs="Times New Roman" w:eastAsia="Times New Roman" w:hAnsi="Times New Roman"/>
                <w:sz w:val="13"/>
                <w:szCs w:val="13"/>
                <w:color w:val="0000FF"/>
                <w:w w:val="97"/>
              </w:rPr>
              <w:t>Non-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53,014</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11/12/2024</w:t>
            </w: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480" w:type="dxa"/>
            <w:vAlign w:val="bottom"/>
          </w:tcPr>
          <w:p>
            <w:pPr>
              <w:spacing w:after="0"/>
              <w:rPr>
                <w:sz w:val="12"/>
                <w:szCs w:val="12"/>
                <w:color w:val="auto"/>
              </w:rPr>
            </w:pPr>
          </w:p>
        </w:tc>
        <w:tc>
          <w:tcPr>
            <w:tcW w:w="52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53,014</w:t>
            </w:r>
          </w:p>
        </w:tc>
        <w:tc>
          <w:tcPr>
            <w:tcW w:w="78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40" w:type="dxa"/>
            <w:vAlign w:val="bottom"/>
          </w:tcPr>
          <w:p>
            <w:pPr>
              <w:jc w:val="center"/>
              <w:ind w:right="37"/>
              <w:spacing w:after="0" w:line="141" w:lineRule="exact"/>
              <w:rPr>
                <w:sz w:val="20"/>
                <w:szCs w:val="20"/>
                <w:color w:val="auto"/>
              </w:rPr>
            </w:pPr>
            <w:r>
              <w:rPr>
                <w:rFonts w:ascii="Times New Roman" w:cs="Times New Roman" w:eastAsia="Times New Roman" w:hAnsi="Times New Roman"/>
                <w:sz w:val="13"/>
                <w:szCs w:val="13"/>
                <w:color w:val="0000FF"/>
                <w:w w:val="94"/>
              </w:rPr>
              <w:t>Voting</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center"/>
              <w:ind w:right="41"/>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11.77</w:t>
            </w:r>
          </w:p>
        </w:tc>
        <w:tc>
          <w:tcPr>
            <w:tcW w:w="600" w:type="dxa"/>
            <w:vAlign w:val="bottom"/>
          </w:tcPr>
          <w:p>
            <w:pPr>
              <w:jc w:val="center"/>
              <w:ind w:left="161"/>
              <w:spacing w:after="0" w:line="141" w:lineRule="exact"/>
              <w:rPr>
                <w:sz w:val="20"/>
                <w:szCs w:val="20"/>
                <w:color w:val="auto"/>
              </w:rPr>
            </w:pPr>
            <w:r>
              <w:rPr>
                <w:rFonts w:ascii="Times New Roman" w:cs="Times New Roman" w:eastAsia="Times New Roman" w:hAnsi="Times New Roman"/>
                <w:sz w:val="13"/>
                <w:szCs w:val="13"/>
                <w:color w:val="0000FF"/>
                <w:w w:val="94"/>
              </w:rPr>
              <w:t>78,306</w:t>
            </w:r>
          </w:p>
        </w:tc>
        <w:tc>
          <w:tcPr>
            <w:tcW w:w="260" w:type="dxa"/>
            <w:vAlign w:val="bottom"/>
          </w:tcPr>
          <w:p>
            <w:pPr>
              <w:spacing w:after="0"/>
              <w:rPr>
                <w:sz w:val="12"/>
                <w:szCs w:val="12"/>
                <w:color w:val="auto"/>
              </w:rPr>
            </w:pPr>
          </w:p>
        </w:tc>
        <w:tc>
          <w:tcPr>
            <w:tcW w:w="660" w:type="dxa"/>
            <w:vAlign w:val="bottom"/>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jc w:val="center"/>
              <w:ind w:right="37"/>
              <w:spacing w:after="0" w:line="141" w:lineRule="exact"/>
              <w:rPr>
                <w:sz w:val="20"/>
                <w:szCs w:val="20"/>
                <w:color w:val="auto"/>
              </w:rPr>
            </w:pPr>
            <w:r>
              <w:rPr>
                <w:rFonts w:ascii="Times New Roman" w:cs="Times New Roman" w:eastAsia="Times New Roman" w:hAnsi="Times New Roman"/>
                <w:sz w:val="13"/>
                <w:szCs w:val="13"/>
                <w:color w:val="0000FF"/>
                <w:w w:val="94"/>
              </w:rPr>
              <w:t>Common</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jc w:val="center"/>
              <w:ind w:right="37"/>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-3585845</wp:posOffset>
            </wp:positionV>
            <wp:extent cx="29210" cy="35915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359156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unit represents a contingent right to receive one share of EZCORP Class A Non-Voting Common Stock at the time of vesting.</w:t>
      </w:r>
    </w:p>
    <w:p>
      <w:pPr>
        <w:spacing w:after="0" w:line="41" w:lineRule="exact"/>
        <w:rPr>
          <w:rFonts w:ascii="Times New Roman" w:cs="Times New Roman" w:eastAsia="Times New Roman" w:hAnsi="Times New Roman"/>
          <w:sz w:val="13"/>
          <w:szCs w:val="13"/>
          <w:color w:val="008000"/>
        </w:rPr>
      </w:pPr>
    </w:p>
    <w:p>
      <w:pPr>
        <w:ind w:left="40" w:right="220"/>
        <w:spacing w:after="0" w:line="251"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 "bonus" units attributable to the fiscal 2022 Restricted Stock Unit award. These units were earned with achievement of the specified performance goal for fiscal 2024 and vest on September 30, 2024, subject to continued employment.</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Closing market value on November 12, 2024. However, no consideration was paid for the award other than services rendered and to be rendered by the Reporting Person.</w:t>
      </w:r>
    </w:p>
    <w:p>
      <w:pPr>
        <w:spacing w:after="0" w:line="41" w:lineRule="exact"/>
        <w:rPr>
          <w:rFonts w:ascii="Times New Roman" w:cs="Times New Roman" w:eastAsia="Times New Roman" w:hAnsi="Times New Roman"/>
          <w:sz w:val="13"/>
          <w:szCs w:val="13"/>
          <w:color w:val="008000"/>
        </w:rPr>
      </w:pPr>
    </w:p>
    <w:p>
      <w:pPr>
        <w:ind w:left="40" w:right="220"/>
        <w:spacing w:after="0" w:line="251"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 "bonus" units attributable to the fiscal 2023 Restricted Stock Unit award. These units were earned with achievement of the specified performance goal for fiscal 2024 and vest on September 30, 2025, subject to continued employment.</w:t>
      </w:r>
    </w:p>
    <w:p>
      <w:pPr>
        <w:spacing w:after="0" w:line="19" w:lineRule="exact"/>
        <w:rPr>
          <w:rFonts w:ascii="Times New Roman" w:cs="Times New Roman" w:eastAsia="Times New Roman" w:hAnsi="Times New Roman"/>
          <w:sz w:val="13"/>
          <w:szCs w:val="13"/>
          <w:color w:val="008000"/>
        </w:rPr>
      </w:pPr>
    </w:p>
    <w:p>
      <w:pPr>
        <w:ind w:left="40" w:right="220"/>
        <w:spacing w:after="0" w:line="251"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 "bonus" units attributable to the fiscal 2024 Restricted Stock Unit award. These units were earned with achievement of the specified performance goal for fiscal 2024 and vest on September 30, 2026, subject to continued employment.</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units vested on November 12, 2024 after specified performance goals were achieved.</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18" w:lineRule="auto"/>
        <w:rPr>
          <w:sz w:val="20"/>
          <w:szCs w:val="20"/>
          <w:color w:val="auto"/>
        </w:rPr>
      </w:pPr>
      <w:r>
        <w:rPr>
          <w:rFonts w:ascii="Times New Roman" w:cs="Times New Roman" w:eastAsia="Times New Roman" w:hAnsi="Times New Roman"/>
          <w:sz w:val="17"/>
          <w:szCs w:val="17"/>
          <w:color w:val="0000FF"/>
        </w:rPr>
        <w:t xml:space="preserve">/s/ Carrie Putnam, Attorney-in-  </w:t>
      </w:r>
      <w:r>
        <w:rPr>
          <w:rFonts w:ascii="Times New Roman" w:cs="Times New Roman" w:eastAsia="Times New Roman" w:hAnsi="Times New Roman"/>
          <w:sz w:val="33"/>
          <w:szCs w:val="33"/>
          <w:color w:val="0000FF"/>
          <w:vertAlign w:val="subscript"/>
        </w:rPr>
        <w:t>11/14/2024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-26035</wp:posOffset>
            </wp:positionV>
            <wp:extent cx="13163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635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-21590</wp:posOffset>
            </wp:positionV>
            <wp:extent cx="1816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161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-86360</wp:posOffset>
            </wp:positionV>
            <wp:extent cx="4762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6250" cy="8255"/>
                    </a:xfrm>
                    <a:prstGeom prst="rect">
                      <a:avLst/>
                    </a:prstGeom>
                    <a:noFill/>
                  </pic:spPr>
                </pic:pic>
              </a:graphicData>
            </a:graphic>
          </wp:anchor>
        </w:drawing>
      </w:r>
    </w:p>
    <w:p>
      <w:pPr>
        <w:spacing w:after="0" w:line="2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p>
      <w:pPr>
        <w:sectPr>
          <w:pgSz w:w="11900" w:h="16915" w:orient="portrait"/>
          <w:cols w:equalWidth="0" w:num="1">
            <w:col w:w="11080"/>
          </w:cols>
          <w:pgMar w:left="460" w:top="216"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7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69629" TargetMode="External"/><Relationship Id="rId14" Type="http://schemas.openxmlformats.org/officeDocument/2006/relationships/hyperlink" Target="http://www.sec.gov/cgi-bin/browse-edgar?action=getcompany&amp;CIK=00008765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2024-11-14T18:58:59Z</dcterms:created>
  <dcterms:modified xsi:type="dcterms:W3CDTF">2024-11-14T18:58:59Z</dcterms:modified>
</cp:coreProperties>
</file>