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November 30, 2018</w:t>
      </w:r>
    </w:p>
    <w:p>
      <w:pPr>
        <w:spacing w:after="0" w:line="121"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255270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169545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EZCORP, INC.</w:t>
      </w: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179" w:lineRule="exact"/>
        <w:rPr>
          <w:sz w:val="24"/>
          <w:szCs w:val="24"/>
          <w:color w:val="auto"/>
        </w:rPr>
      </w:pPr>
    </w:p>
    <w:tbl>
      <w:tblPr>
        <w:tblLayout w:type="fixed"/>
        <w:tblInd w:w="320" w:type="dxa"/>
        <w:tblCellMar>
          <w:top w:w="0" w:type="dxa"/>
          <w:left w:w="0" w:type="dxa"/>
          <w:bottom w:w="0" w:type="dxa"/>
          <w:right w:w="0" w:type="dxa"/>
        </w:tblCellMar>
      </w:tblPr>
      <w:tr>
        <w:trPr>
          <w:trHeight w:val="234"/>
        </w:trPr>
        <w:tc>
          <w:tcPr>
            <w:tcW w:w="6060" w:type="dxa"/>
            <w:vAlign w:val="bottom"/>
          </w:tcPr>
          <w:p>
            <w:pPr>
              <w:jc w:val="center"/>
              <w:ind w:right="1199"/>
              <w:spacing w:after="0"/>
              <w:rPr>
                <w:sz w:val="20"/>
                <w:szCs w:val="20"/>
                <w:color w:val="auto"/>
              </w:rPr>
            </w:pPr>
            <w:r>
              <w:rPr>
                <w:rFonts w:ascii="Arial" w:cs="Arial" w:eastAsia="Arial" w:hAnsi="Arial"/>
                <w:sz w:val="18"/>
                <w:szCs w:val="18"/>
                <w:b w:val="1"/>
                <w:bCs w:val="1"/>
                <w:color w:val="auto"/>
                <w:w w:val="93"/>
              </w:rPr>
              <w:t>Delaware</w:t>
            </w:r>
          </w:p>
        </w:tc>
        <w:tc>
          <w:tcPr>
            <w:tcW w:w="3320" w:type="dxa"/>
            <w:vAlign w:val="bottom"/>
          </w:tcPr>
          <w:p>
            <w:pPr>
              <w:jc w:val="right"/>
              <w:ind w:right="519"/>
              <w:spacing w:after="0"/>
              <w:rPr>
                <w:sz w:val="20"/>
                <w:szCs w:val="20"/>
                <w:color w:val="auto"/>
              </w:rPr>
            </w:pPr>
            <w:r>
              <w:rPr>
                <w:rFonts w:ascii="Arial" w:cs="Arial" w:eastAsia="Arial" w:hAnsi="Arial"/>
                <w:sz w:val="18"/>
                <w:szCs w:val="18"/>
                <w:b w:val="1"/>
                <w:bCs w:val="1"/>
                <w:color w:val="auto"/>
              </w:rPr>
              <w:t>74-2540145</w:t>
            </w:r>
          </w:p>
        </w:tc>
      </w:tr>
      <w:tr>
        <w:trPr>
          <w:trHeight w:val="218"/>
        </w:trPr>
        <w:tc>
          <w:tcPr>
            <w:tcW w:w="6060" w:type="dxa"/>
            <w:vAlign w:val="bottom"/>
          </w:tcPr>
          <w:p>
            <w:pPr>
              <w:jc w:val="center"/>
              <w:ind w:right="1199"/>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3320" w:type="dxa"/>
            <w:vAlign w:val="bottom"/>
          </w:tcPr>
          <w:p>
            <w:pPr>
              <w:jc w:val="center"/>
              <w:ind w:left="1179"/>
              <w:spacing w:after="0"/>
              <w:rPr>
                <w:sz w:val="20"/>
                <w:szCs w:val="20"/>
                <w:color w:val="auto"/>
              </w:rPr>
            </w:pPr>
            <w:r>
              <w:rPr>
                <w:rFonts w:ascii="Arial" w:cs="Arial" w:eastAsia="Arial" w:hAnsi="Arial"/>
                <w:sz w:val="14"/>
                <w:szCs w:val="14"/>
                <w:color w:val="auto"/>
                <w:w w:val="96"/>
              </w:rPr>
              <w:t>(I.R.S. Employer identification no.)</w:t>
            </w:r>
          </w:p>
        </w:tc>
      </w:tr>
      <w:tr>
        <w:trPr>
          <w:trHeight w:val="390"/>
        </w:trPr>
        <w:tc>
          <w:tcPr>
            <w:tcW w:w="6060" w:type="dxa"/>
            <w:vAlign w:val="bottom"/>
          </w:tcPr>
          <w:p>
            <w:pPr>
              <w:jc w:val="center"/>
              <w:ind w:right="1199"/>
              <w:spacing w:after="0"/>
              <w:rPr>
                <w:sz w:val="20"/>
                <w:szCs w:val="20"/>
                <w:color w:val="auto"/>
              </w:rPr>
            </w:pPr>
            <w:r>
              <w:rPr>
                <w:rFonts w:ascii="Arial" w:cs="Arial" w:eastAsia="Arial" w:hAnsi="Arial"/>
                <w:sz w:val="18"/>
                <w:szCs w:val="18"/>
                <w:b w:val="1"/>
                <w:bCs w:val="1"/>
                <w:color w:val="auto"/>
                <w:w w:val="89"/>
              </w:rPr>
              <w:t>2500 Bee Cave Road, Bidg One, Suite 200, Rollingwood, Texas</w:t>
            </w:r>
          </w:p>
        </w:tc>
        <w:tc>
          <w:tcPr>
            <w:tcW w:w="3320" w:type="dxa"/>
            <w:vAlign w:val="bottom"/>
          </w:tcPr>
          <w:p>
            <w:pPr>
              <w:jc w:val="right"/>
              <w:ind w:right="719"/>
              <w:spacing w:after="0"/>
              <w:rPr>
                <w:sz w:val="20"/>
                <w:szCs w:val="20"/>
                <w:color w:val="auto"/>
              </w:rPr>
            </w:pPr>
            <w:r>
              <w:rPr>
                <w:rFonts w:ascii="Arial" w:cs="Arial" w:eastAsia="Arial" w:hAnsi="Arial"/>
                <w:sz w:val="18"/>
                <w:szCs w:val="18"/>
                <w:b w:val="1"/>
                <w:bCs w:val="1"/>
                <w:color w:val="auto"/>
              </w:rPr>
              <w:t>78746</w:t>
            </w:r>
          </w:p>
        </w:tc>
      </w:tr>
      <w:tr>
        <w:trPr>
          <w:trHeight w:val="218"/>
        </w:trPr>
        <w:tc>
          <w:tcPr>
            <w:tcW w:w="6060" w:type="dxa"/>
            <w:vAlign w:val="bottom"/>
          </w:tcPr>
          <w:p>
            <w:pPr>
              <w:jc w:val="center"/>
              <w:ind w:right="1199"/>
              <w:spacing w:after="0"/>
              <w:rPr>
                <w:sz w:val="20"/>
                <w:szCs w:val="20"/>
                <w:color w:val="auto"/>
              </w:rPr>
            </w:pPr>
            <w:r>
              <w:rPr>
                <w:rFonts w:ascii="Arial" w:cs="Arial" w:eastAsia="Arial" w:hAnsi="Arial"/>
                <w:sz w:val="14"/>
                <w:szCs w:val="14"/>
                <w:color w:val="auto"/>
                <w:w w:val="95"/>
              </w:rPr>
              <w:t>(Address of principal executive offices)</w:t>
            </w:r>
          </w:p>
        </w:tc>
        <w:tc>
          <w:tcPr>
            <w:tcW w:w="3320" w:type="dxa"/>
            <w:vAlign w:val="bottom"/>
          </w:tcPr>
          <w:p>
            <w:pPr>
              <w:jc w:val="center"/>
              <w:ind w:left="1179"/>
              <w:spacing w:after="0"/>
              <w:rPr>
                <w:sz w:val="20"/>
                <w:szCs w:val="20"/>
                <w:color w:val="auto"/>
              </w:rPr>
            </w:pPr>
            <w:r>
              <w:rPr>
                <w:rFonts w:ascii="Arial" w:cs="Arial" w:eastAsia="Arial" w:hAnsi="Arial"/>
                <w:sz w:val="14"/>
                <w:szCs w:val="14"/>
                <w:color w:val="auto"/>
                <w:w w:val="98"/>
              </w:rPr>
              <w:t>(Zip code)</w:t>
            </w:r>
          </w:p>
        </w:tc>
      </w:tr>
    </w:tbl>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EZCORP, INC. 2010 LONG-TERM INCENTIVE PLAN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(Full title of the plan)</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Thomas H. Welch, Jr.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2500 Bee Cave Road, Building One, Suite 200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Rollingwood, Texas 78746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and address of agent for service)</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(512) 314-3400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229" w:lineRule="exact"/>
        <w:rPr>
          <w:sz w:val="24"/>
          <w:szCs w:val="24"/>
          <w:color w:val="auto"/>
        </w:rPr>
      </w:pPr>
    </w:p>
    <w:p>
      <w:pPr>
        <w:ind w:right="120"/>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88"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80" w:type="dxa"/>
            <w:vAlign w:val="bottom"/>
          </w:tcPr>
          <w:p>
            <w:pPr>
              <w:ind w:left="280"/>
              <w:spacing w:after="0"/>
              <w:rPr>
                <w:sz w:val="20"/>
                <w:szCs w:val="20"/>
                <w:color w:val="auto"/>
              </w:rPr>
            </w:pPr>
            <w:r>
              <w:rPr>
                <w:rFonts w:ascii="Arial" w:cs="Arial" w:eastAsia="Arial" w:hAnsi="Arial"/>
                <w:sz w:val="14"/>
                <w:szCs w:val="14"/>
                <w:color w:val="auto"/>
              </w:rPr>
              <w:t>o</w:t>
            </w:r>
          </w:p>
        </w:tc>
        <w:tc>
          <w:tcPr>
            <w:tcW w:w="4500" w:type="dxa"/>
            <w:vAlign w:val="bottom"/>
          </w:tcPr>
          <w:p>
            <w:pPr>
              <w:spacing w:after="0"/>
              <w:rPr>
                <w:sz w:val="19"/>
                <w:szCs w:val="19"/>
                <w:color w:val="auto"/>
              </w:rPr>
            </w:pPr>
          </w:p>
        </w:tc>
        <w:tc>
          <w:tcPr>
            <w:tcW w:w="3900" w:type="dxa"/>
            <w:vAlign w:val="bottom"/>
          </w:tcPr>
          <w:p>
            <w:pPr>
              <w:ind w:left="168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8"/>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480" w:type="dxa"/>
            <w:vAlign w:val="bottom"/>
          </w:tcPr>
          <w:p>
            <w:pPr>
              <w:ind w:left="280"/>
              <w:spacing w:after="0"/>
              <w:rPr>
                <w:sz w:val="20"/>
                <w:szCs w:val="20"/>
                <w:color w:val="auto"/>
              </w:rPr>
            </w:pPr>
            <w:r>
              <w:rPr>
                <w:rFonts w:ascii="Arial" w:cs="Arial" w:eastAsia="Arial" w:hAnsi="Arial"/>
                <w:sz w:val="14"/>
                <w:szCs w:val="14"/>
                <w:color w:val="auto"/>
              </w:rPr>
              <w:t>o</w:t>
            </w:r>
          </w:p>
        </w:tc>
        <w:tc>
          <w:tcPr>
            <w:tcW w:w="4500" w:type="dxa"/>
            <w:vAlign w:val="bottom"/>
          </w:tcPr>
          <w:p>
            <w:pPr>
              <w:ind w:left="140"/>
              <w:spacing w:after="0"/>
              <w:rPr>
                <w:sz w:val="20"/>
                <w:szCs w:val="20"/>
                <w:color w:val="auto"/>
              </w:rPr>
            </w:pPr>
            <w:r>
              <w:rPr>
                <w:rFonts w:ascii="Arial" w:cs="Arial" w:eastAsia="Arial" w:hAnsi="Arial"/>
                <w:sz w:val="14"/>
                <w:szCs w:val="14"/>
                <w:color w:val="auto"/>
              </w:rPr>
              <w:t>(Do not check if a smaller reporting company)</w:t>
            </w:r>
          </w:p>
        </w:tc>
        <w:tc>
          <w:tcPr>
            <w:tcW w:w="3900" w:type="dxa"/>
            <w:vAlign w:val="bottom"/>
          </w:tcPr>
          <w:p>
            <w:pPr>
              <w:ind w:left="168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20"/>
              <w:spacing w:after="0"/>
              <w:rPr>
                <w:sz w:val="20"/>
                <w:szCs w:val="20"/>
                <w:color w:val="auto"/>
              </w:rPr>
            </w:pPr>
            <w:r>
              <w:rPr>
                <w:rFonts w:ascii="Arial" w:cs="Arial" w:eastAsia="Arial" w:hAnsi="Arial"/>
                <w:sz w:val="14"/>
                <w:szCs w:val="14"/>
                <w:color w:val="auto"/>
              </w:rPr>
              <w:t>o</w:t>
            </w:r>
          </w:p>
        </w:tc>
      </w:tr>
      <w:tr>
        <w:trPr>
          <w:trHeight w:val="270"/>
        </w:trPr>
        <w:tc>
          <w:tcPr>
            <w:tcW w:w="1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3900" w:type="dxa"/>
            <w:vAlign w:val="bottom"/>
          </w:tcPr>
          <w:p>
            <w:pPr>
              <w:ind w:left="168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20"/>
              <w:spacing w:after="0"/>
              <w:rPr>
                <w:sz w:val="20"/>
                <w:szCs w:val="20"/>
                <w:color w:val="auto"/>
              </w:rPr>
            </w:pPr>
            <w:r>
              <w:rPr>
                <w:rFonts w:ascii="Arial" w:cs="Arial" w:eastAsia="Arial" w:hAnsi="Arial"/>
                <w:sz w:val="14"/>
                <w:szCs w:val="14"/>
                <w:color w:val="auto"/>
              </w:rPr>
              <w:t>o</w:t>
            </w:r>
          </w:p>
        </w:tc>
      </w:tr>
    </w:tbl>
    <w:p>
      <w:pPr>
        <w:spacing w:after="0" w:line="263" w:lineRule="exact"/>
        <w:rPr>
          <w:sz w:val="24"/>
          <w:szCs w:val="24"/>
          <w:color w:val="auto"/>
        </w:rPr>
      </w:pPr>
    </w:p>
    <w:p>
      <w:pPr>
        <w:jc w:val="both"/>
        <w:ind w:right="1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54875" cy="702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702945"/>
                    </a:xfrm>
                    <a:prstGeom prst="rect">
                      <a:avLst/>
                    </a:prstGeom>
                    <a:noFill/>
                  </pic:spPr>
                </pic:pic>
              </a:graphicData>
            </a:graphic>
          </wp:anchor>
        </w:drawing>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jc w:val="center"/>
              <w:ind w:left="362"/>
              <w:spacing w:after="0"/>
              <w:rPr>
                <w:sz w:val="20"/>
                <w:szCs w:val="20"/>
                <w:color w:val="auto"/>
              </w:rPr>
            </w:pPr>
            <w:r>
              <w:rPr>
                <w:rFonts w:ascii="Arial" w:cs="Arial" w:eastAsia="Arial" w:hAnsi="Arial"/>
                <w:sz w:val="14"/>
                <w:szCs w:val="14"/>
                <w:b w:val="1"/>
                <w:bCs w:val="1"/>
                <w:color w:val="auto"/>
                <w:w w:val="91"/>
              </w:rPr>
              <w:t>Title of securities to be registered</w:t>
            </w:r>
          </w:p>
        </w:tc>
        <w:tc>
          <w:tcPr>
            <w:tcW w:w="2240" w:type="dxa"/>
            <w:vAlign w:val="bottom"/>
            <w:vMerge w:val="restart"/>
          </w:tcPr>
          <w:p>
            <w:pPr>
              <w:jc w:val="center"/>
              <w:ind w:left="383"/>
              <w:spacing w:after="0"/>
              <w:rPr>
                <w:sz w:val="20"/>
                <w:szCs w:val="20"/>
                <w:color w:val="auto"/>
              </w:rPr>
            </w:pPr>
            <w:r>
              <w:rPr>
                <w:rFonts w:ascii="Arial" w:cs="Arial" w:eastAsia="Arial" w:hAnsi="Arial"/>
                <w:sz w:val="14"/>
                <w:szCs w:val="14"/>
                <w:b w:val="1"/>
                <w:bCs w:val="1"/>
                <w:color w:val="auto"/>
                <w:w w:val="92"/>
              </w:rPr>
              <w:t>Amount to be registered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Proposed maximum</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Proposed maximum</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Amount of registration fee</w:t>
            </w:r>
          </w:p>
        </w:tc>
        <w:tc>
          <w:tcPr>
            <w:tcW w:w="0" w:type="dxa"/>
            <w:vAlign w:val="bottom"/>
          </w:tcPr>
          <w:p>
            <w:pPr>
              <w:spacing w:after="0"/>
              <w:rPr>
                <w:sz w:val="1"/>
                <w:szCs w:val="1"/>
                <w:color w:val="auto"/>
              </w:rPr>
            </w:pPr>
          </w:p>
        </w:tc>
      </w:tr>
      <w:tr>
        <w:trPr>
          <w:trHeight w:val="149"/>
        </w:trPr>
        <w:tc>
          <w:tcPr>
            <w:tcW w:w="404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 per share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aggregate offering price</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06"/>
              <w:spacing w:after="0"/>
              <w:rPr>
                <w:sz w:val="20"/>
                <w:szCs w:val="20"/>
                <w:color w:val="auto"/>
              </w:rPr>
            </w:pPr>
            <w:r>
              <w:rPr>
                <w:rFonts w:ascii="Arial" w:cs="Arial" w:eastAsia="Arial" w:hAnsi="Arial"/>
                <w:sz w:val="14"/>
                <w:szCs w:val="14"/>
                <w:b w:val="1"/>
                <w:bCs w:val="1"/>
                <w:color w:val="auto"/>
              </w:rPr>
              <w:t>(1)</w:t>
            </w:r>
          </w:p>
        </w:tc>
        <w:tc>
          <w:tcPr>
            <w:tcW w:w="1660" w:type="dxa"/>
            <w:vAlign w:val="bottom"/>
            <w:tcBorders>
              <w:bottom w:val="single" w:sz="8" w:color="auto"/>
            </w:tcBorders>
          </w:tcPr>
          <w:p>
            <w:pPr>
              <w:jc w:val="right"/>
              <w:ind w:right="646"/>
              <w:spacing w:after="0"/>
              <w:rPr>
                <w:sz w:val="20"/>
                <w:szCs w:val="20"/>
                <w:color w:val="auto"/>
              </w:rPr>
            </w:pPr>
            <w:r>
              <w:rPr>
                <w:rFonts w:ascii="Arial" w:cs="Arial" w:eastAsia="Arial" w:hAnsi="Arial"/>
                <w:sz w:val="14"/>
                <w:szCs w:val="14"/>
                <w:b w:val="1"/>
                <w:bCs w:val="1"/>
                <w:color w:val="auto"/>
              </w:rPr>
              <w:t>(1)</w:t>
            </w: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40" w:type="dxa"/>
            <w:vAlign w:val="bottom"/>
          </w:tcPr>
          <w:p>
            <w:pPr>
              <w:jc w:val="center"/>
              <w:ind w:left="362"/>
              <w:spacing w:after="0"/>
              <w:rPr>
                <w:sz w:val="20"/>
                <w:szCs w:val="20"/>
                <w:color w:val="auto"/>
              </w:rPr>
            </w:pPr>
            <w:r>
              <w:rPr>
                <w:rFonts w:ascii="Arial" w:cs="Arial" w:eastAsia="Arial" w:hAnsi="Arial"/>
                <w:sz w:val="16"/>
                <w:szCs w:val="16"/>
                <w:color w:val="auto"/>
                <w:w w:val="93"/>
              </w:rPr>
              <w:t>Class A Non-Voting Common Stock,</w:t>
            </w:r>
          </w:p>
        </w:tc>
        <w:tc>
          <w:tcPr>
            <w:tcW w:w="2240" w:type="dxa"/>
            <w:vAlign w:val="bottom"/>
            <w:vMerge w:val="restart"/>
          </w:tcPr>
          <w:p>
            <w:pPr>
              <w:jc w:val="right"/>
              <w:ind w:right="443"/>
              <w:spacing w:after="0"/>
              <w:rPr>
                <w:sz w:val="20"/>
                <w:szCs w:val="20"/>
                <w:color w:val="auto"/>
              </w:rPr>
            </w:pPr>
            <w:r>
              <w:rPr>
                <w:rFonts w:ascii="Arial" w:cs="Arial" w:eastAsia="Arial" w:hAnsi="Arial"/>
                <w:sz w:val="16"/>
                <w:szCs w:val="16"/>
                <w:color w:val="auto"/>
              </w:rPr>
              <w:t>400,000 (2)</w:t>
            </w:r>
          </w:p>
        </w:tc>
        <w:tc>
          <w:tcPr>
            <w:tcW w:w="1740" w:type="dxa"/>
            <w:vAlign w:val="bottom"/>
            <w:vMerge w:val="restart"/>
          </w:tcPr>
          <w:p>
            <w:pPr>
              <w:jc w:val="right"/>
              <w:ind w:right="606"/>
              <w:spacing w:after="0"/>
              <w:rPr>
                <w:sz w:val="20"/>
                <w:szCs w:val="20"/>
                <w:color w:val="auto"/>
              </w:rPr>
            </w:pPr>
            <w:r>
              <w:rPr>
                <w:rFonts w:ascii="Arial" w:cs="Arial" w:eastAsia="Arial" w:hAnsi="Arial"/>
                <w:sz w:val="16"/>
                <w:szCs w:val="16"/>
                <w:color w:val="auto"/>
              </w:rPr>
              <w:t>$9.22</w:t>
            </w:r>
          </w:p>
        </w:tc>
        <w:tc>
          <w:tcPr>
            <w:tcW w:w="1660" w:type="dxa"/>
            <w:vAlign w:val="bottom"/>
            <w:vMerge w:val="restart"/>
          </w:tcPr>
          <w:p>
            <w:pPr>
              <w:jc w:val="right"/>
              <w:ind w:right="366"/>
              <w:spacing w:after="0"/>
              <w:rPr>
                <w:sz w:val="20"/>
                <w:szCs w:val="20"/>
                <w:color w:val="auto"/>
              </w:rPr>
            </w:pPr>
            <w:r>
              <w:rPr>
                <w:rFonts w:ascii="Arial" w:cs="Arial" w:eastAsia="Arial" w:hAnsi="Arial"/>
                <w:sz w:val="16"/>
                <w:szCs w:val="16"/>
                <w:color w:val="auto"/>
              </w:rPr>
              <w:t>$3,688,000</w:t>
            </w:r>
          </w:p>
        </w:tc>
        <w:tc>
          <w:tcPr>
            <w:tcW w:w="1760" w:type="dxa"/>
            <w:vAlign w:val="bottom"/>
            <w:vMerge w:val="restart"/>
          </w:tcPr>
          <w:p>
            <w:pPr>
              <w:jc w:val="right"/>
              <w:ind w:right="623"/>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152"/>
        </w:trPr>
        <w:tc>
          <w:tcPr>
            <w:tcW w:w="4040" w:type="dxa"/>
            <w:vAlign w:val="bottom"/>
            <w:vMerge w:val="restart"/>
          </w:tcPr>
          <w:p>
            <w:pPr>
              <w:jc w:val="center"/>
              <w:ind w:left="362"/>
              <w:spacing w:after="0"/>
              <w:rPr>
                <w:sz w:val="20"/>
                <w:szCs w:val="20"/>
                <w:color w:val="auto"/>
              </w:rPr>
            </w:pPr>
            <w:r>
              <w:rPr>
                <w:rFonts w:ascii="Arial" w:cs="Arial" w:eastAsia="Arial" w:hAnsi="Arial"/>
                <w:sz w:val="16"/>
                <w:szCs w:val="16"/>
                <w:color w:val="auto"/>
                <w:w w:val="89"/>
              </w:rPr>
              <w:t>par value, $0.01 per share</w:t>
            </w:r>
          </w:p>
        </w:tc>
        <w:tc>
          <w:tcPr>
            <w:tcW w:w="224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040" w:type="dxa"/>
            <w:vAlign w:val="bottom"/>
            <w:vMerge w:val="continue"/>
          </w:tcPr>
          <w:p>
            <w:pPr>
              <w:spacing w:after="0"/>
              <w:rPr>
                <w:sz w:val="4"/>
                <w:szCs w:val="4"/>
                <w:color w:val="auto"/>
              </w:rPr>
            </w:pPr>
          </w:p>
        </w:tc>
        <w:tc>
          <w:tcPr>
            <w:tcW w:w="22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ind w:left="500" w:right="220" w:hanging="492"/>
        <w:spacing w:after="0" w:line="312" w:lineRule="auto"/>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registration fee, in accordance with Rule 457(h), on the basis of the price of securities of the same class, as determined in accordance with Rule 457(c), using the average of the high and low prices for the Class A Non-Voting Common Stock reported on The NASDAQ Stock Market on November 27, 2018.</w:t>
      </w:r>
    </w:p>
    <w:p>
      <w:pPr>
        <w:spacing w:after="0" w:line="83" w:lineRule="exact"/>
        <w:rPr>
          <w:rFonts w:ascii="Arial" w:cs="Arial" w:eastAsia="Arial" w:hAnsi="Arial"/>
          <w:sz w:val="13"/>
          <w:szCs w:val="13"/>
          <w:color w:val="auto"/>
        </w:rPr>
      </w:pPr>
    </w:p>
    <w:p>
      <w:pPr>
        <w:ind w:left="500" w:right="160" w:hanging="492"/>
        <w:spacing w:after="0" w:line="353" w:lineRule="auto"/>
        <w:tabs>
          <w:tab w:leader="none" w:pos="36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this Registration Statement shall be deemed to cover such additional shares of Class A Non-Voting Common Stock as may become issuable pursuant to the antidilution provisions of the EZCORP, Inc. 2010 Long-Term Incentive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139700</wp:posOffset>
            </wp:positionV>
            <wp:extent cx="6774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53975</wp:posOffset>
            </wp:positionV>
            <wp:extent cx="67748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Pursuant to General Instruction E of Form S-8 (“Registration of Additional Securities”), the Registrant hereby makes the following statement:</w:t>
      </w:r>
    </w:p>
    <w:p>
      <w:pPr>
        <w:spacing w:after="0" w:line="225"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On October 10, 2013, the Registrant filed with the Securities and Exchange Commission a Registration Statement on Form S-8 (Registration No. 333-191677) (the “Prior Registration Statement”) relating to shares of the Registrant’s common stock to be issued pursuant to the EZCORP, Inc. 2010 Long-Term Incentive Plan (the “Incentive Plan”), and the Prior Registration Statement is currently effective. This Registration Statement relates to securities (a) of the same class as those to which the Prior Registration Statement relates and (b) to be issued pursuant to the Incentive Plan. The contents of the Prior Registration Statement are incorporated hereby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Registration Statement:</w:t>
      </w:r>
    </w:p>
    <w:p>
      <w:pPr>
        <w:spacing w:after="0" w:line="347"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20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5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99"/>
              </w:rPr>
              <w:t>5.1*</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20" w:type="dxa"/>
            <w:vAlign w:val="bottom"/>
            <w:gridSpan w:val="8"/>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Opinion of legal counsel</w:t>
              </w:r>
            </w:hyperlink>
          </w:p>
        </w:tc>
      </w:tr>
      <w:tr>
        <w:trPr>
          <w:trHeight w:val="20"/>
        </w:trPr>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Borders>
              <w:bottom w:val="single" w:sz="8" w:color="0000FF"/>
            </w:tcBorders>
            <w:gridSpan w:val="6"/>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Amended and Restated EZCORP, Inc. 2010 Long-Term Incentive Plan, effective November 28, 2018 (incorporated</w:t>
              </w:r>
            </w:hyperlink>
          </w:p>
        </w:tc>
        <w:tc>
          <w:tcPr>
            <w:tcW w:w="120" w:type="dxa"/>
            <w:vAlign w:val="bottom"/>
            <w:gridSpan w:val="2"/>
          </w:tcPr>
          <w:p>
            <w:pPr>
              <w:spacing w:after="0"/>
              <w:rPr>
                <w:sz w:val="21"/>
                <w:szCs w:val="21"/>
                <w:color w:val="auto"/>
              </w:rPr>
            </w:pPr>
          </w:p>
        </w:tc>
      </w:tr>
      <w:tr>
        <w:trPr>
          <w:trHeight w:val="196"/>
        </w:trPr>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by reference to Exhibit 10.1 to the Company’s Current Report on Form 8-K dated November 29, 2018, Commission</w:t>
              </w:r>
            </w:hyperlink>
          </w:p>
        </w:tc>
        <w:tc>
          <w:tcPr>
            <w:tcW w:w="60" w:type="dxa"/>
            <w:vAlign w:val="bottom"/>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20" w:type="dxa"/>
            <w:vAlign w:val="bottom"/>
            <w:gridSpan w:val="8"/>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File No. 0-19424)</w:t>
              </w:r>
            </w:hyperlink>
          </w:p>
        </w:tc>
      </w:tr>
      <w:tr>
        <w:trPr>
          <w:trHeight w:val="20"/>
        </w:trPr>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r>
      <w:tr>
        <w:trPr>
          <w:trHeight w:val="25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Consent of BDO USA, LLP</w:t>
              </w:r>
            </w:hyperlink>
          </w:p>
        </w:tc>
        <w:tc>
          <w:tcPr>
            <w:tcW w:w="6400" w:type="dxa"/>
            <w:vAlign w:val="bottom"/>
            <w:gridSpan w:val="5"/>
          </w:tcPr>
          <w:p>
            <w:pPr>
              <w:spacing w:after="0"/>
              <w:rPr>
                <w:sz w:val="21"/>
                <w:szCs w:val="21"/>
                <w:color w:val="auto"/>
              </w:rPr>
            </w:pPr>
          </w:p>
        </w:tc>
      </w:tr>
      <w:tr>
        <w:trPr>
          <w:trHeight w:val="25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20" w:type="dxa"/>
            <w:vAlign w:val="bottom"/>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Consent of legal counsel (included in Exhibit 5.1)</w:t>
              </w:r>
            </w:hyperlink>
          </w:p>
        </w:tc>
      </w:tr>
      <w:tr>
        <w:trPr>
          <w:trHeight w:val="25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60" w:type="dxa"/>
            <w:vAlign w:val="bottom"/>
            <w:tcBorders>
              <w:top w:val="single" w:sz="8" w:color="0000FF"/>
              <w:bottom w:val="single" w:sz="8" w:color="0000EE"/>
            </w:tcBorders>
            <w:gridSpan w:val="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Power of attorney (set forth on signature page)</w:t>
              </w:r>
            </w:hyperlink>
          </w:p>
        </w:tc>
        <w:tc>
          <w:tcPr>
            <w:tcW w:w="220" w:type="dxa"/>
            <w:vAlign w:val="bottom"/>
            <w:tcBorders>
              <w:top w:val="single" w:sz="8" w:color="0000FF"/>
            </w:tcBorders>
          </w:tcPr>
          <w:p>
            <w:pPr>
              <w:spacing w:after="0"/>
              <w:rPr>
                <w:sz w:val="21"/>
                <w:szCs w:val="21"/>
                <w:color w:val="auto"/>
              </w:rPr>
            </w:pPr>
          </w:p>
        </w:tc>
        <w:tc>
          <w:tcPr>
            <w:tcW w:w="4840" w:type="dxa"/>
            <w:vAlign w:val="bottom"/>
            <w:gridSpan w:val="3"/>
          </w:tcPr>
          <w:p>
            <w:pPr>
              <w:spacing w:after="0"/>
              <w:rPr>
                <w:sz w:val="21"/>
                <w:szCs w:val="21"/>
                <w:color w:val="auto"/>
              </w:rPr>
            </w:pPr>
          </w:p>
        </w:tc>
      </w:tr>
    </w:tbl>
    <w:p>
      <w:pPr>
        <w:spacing w:after="0" w:line="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400"/>
          </w:cols>
          <w:pgMar w:left="240" w:top="58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Registrant</w:t>
      </w:r>
      <w:r>
        <w:rPr>
          <w:rFonts w:ascii="Arial" w:cs="Arial" w:eastAsia="Arial" w:hAnsi="Arial"/>
          <w:sz w:val="18"/>
          <w:szCs w:val="18"/>
          <w:color w:val="auto"/>
        </w:rPr>
        <w:t>. Pursuant to the requirements of the Securities Act of 1933, the registrant certifies that it has reasonable grounds to believe that it meets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for filing on Form S-8 and has duly caused this registration statement to be signed on its behalf by the undersigned, thereunto duly authorized, in the City of Austin, State of Texas, on November 30, 2018.</w:t>
      </w:r>
    </w:p>
    <w:p>
      <w:pPr>
        <w:spacing w:after="0" w:line="12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EZCORP, Inc.</w:t>
      </w:r>
    </w:p>
    <w:p>
      <w:pPr>
        <w:spacing w:after="0" w:line="279"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18"/>
          <w:szCs w:val="18"/>
          <w:color w:val="auto"/>
        </w:rPr>
        <w:t>By:</w:t>
        <w:tab/>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Stuart I. Grimshaw,</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 Each person whose signature appears below hereby authorizes and appoints Thomas H. Welch, Jr. as his or her attorney-in-fact to sign on his or her behalf individually and in the capacity stated below all amendments and post-effective amendments to this registration statement as that attorney-in-fact may deem necessary or appropriate.</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560" w:type="dxa"/>
            <w:vAlign w:val="bottom"/>
            <w:gridSpan w:val="2"/>
          </w:tcPr>
          <w:p>
            <w:pPr>
              <w:ind w:left="2580"/>
              <w:spacing w:after="0"/>
              <w:rPr>
                <w:sz w:val="20"/>
                <w:szCs w:val="20"/>
                <w:color w:val="auto"/>
              </w:rPr>
            </w:pPr>
            <w:r>
              <w:rPr>
                <w:rFonts w:ascii="Arial" w:cs="Arial" w:eastAsia="Arial" w:hAnsi="Arial"/>
                <w:sz w:val="14"/>
                <w:szCs w:val="14"/>
                <w:b w:val="1"/>
                <w:bCs w:val="1"/>
                <w:color w:val="auto"/>
              </w:rPr>
              <w:t>Title</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74"/>
        </w:trPr>
        <w:tc>
          <w:tcPr>
            <w:tcW w:w="36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7"/>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Stuart I. Grimshaw</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30, 2018</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60" w:type="dxa"/>
            <w:vAlign w:val="bottom"/>
            <w:gridSpan w:val="2"/>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Stuart I. Grimshaw</w:t>
            </w:r>
          </w:p>
        </w:tc>
        <w:tc>
          <w:tcPr>
            <w:tcW w:w="120" w:type="dxa"/>
            <w:vAlign w:val="bottom"/>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3"/>
              </w:rPr>
              <w:t>/s/ Daniel M. Chism</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30, 2018</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Daniel M. Chism</w:t>
            </w:r>
          </w:p>
        </w:tc>
        <w:tc>
          <w:tcPr>
            <w:tcW w:w="120" w:type="dxa"/>
            <w:vAlign w:val="bottom"/>
          </w:tcPr>
          <w:p>
            <w:pPr>
              <w:spacing w:after="0"/>
              <w:rPr>
                <w:sz w:val="20"/>
                <w:szCs w:val="20"/>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(principal financial officer)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95"/>
              </w:rPr>
              <w:t>/s/ David McGuire</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Deputy Chief Financial Officer and Chief</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30, 2018</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60" w:type="dxa"/>
            <w:vAlign w:val="bottom"/>
            <w:gridSpan w:val="2"/>
            <w:vMerge w:val="restart"/>
          </w:tcPr>
          <w:p>
            <w:pPr>
              <w:ind w:left="360"/>
              <w:spacing w:after="0"/>
              <w:rPr>
                <w:sz w:val="20"/>
                <w:szCs w:val="20"/>
                <w:color w:val="auto"/>
              </w:rPr>
            </w:pPr>
            <w:r>
              <w:rPr>
                <w:rFonts w:ascii="Arial" w:cs="Arial" w:eastAsia="Arial" w:hAnsi="Arial"/>
                <w:sz w:val="18"/>
                <w:szCs w:val="18"/>
                <w:color w:val="auto"/>
              </w:rPr>
              <w:t>Accounting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4"/>
              </w:rPr>
              <w:t>David McGuire</w:t>
            </w:r>
          </w:p>
        </w:tc>
        <w:tc>
          <w:tcPr>
            <w:tcW w:w="120" w:type="dxa"/>
            <w:vAlign w:val="bottom"/>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(principal accounting officer)</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/s/ Lachlan P. Given</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Executive Chairman of the Board</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30, 2018</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Lachlan P. Given</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94"/>
              </w:rPr>
              <w:t>/s/ Matthew W. Appel</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30, 2018</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Matthew W. Appel</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Santiago Creel Miranda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30, 2018</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Santiago Creel Miranda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Peter Cumins</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30, 2018</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8"/>
              </w:rPr>
              <w:t>Peter Cumins</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Pablo Lagos Espinosa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30, 2018</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Pablo Lagos Espinosa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/s/ Joseph L. Rotunda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Chief Operating Officer and 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30, 2018</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Joseph L. Rotunda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0" w:right="259" w:bottom="1440" w:gutter="0" w:footer="0" w:header="0"/>
        </w:sectPr>
      </w:pPr>
    </w:p>
    <w:bookmarkStart w:id="3" w:name="page4"/>
    <w:bookmarkEnd w:id="3"/>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2627630</wp:posOffset>
            </wp:positionH>
            <wp:positionV relativeFrom="page">
              <wp:posOffset>380365</wp:posOffset>
            </wp:positionV>
            <wp:extent cx="230695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306955" cy="3943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November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One,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 Bee Cave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 78746</w:t>
      </w: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am the Chief Legal Officer and Secretary for EZCORP, Inc., a Delaware corporation (the “Company”), and have represented the Company in connection with the preparation of the Registration Statement on Form S-8 (the “Registration Statement”) to be filed with the Securities and Exchange Commission in connection with the registration under the Securities Act of 1933 of the offer and sale of an additional 400,000 shares of the Company's Class A Non-Voting Common Stock, par value $.01 per share (the “Shares”), that may be issued from time to time pursuant to awards granted under the EZCORP 2010 Long-Term Incentive Plan (the “Plan”).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reaching the opinion set forth herein, I have examined such agreements, certificates of public officials and officers of the Company, records, documents and matters of law as I deemed relevant.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foregoing and subject further to the assumptions, exceptions and qualifications hereinafter stated, I am of the opinion that the Shares, when issued in the manner contemplated by the Registration Statement and in accordance with the terms of the Plan and the relevant award agreements, will be legally issued, fully paid and nonassessable.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rendering the opinion set forth herein, I have assumed that the Company will receive the full amount and type of consideration (as specified in the Plan and each applicable award agreement) for each of the Shares or will have received that consideration upon the issuance of the Shares pursuant to the applicable award agreement, that such consideration will be in cash, personal property or services already performed, that such consideration will equal or exceed the par value per share of the Shares, that appropriate certificates or other evidence of ownership with respect to the Shares will be properly executed upon each such issuance and that each grant of an award pursuant to the Plan will be duly authorized.</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opinion expressed above is limited to the laws of the State of Texas, the Delaware General Corporation Law and the federal laws of the United States of America. I am not admitted to the practice of law in the State of Delaware.</w:t>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hereby consent to the filing of this opinion as an exhibit to the Registration Statement. In giving this consent, I do not thereby admit that I come into the category of persons whose consent is required under Section 7 of the Securities Act of 1933 or the rules and regulations of the Securities and Exchange Commission promulgated thereunder.</w:t>
      </w:r>
    </w:p>
    <w:p>
      <w:pPr>
        <w:spacing w:after="0" w:line="3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Sincerely,</w:t>
      </w:r>
    </w:p>
    <w:p>
      <w:pPr>
        <w:spacing w:after="0" w:line="34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420"/>
          </w:cols>
          <w:pgMar w:left="240" w:top="1017"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 of our reports dated November 14, 2018, relating to the consolidated financial statements, and the effectiveness of EZCORP, Inc.'s internal control over financial reporting, appearing in the Company's Annual Report on Form 10-K for the year ended September 30, 2018.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2018</w:t>
      </w:r>
    </w:p>
    <w:sectPr>
      <w:pgSz w:w="11900" w:h="16838" w:orient="portrait"/>
      <w:cols w:equalWidth="0" w:num="1">
        <w:col w:w="11380"/>
      </w:cols>
      <w:pgMar w:left="240" w:top="81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jpeg"/><Relationship Id="rId16" Type="http://schemas.openxmlformats.org/officeDocument/2006/relationships/image" Target="media/image8.png"/><Relationship Id="rId13" Type="http://schemas.openxmlformats.org/officeDocument/2006/relationships/hyperlink" Target="http://www.sec.gov/Archives/edgar/data/876523/000087652318000062/a2019-q1exx101ltipamend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2020-01-11T02:40:42Z</dcterms:created>
  <dcterms:modified xsi:type="dcterms:W3CDTF">2020-01-11T02:40:42Z</dcterms:modified>
</cp:coreProperties>
</file>