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Guest Barry William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Pres. Pawn &amp; Cash Converters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912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9.31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withheld to cover tax liability associated with the vesting of restricted stock granted on August 1, 2011.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Non-Derivative Securities Beneficially Owned includes 20,233 unvested Restricted Stock Awards. The Total Non-Derivative Securities Beneficially Owned does not include 34,400 Derivative Securities currently held by Reporting Person.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85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2020-01-28T04:15:46Z</dcterms:created>
  <dcterms:modified xsi:type="dcterms:W3CDTF">2020-01-28T04:15:46Z</dcterms:modified>
</cp:coreProperties>
</file>