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0325e8vk.txt"/>
      <w:bookmarkStart w:id="1" w:name="ksd30325e8vk"/>
      <w:bookmarkStart w:id="2" w:name="d30325e8vk.txt"/>
      <w:bookmarkStart w:id="3" w:name="ksd30325e8vk"/>
      <w:bookmarkEnd w:id="2"/>
      <w:bookmarkEnd w:id="3"/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NOVEMBER 10,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DELAWARE                         0-19424              74-2540145</w:t>
      </w:r>
    </w:p>
    <w:p>
      <w:pPr>
        <w:pStyle w:val="PreformattedText"/>
        <w:rPr/>
      </w:pPr>
      <w:r>
        <w:rPr/>
        <w:t>(State or other jurisdiction of        (Commission File      (I.R.S.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incorporation)                      Number)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</w:t>
      </w:r>
      <w:r>
        <w:rPr/>
        <w:t>AUSTIN, TEXAS                                              78746</w:t>
      </w:r>
    </w:p>
    <w:p>
      <w:pPr>
        <w:pStyle w:val="PreformattedText"/>
        <w:rPr/>
      </w:pPr>
      <w:r>
        <w:rPr/>
        <w:t>(Address of principal executive offices)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]  Written communications pursuant to Rule 425 under the Securities</w:t>
      </w:r>
    </w:p>
    <w:p>
      <w:pPr>
        <w:pStyle w:val="PreformattedText"/>
        <w:rPr/>
      </w:pPr>
      <w:r>
        <w:rPr/>
        <w:t xml:space="preserve">      </w:t>
      </w:r>
      <w:r>
        <w:rPr/>
        <w:t>Act (17 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]  Soliciting material pursuant to Rule 14a-12 under the Exchange</w:t>
      </w:r>
    </w:p>
    <w:p>
      <w:pPr>
        <w:pStyle w:val="PreformattedText"/>
        <w:rPr/>
      </w:pPr>
      <w:r>
        <w:rPr/>
        <w:t xml:space="preserve">      </w:t>
      </w:r>
      <w:r>
        <w:rPr/>
        <w:t>Act (17 CFR 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]  Pre-commencement communications pursuant to Rule 14d-2(b) under the</w:t>
      </w:r>
    </w:p>
    <w:p>
      <w:pPr>
        <w:pStyle w:val="PreformattedText"/>
        <w:rPr/>
      </w:pPr>
      <w:r>
        <w:rPr/>
        <w:t xml:space="preserve"> 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]  Pre-commencement communications pursuant to Rule 13e-4(c) under the</w:t>
      </w:r>
    </w:p>
    <w:p>
      <w:pPr>
        <w:pStyle w:val="PreformattedText"/>
        <w:rPr/>
      </w:pPr>
      <w:r>
        <w:rPr/>
        <w:t xml:space="preserve"> 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2.02.  RESULTS OF OPERATIONS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information set forth under "Item 2.02. Results Of Operations And Financial</w:t>
      </w:r>
    </w:p>
    <w:p>
      <w:pPr>
        <w:pStyle w:val="PreformattedText"/>
        <w:rPr/>
      </w:pPr>
      <w:r>
        <w:rPr/>
        <w:t>Condition," including the Exhibit attached hereto, shall not be deemed "filed"</w:t>
      </w:r>
    </w:p>
    <w:p>
      <w:pPr>
        <w:pStyle w:val="PreformattedText"/>
        <w:rPr/>
      </w:pPr>
      <w:r>
        <w:rPr/>
        <w:t>for purposes of Section 18 of the Securities and Exchange Act of 1934 (the</w:t>
      </w:r>
    </w:p>
    <w:p>
      <w:pPr>
        <w:pStyle w:val="PreformattedText"/>
        <w:rPr/>
      </w:pPr>
      <w:r>
        <w:rPr/>
        <w:t>"Exchange Act") or otherwise subject to the liabilities of that section, nor</w:t>
      </w:r>
    </w:p>
    <w:p>
      <w:pPr>
        <w:pStyle w:val="PreformattedText"/>
        <w:rPr/>
      </w:pPr>
      <w:r>
        <w:rPr/>
        <w:t>shall it be deemed incorporated by reference in any filing under the Securities</w:t>
      </w:r>
    </w:p>
    <w:p>
      <w:pPr>
        <w:pStyle w:val="PreformattedText"/>
        <w:rPr/>
      </w:pPr>
      <w:r>
        <w:rPr/>
        <w:t>Act of 1933 or the Exchange Act, regardless of any general incorporation</w:t>
      </w:r>
    </w:p>
    <w:p>
      <w:pPr>
        <w:pStyle w:val="PreformattedText"/>
        <w:rPr/>
      </w:pPr>
      <w:r>
        <w:rPr/>
        <w:t>language in such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10, 2005, EZCORP, Inc. issued a press release announcing its results</w:t>
      </w:r>
    </w:p>
    <w:p>
      <w:pPr>
        <w:pStyle w:val="PreformattedText"/>
        <w:rPr/>
      </w:pPr>
      <w:r>
        <w:rPr/>
        <w:t>of operations and financial condition for the quarter and year ended September</w:t>
      </w:r>
    </w:p>
    <w:p>
      <w:pPr>
        <w:pStyle w:val="PreformattedText"/>
        <w:rPr/>
      </w:pPr>
      <w:r>
        <w:rPr/>
        <w:t>30, 2005. A copy of the press release is attached hereto as Exhibit 99.1.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 FINANCIAL STATEMENTS AND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99.1   Press release dated November 10, 2005,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November 10, 2005          By:   /s/ Daniel N. Tonissen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Senior Vice President, Chief Financial Officer,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99.1       Press release dated November 10, 2005,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30325exv99w1.txt"/>
      <w:bookmarkStart w:id="5" w:name="ksd30325exv99w1"/>
      <w:bookmarkStart w:id="6" w:name="d30325exv99w1.txt"/>
      <w:bookmarkStart w:id="7" w:name="ksd30325exv99w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EZCORP ANNOUNCES FISCAL FOURTH QUARTER AND YEAREND RESULTS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 (NOVEMBER 10, 2005) -- EZCORP, Inc. (Nasdaq: EZPW) announced today</w:t>
      </w:r>
    </w:p>
    <w:p>
      <w:pPr>
        <w:pStyle w:val="PreformattedText"/>
        <w:rPr/>
      </w:pPr>
      <w:r>
        <w:rPr/>
        <w:t>results for its fiscal fourth quarter and 2005 fiscal year, which ended</w:t>
      </w:r>
    </w:p>
    <w:p>
      <w:pPr>
        <w:pStyle w:val="PreformattedText"/>
        <w:rPr/>
      </w:pPr>
      <w:r>
        <w:rPr/>
        <w:t>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 ended September, net income increased 29% to $3,705,000 ($0.27</w:t>
      </w:r>
    </w:p>
    <w:p>
      <w:pPr>
        <w:pStyle w:val="PreformattedText"/>
        <w:rPr/>
      </w:pPr>
      <w:r>
        <w:rPr/>
        <w:t>per share) from $2,873,000 ($0.22 per share) for the 2004 fiscal fourth quarter.</w:t>
      </w:r>
    </w:p>
    <w:p>
      <w:pPr>
        <w:pStyle w:val="PreformattedText"/>
        <w:rPr/>
      </w:pPr>
      <w:r>
        <w:rPr/>
        <w:t>Total revenues for the quarter increased 14% to $73,183,000 compared to</w:t>
      </w:r>
    </w:p>
    <w:p>
      <w:pPr>
        <w:pStyle w:val="PreformattedText"/>
        <w:rPr/>
      </w:pPr>
      <w:r>
        <w:rPr/>
        <w:t>$64,053,000 for the prior year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twelve month period ended September, net income increased 62% to</w:t>
      </w:r>
    </w:p>
    <w:p>
      <w:pPr>
        <w:pStyle w:val="PreformattedText"/>
        <w:rPr/>
      </w:pPr>
      <w:r>
        <w:rPr/>
        <w:t>$14,752,000 ($1.09 per share) from $9,123,000 ($0.70 per share) for fiscal 2004.</w:t>
      </w:r>
    </w:p>
    <w:p>
      <w:pPr>
        <w:pStyle w:val="PreformattedText"/>
        <w:rPr/>
      </w:pPr>
      <w:r>
        <w:rPr/>
        <w:t>Total revenues for the fiscal year increased 12% to $254,159,000 from</w:t>
      </w:r>
    </w:p>
    <w:p>
      <w:pPr>
        <w:pStyle w:val="PreformattedText"/>
        <w:rPr/>
      </w:pPr>
      <w:r>
        <w:rPr/>
        <w:t>$227,797,000 for 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Commenting on these results, President and Chief Executive Officer, Joe Rotunda,</w:t>
      </w:r>
    </w:p>
    <w:p>
      <w:pPr>
        <w:pStyle w:val="PreformattedText"/>
        <w:rPr/>
      </w:pPr>
      <w:r>
        <w:rPr/>
        <w:t>stated, "The fourth quarter is our thirteenth consecutive quarter of</w:t>
      </w:r>
    </w:p>
    <w:p>
      <w:pPr>
        <w:pStyle w:val="PreformattedText"/>
        <w:rPr/>
      </w:pPr>
      <w:r>
        <w:rPr/>
        <w:t>year-over-year earnings growth and caps off a very successful year. For the</w:t>
      </w:r>
    </w:p>
    <w:p>
      <w:pPr>
        <w:pStyle w:val="PreformattedText"/>
        <w:rPr/>
      </w:pPr>
      <w:r>
        <w:rPr/>
        <w:t>quarter, all elements of our business contributed to our strong performance.</w:t>
      </w:r>
    </w:p>
    <w:p>
      <w:pPr>
        <w:pStyle w:val="PreformattedText"/>
        <w:rPr/>
      </w:pPr>
      <w:r>
        <w:rPr/>
        <w:t>Signature loan finance charges and fees, after bad debt &amp; direct transaction</w:t>
      </w:r>
    </w:p>
    <w:p>
      <w:pPr>
        <w:pStyle w:val="PreformattedText"/>
        <w:rPr/>
      </w:pPr>
      <w:r>
        <w:rPr/>
        <w:t>expenses, increased 77% from the prior year. Pawn service charges improved 6%</w:t>
      </w:r>
    </w:p>
    <w:p>
      <w:pPr>
        <w:pStyle w:val="PreformattedText"/>
        <w:rPr/>
      </w:pPr>
      <w:r>
        <w:rPr/>
        <w:t>from portfolio growth and yield improvement. Gross profit on sales increased 5%</w:t>
      </w:r>
    </w:p>
    <w:p>
      <w:pPr>
        <w:pStyle w:val="PreformattedText"/>
        <w:rPr/>
      </w:pPr>
      <w:r>
        <w:rPr/>
        <w:t>as a result of 3% same store sales growth and better jewelry scrapping margins."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 continued, "The results for the quarter are especially strong in light</w:t>
      </w:r>
    </w:p>
    <w:p>
      <w:pPr>
        <w:pStyle w:val="PreformattedText"/>
        <w:rPr/>
      </w:pPr>
      <w:r>
        <w:rPr/>
        <w:t>of the challenges we faced due to hurricanes Katrina and Rita and to the</w:t>
      </w:r>
    </w:p>
    <w:p>
      <w:pPr>
        <w:pStyle w:val="PreformattedText"/>
        <w:rPr/>
      </w:pPr>
      <w:r>
        <w:rPr/>
        <w:t>conversion of 181 Texas EZMoney stores to a credit services organization, or</w:t>
      </w:r>
    </w:p>
    <w:p>
      <w:pPr>
        <w:pStyle w:val="PreformattedText"/>
        <w:rPr/>
      </w:pPr>
      <w:r>
        <w:rPr/>
        <w:t>CSO. As a result of the hurricanes, we lost approximately 500 store days during</w:t>
      </w:r>
    </w:p>
    <w:p>
      <w:pPr>
        <w:pStyle w:val="PreformattedText"/>
        <w:rPr/>
      </w:pPr>
      <w:r>
        <w:rPr/>
        <w:t>the quarter. The direct financial impact on the quarter from the hurricanes was</w:t>
      </w:r>
    </w:p>
    <w:p>
      <w:pPr>
        <w:pStyle w:val="PreformattedText"/>
        <w:rPr/>
      </w:pPr>
      <w:r>
        <w:rPr/>
        <w:t>approximately $500,000, or just over two cents per share, mainly from lost</w:t>
      </w:r>
    </w:p>
    <w:p>
      <w:pPr>
        <w:pStyle w:val="PreformattedText"/>
        <w:rPr/>
      </w:pPr>
      <w:r>
        <w:rPr/>
        <w:t>revenues. In July, we announced the CSO conversion. Included in our results for</w:t>
      </w:r>
    </w:p>
    <w:p>
      <w:pPr>
        <w:pStyle w:val="PreformattedText"/>
        <w:rPr/>
      </w:pPr>
      <w:r>
        <w:rPr/>
        <w:t>the quarter is approximately $450,000, or two cents per share, of expenses</w:t>
      </w:r>
    </w:p>
    <w:p>
      <w:pPr>
        <w:pStyle w:val="PreformattedText"/>
        <w:rPr/>
      </w:pPr>
      <w:r>
        <w:rPr/>
        <w:t>directly related to this conversion, largely signage, point of purchase</w:t>
      </w:r>
    </w:p>
    <w:p>
      <w:pPr>
        <w:pStyle w:val="PreformattedText"/>
        <w:rPr/>
      </w:pPr>
      <w:r>
        <w:rPr/>
        <w:t>materials, and legal expense."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 concluded, "Looking forward to fiscal 2006, we expect to generate</w:t>
      </w:r>
    </w:p>
    <w:p>
      <w:pPr>
        <w:pStyle w:val="PreformattedText"/>
        <w:rPr/>
      </w:pPr>
      <w:r>
        <w:rPr/>
        <w:t>earnings per share in the range of $1.45 to $1.50. For our first fiscal 2006</w:t>
      </w:r>
    </w:p>
    <w:p>
      <w:pPr>
        <w:pStyle w:val="PreformattedText"/>
        <w:rPr/>
      </w:pPr>
      <w:r>
        <w:rPr/>
        <w:t>quarter, we expect to generate earnings per share of $0.42 to $0.45. In fiscal</w:t>
      </w:r>
    </w:p>
    <w:p>
      <w:pPr>
        <w:pStyle w:val="PreformattedText"/>
        <w:rPr/>
      </w:pPr>
      <w:r>
        <w:rPr/>
        <w:t>2006, we plan to continue expansion of our EZMoney brand by opening between 115</w:t>
      </w:r>
    </w:p>
    <w:p>
      <w:pPr>
        <w:pStyle w:val="PreformattedText"/>
        <w:rPr/>
      </w:pPr>
      <w:r>
        <w:rPr/>
        <w:t>and 125 new locations."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is primarily a lender or provider of credit services to individuals who</w:t>
      </w:r>
    </w:p>
    <w:p>
      <w:pPr>
        <w:pStyle w:val="PreformattedText"/>
        <w:rPr/>
      </w:pPr>
      <w:r>
        <w:rPr/>
        <w:t>do not have cash resources or access to credit to meet their short-term cash</w:t>
      </w:r>
    </w:p>
    <w:p>
      <w:pPr>
        <w:pStyle w:val="PreformattedText"/>
        <w:rPr/>
      </w:pPr>
      <w:r>
        <w:rPr/>
        <w:t>needs. In 280 EZPAWN locations, the Company offers non-recourse loans</w:t>
      </w:r>
    </w:p>
    <w:p>
      <w:pPr>
        <w:pStyle w:val="PreformattedText"/>
        <w:rPr/>
      </w:pPr>
      <w:r>
        <w:rPr/>
        <w:t>collateralized by tangible personal property, commonly known as pawn loans. At</w:t>
      </w:r>
    </w:p>
    <w:p>
      <w:pPr>
        <w:pStyle w:val="PreformattedText"/>
        <w:rPr/>
      </w:pPr>
      <w:r>
        <w:rPr/>
        <w:t>these locations, the Company also sells merchandise, primarily collateral</w:t>
      </w:r>
    </w:p>
    <w:p>
      <w:pPr>
        <w:pStyle w:val="PreformattedText"/>
        <w:rPr/>
      </w:pPr>
      <w:r>
        <w:rPr/>
        <w:t>forfeited from its pawn lending operations,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consumers looking for good value. In 234 EZMoney locations and 98 EZPAWN</w:t>
      </w:r>
    </w:p>
    <w:p>
      <w:pPr>
        <w:pStyle w:val="PreformattedText"/>
        <w:rPr/>
      </w:pPr>
      <w:r>
        <w:rPr/>
        <w:t>locations, the Company offers short-term non-collateralized loans, often</w:t>
      </w:r>
    </w:p>
    <w:p>
      <w:pPr>
        <w:pStyle w:val="PreformattedText"/>
        <w:rPr/>
      </w:pPr>
      <w:r>
        <w:rPr/>
        <w:t>referred to as payday loans, or fee based credit services to customers seeking</w:t>
      </w:r>
    </w:p>
    <w:p>
      <w:pPr>
        <w:pStyle w:val="PreformattedText"/>
        <w:rPr/>
      </w:pPr>
      <w:r>
        <w:rPr/>
        <w:t>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announcement contains certain forward-looking statements regarding the</w:t>
      </w:r>
    </w:p>
    <w:p>
      <w:pPr>
        <w:pStyle w:val="PreformattedText"/>
        <w:rPr/>
      </w:pPr>
      <w:r>
        <w:rPr/>
        <w:t>Company's expected performance for future periods including, but not limited to,</w:t>
      </w:r>
    </w:p>
    <w:p>
      <w:pPr>
        <w:pStyle w:val="PreformattedText"/>
        <w:rPr/>
      </w:pPr>
      <w:r>
        <w:rPr/>
        <w:t>new unit growth and expected future earnings. Actual results for these periods</w:t>
      </w:r>
    </w:p>
    <w:p>
      <w:pPr>
        <w:pStyle w:val="PreformattedText"/>
        <w:rPr/>
      </w:pPr>
      <w:r>
        <w:rPr/>
        <w:t>may materially differ from these statements. Such forward-looking statements</w:t>
      </w:r>
    </w:p>
    <w:p>
      <w:pPr>
        <w:pStyle w:val="PreformattedText"/>
        <w:rPr/>
      </w:pPr>
      <w:r>
        <w:rPr/>
        <w:t>involve risks and uncertainties such as changing market conditions in the</w:t>
      </w:r>
    </w:p>
    <w:p>
      <w:pPr>
        <w:pStyle w:val="PreformattedText"/>
        <w:rPr/>
      </w:pPr>
      <w:r>
        <w:rPr/>
        <w:t>overall economy and the industry, consumer demand for the Company's services and</w:t>
      </w:r>
    </w:p>
    <w:p>
      <w:pPr>
        <w:pStyle w:val="PreformattedText"/>
        <w:rPr/>
      </w:pPr>
      <w:r>
        <w:rPr/>
        <w:t>merchandise, changes in regulatory environment, and other factors periodically</w:t>
      </w:r>
    </w:p>
    <w:p>
      <w:pPr>
        <w:pStyle w:val="PreformattedText"/>
        <w:rPr/>
      </w:pPr>
      <w:r>
        <w:rPr/>
        <w:t>discussed in the Company's annual, quarterly and other reports filed with the</w:t>
      </w:r>
    </w:p>
    <w:p>
      <w:pPr>
        <w:pStyle w:val="PreformattedText"/>
        <w:rPr/>
      </w:pPr>
      <w:r>
        <w:rPr/>
        <w:t>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You are invited to listen to a conference call discussing these results on</w:t>
      </w:r>
    </w:p>
    <w:p>
      <w:pPr>
        <w:pStyle w:val="PreformattedText"/>
        <w:rPr/>
      </w:pPr>
      <w:r>
        <w:rPr/>
        <w:t>November 10, 2005 at 3:30pm Central Time. The conference call can be accessed</w:t>
      </w:r>
    </w:p>
    <w:p>
      <w:pPr>
        <w:pStyle w:val="PreformattedText"/>
        <w:rPr/>
      </w:pPr>
      <w:r>
        <w:rPr/>
        <w:t>over the Internet (or replay it at your convenience) at the following address.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http://phx.corporate-ir.net/playerlink.zhtml?c=69434&amp;s=wm&amp;e=1157852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For additional information, contact Dan Tonissen at (512) 314-2289.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</w:t>
      </w:r>
      <w:r>
        <w:rPr/>
        <w:t>HIGHLIGHTS OF CONSOLIDATED STATEMENTS OF OPERATIONS (UNAUDITED)</w:t>
      </w:r>
    </w:p>
    <w:p>
      <w:pPr>
        <w:pStyle w:val="PreformattedText"/>
        <w:rPr/>
      </w:pPr>
      <w:r>
        <w:rPr/>
        <w:t xml:space="preserve">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THREE MONTHS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2005                    2004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 </w:t>
      </w:r>
      <w:r>
        <w:rPr/>
        <w:t>Merchandise sales                                                   $               27,538     $           26,721</w:t>
      </w:r>
    </w:p>
    <w:p>
      <w:pPr>
        <w:pStyle w:val="PreformattedText"/>
        <w:rPr/>
      </w:pPr>
      <w:r>
        <w:rPr/>
        <w:t xml:space="preserve">    </w:t>
      </w:r>
      <w:r>
        <w:rPr/>
        <w:t>Jewelry scrapping sales                                                             13,295                 14,040</w:t>
      </w:r>
    </w:p>
    <w:p>
      <w:pPr>
        <w:pStyle w:val="PreformattedText"/>
        <w:rPr/>
      </w:pPr>
      <w:r>
        <w:rPr/>
        <w:t xml:space="preserve">    </w:t>
      </w:r>
      <w:r>
        <w:rPr/>
        <w:t>Pawn service charges                                                                16,201                 15,215</w:t>
      </w:r>
    </w:p>
    <w:p>
      <w:pPr>
        <w:pStyle w:val="PreformattedText"/>
        <w:rPr/>
      </w:pPr>
      <w:r>
        <w:rPr/>
        <w:t xml:space="preserve">    </w:t>
      </w:r>
      <w:r>
        <w:rPr/>
        <w:t>Payday loan service charges                                                          2,605                  7,750</w:t>
      </w:r>
    </w:p>
    <w:p>
      <w:pPr>
        <w:pStyle w:val="PreformattedText"/>
        <w:rPr/>
      </w:pPr>
      <w:r>
        <w:rPr/>
        <w:t xml:space="preserve">    </w:t>
      </w:r>
      <w:r>
        <w:rPr/>
        <w:t>Credit service fees                                                                 13,246                      -</w:t>
      </w:r>
    </w:p>
    <w:p>
      <w:pPr>
        <w:pStyle w:val="PreformattedText"/>
        <w:rPr/>
      </w:pPr>
      <w:r>
        <w:rPr/>
        <w:t xml:space="preserve">    </w:t>
      </w:r>
      <w:r>
        <w:rPr/>
        <w:t>Other                                                                                  298                    327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Total revenues                                                                  73,183                 64,053</w:t>
      </w:r>
    </w:p>
    <w:p>
      <w:pPr>
        <w:pStyle w:val="PreformattedText"/>
        <w:rPr/>
      </w:pPr>
      <w:r>
        <w:rPr/>
        <w:t>Cost of goods sold:</w:t>
      </w:r>
    </w:p>
    <w:p>
      <w:pPr>
        <w:pStyle w:val="PreformattedText"/>
        <w:rPr/>
      </w:pPr>
      <w:r>
        <w:rPr/>
        <w:t xml:space="preserve">    </w:t>
      </w:r>
      <w:r>
        <w:rPr/>
        <w:t>Cost of merchandise sales                                                           16,162                 15,675</w:t>
      </w:r>
    </w:p>
    <w:p>
      <w:pPr>
        <w:pStyle w:val="PreformattedText"/>
        <w:rPr/>
      </w:pPr>
      <w:r>
        <w:rPr/>
        <w:t xml:space="preserve">    </w:t>
      </w:r>
      <w:r>
        <w:rPr/>
        <w:t>Cost of jewelry scrapping sales                                                     10,281                 11,397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Total cost of goods sold                                                        26,443                 27,072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>Net revenues                                                                            46,740                 36,981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                                                                     25,492                 22,480</w:t>
      </w:r>
    </w:p>
    <w:p>
      <w:pPr>
        <w:pStyle w:val="PreformattedText"/>
        <w:rPr/>
      </w:pPr>
      <w:r>
        <w:rPr/>
        <w:t>Payday loan bad debt and other direct expenses                                           1,291                  3,146</w:t>
      </w:r>
    </w:p>
    <w:p>
      <w:pPr>
        <w:pStyle w:val="PreformattedText"/>
        <w:rPr/>
      </w:pPr>
      <w:r>
        <w:rPr/>
        <w:t>Credit service bad debt and other direct expenses                                        6,395                      -</w:t>
      </w:r>
    </w:p>
    <w:p>
      <w:pPr>
        <w:pStyle w:val="PreformattedText"/>
        <w:rPr/>
      </w:pPr>
      <w:r>
        <w:rPr/>
        <w:t>Administrative expense                                                                   5,898                  4,991</w:t>
      </w:r>
    </w:p>
    <w:p>
      <w:pPr>
        <w:pStyle w:val="PreformattedText"/>
        <w:rPr/>
      </w:pPr>
      <w:r>
        <w:rPr/>
        <w:t>Depreciation and amortization                                                            2,088                  1,874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Operating income                                                                     5,576                  4,490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expense, net                                                                      359                    375</w:t>
      </w:r>
    </w:p>
    <w:p>
      <w:pPr>
        <w:pStyle w:val="PreformattedText"/>
        <w:rPr/>
      </w:pPr>
      <w:r>
        <w:rPr/>
        <w:t>Equity in net income of unconsolidated affiliate                                          (572)                  (448</w:t>
      </w:r>
    </w:p>
    <w:p>
      <w:pPr>
        <w:pStyle w:val="PreformattedText"/>
        <w:rPr/>
      </w:pPr>
      <w:r>
        <w:rPr/>
        <w:t>Loss on sale/disposal of assets                                                              -                      3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>Income before income taxes                                                               5,789                  4,560</w:t>
      </w:r>
    </w:p>
    <w:p>
      <w:pPr>
        <w:pStyle w:val="PreformattedText"/>
        <w:rPr/>
      </w:pPr>
      <w:r>
        <w:rPr/>
        <w:t>Income tax expense                                                                       2,084                  1,687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>Net income                                                              $                3,705     $            2,873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>Net income per share, assuming dilution                                 $                 0.27     $             0.22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- assuming dilution                                             13,740                 13,083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</w:t>
      </w:r>
      <w:r>
        <w:rPr/>
        <w:t>HIGHLIGHTS OF CONSOLIDATED STATEMENTS OF OPERATIONS (UNAUDITED)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YEAR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2005              2004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 </w:t>
      </w:r>
      <w:r>
        <w:rPr/>
        <w:t>Merchandise sales                                                             $       118,951     $     116,816</w:t>
      </w:r>
    </w:p>
    <w:p>
      <w:pPr>
        <w:pStyle w:val="PreformattedText"/>
        <w:rPr/>
      </w:pPr>
      <w:r>
        <w:rPr/>
        <w:t xml:space="preserve">    </w:t>
      </w:r>
      <w:r>
        <w:rPr/>
        <w:t>Jewelry scrapping sales                                                                29,459            26,656</w:t>
      </w:r>
    </w:p>
    <w:p>
      <w:pPr>
        <w:pStyle w:val="PreformattedText"/>
        <w:rPr/>
      </w:pPr>
      <w:r>
        <w:rPr/>
        <w:t xml:space="preserve">    </w:t>
      </w:r>
      <w:r>
        <w:rPr/>
        <w:t>Pawn service charges                                                                   62,274            59,090</w:t>
      </w:r>
    </w:p>
    <w:p>
      <w:pPr>
        <w:pStyle w:val="PreformattedText"/>
        <w:rPr/>
      </w:pPr>
      <w:r>
        <w:rPr/>
        <w:t xml:space="preserve">    </w:t>
      </w:r>
      <w:r>
        <w:rPr/>
        <w:t>Payday loan service charges                                                            28,954            23,874</w:t>
      </w:r>
    </w:p>
    <w:p>
      <w:pPr>
        <w:pStyle w:val="PreformattedText"/>
        <w:rPr/>
      </w:pPr>
      <w:r>
        <w:rPr/>
        <w:t xml:space="preserve">    </w:t>
      </w:r>
      <w:r>
        <w:rPr/>
        <w:t>Credit service fees                                                                    13,246                --</w:t>
      </w:r>
    </w:p>
    <w:p>
      <w:pPr>
        <w:pStyle w:val="PreformattedText"/>
        <w:rPr/>
      </w:pPr>
      <w:r>
        <w:rPr/>
        <w:t xml:space="preserve">    </w:t>
      </w:r>
      <w:r>
        <w:rPr/>
        <w:t>Other                                                                                   1,275             1,361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Total revenues                                                                    254,159           227,797</w:t>
      </w:r>
    </w:p>
    <w:p>
      <w:pPr>
        <w:pStyle w:val="PreformattedText"/>
        <w:rPr/>
      </w:pPr>
      <w:r>
        <w:rPr/>
        <w:t>Cost of goods sold:</w:t>
      </w:r>
    </w:p>
    <w:p>
      <w:pPr>
        <w:pStyle w:val="PreformattedText"/>
        <w:rPr/>
      </w:pPr>
      <w:r>
        <w:rPr/>
        <w:t xml:space="preserve">    </w:t>
      </w:r>
      <w:r>
        <w:rPr/>
        <w:t>Cost of merchandise sales                                                              68,680            67,682</w:t>
      </w:r>
    </w:p>
    <w:p>
      <w:pPr>
        <w:pStyle w:val="PreformattedText"/>
        <w:rPr/>
      </w:pPr>
      <w:r>
        <w:rPr/>
        <w:t xml:space="preserve">    </w:t>
      </w:r>
      <w:r>
        <w:rPr/>
        <w:t>Cost of jewelry scrapping sales                                                        21,998            20,520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Total cost of goods sold                                                           90,678            88,202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>Net revenues                                                                              163,481           139,595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                                                                        95,876            86,862</w:t>
      </w:r>
    </w:p>
    <w:p>
      <w:pPr>
        <w:pStyle w:val="PreformattedText"/>
        <w:rPr/>
      </w:pPr>
      <w:r>
        <w:rPr/>
        <w:t>Payday loan bad debt and other direct expenses                                              7,808             9,103</w:t>
      </w:r>
    </w:p>
    <w:p>
      <w:pPr>
        <w:pStyle w:val="PreformattedText"/>
        <w:rPr/>
      </w:pPr>
      <w:r>
        <w:rPr/>
        <w:t>Credit service bad debt and other direct expenses                                           6,395                --</w:t>
      </w:r>
    </w:p>
    <w:p>
      <w:pPr>
        <w:pStyle w:val="PreformattedText"/>
        <w:rPr/>
      </w:pPr>
      <w:r>
        <w:rPr/>
        <w:t>Administrative expense                                                                     23,067            21,845</w:t>
      </w:r>
    </w:p>
    <w:p>
      <w:pPr>
        <w:pStyle w:val="PreformattedText"/>
        <w:rPr/>
      </w:pPr>
      <w:r>
        <w:rPr/>
        <w:t>Depreciation and amortization                                                               8,104             7,512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Operating income                                                                       22,231            14,273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expense, net                                                                       1,275             1,528</w:t>
      </w:r>
    </w:p>
    <w:p>
      <w:pPr>
        <w:pStyle w:val="PreformattedText"/>
        <w:rPr/>
      </w:pPr>
      <w:r>
        <w:rPr/>
        <w:t>Equity in net income of unconsolidated affiliate                                           (2,173)           (1,739)</w:t>
      </w:r>
    </w:p>
    <w:p>
      <w:pPr>
        <w:pStyle w:val="PreformattedText"/>
        <w:rPr/>
      </w:pPr>
      <w:r>
        <w:rPr/>
        <w:t>Loss on sale/disposal of assets                                                                79                3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>Income before income taxes                                                                 23,050            14,481</w:t>
      </w:r>
    </w:p>
    <w:p>
      <w:pPr>
        <w:pStyle w:val="PreformattedText"/>
        <w:rPr/>
      </w:pPr>
      <w:r>
        <w:rPr/>
        <w:t>Income tax expense                                                                          8,298             5,358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>Net income                                                                        $        14,752    $        9,123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>Net income per share, assuming dilution                                           $          1.09  $           0.70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- assuming dilution                                                13,574            13,122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</w:t>
      </w:r>
      <w:r>
        <w:rPr/>
        <w:t>HIGHLIGHTS OF CONSOLIDATED BALANCE SHEETS (UNAUDITED)</w:t>
      </w:r>
    </w:p>
    <w:p>
      <w:pPr>
        <w:pStyle w:val="PreformattedText"/>
        <w:rPr/>
      </w:pPr>
      <w:r>
        <w:rPr/>
        <w:t xml:space="preserve">             </w:t>
      </w:r>
      <w:r>
        <w:rPr/>
        <w:t>(in thousands, except per share data and store counts)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AS OF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2005                 2004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 </w:t>
      </w:r>
      <w:r>
        <w:rPr/>
        <w:t>Current assets:</w:t>
      </w:r>
    </w:p>
    <w:p>
      <w:pPr>
        <w:pStyle w:val="PreformattedText"/>
        <w:rPr/>
      </w:pPr>
      <w:r>
        <w:rPr/>
        <w:t xml:space="preserve">        </w:t>
      </w:r>
      <w:r>
        <w:rPr/>
        <w:t>Cash and cash equivalents                                                     $  4,168            $  2,506</w:t>
      </w:r>
    </w:p>
    <w:p>
      <w:pPr>
        <w:pStyle w:val="PreformattedText"/>
        <w:rPr/>
      </w:pPr>
      <w:r>
        <w:rPr/>
        <w:t xml:space="preserve">        </w:t>
      </w:r>
      <w:r>
        <w:rPr/>
        <w:t>Pawn loans                                                                      52,864              49,078</w:t>
      </w:r>
    </w:p>
    <w:p>
      <w:pPr>
        <w:pStyle w:val="PreformattedText"/>
        <w:rPr/>
      </w:pPr>
      <w:r>
        <w:rPr/>
        <w:t xml:space="preserve">        </w:t>
      </w:r>
      <w:r>
        <w:rPr/>
        <w:t>Payday loans, net                                                                1,634               7,292</w:t>
      </w:r>
    </w:p>
    <w:p>
      <w:pPr>
        <w:pStyle w:val="PreformattedText"/>
        <w:rPr/>
      </w:pPr>
      <w:r>
        <w:rPr/>
        <w:t xml:space="preserve">        </w:t>
      </w:r>
      <w:r>
        <w:rPr/>
        <w:t>Pawn service charges receivable, net                                             9,492               8,679</w:t>
      </w:r>
    </w:p>
    <w:p>
      <w:pPr>
        <w:pStyle w:val="PreformattedText"/>
        <w:rPr/>
      </w:pPr>
      <w:r>
        <w:rPr/>
        <w:t xml:space="preserve">        </w:t>
      </w:r>
      <w:r>
        <w:rPr/>
        <w:t>Payday loan service charges receivable, net                                        272               1,474</w:t>
      </w:r>
    </w:p>
    <w:p>
      <w:pPr>
        <w:pStyle w:val="PreformattedText"/>
        <w:rPr/>
      </w:pPr>
      <w:r>
        <w:rPr/>
        <w:t xml:space="preserve">        </w:t>
      </w:r>
      <w:r>
        <w:rPr/>
        <w:t>Credit service fees receivable, net                                              3,007                  --</w:t>
      </w:r>
    </w:p>
    <w:p>
      <w:pPr>
        <w:pStyle w:val="PreformattedText"/>
        <w:rPr/>
      </w:pPr>
      <w:r>
        <w:rPr/>
        <w:t xml:space="preserve">        </w:t>
      </w:r>
      <w:r>
        <w:rPr/>
        <w:t>Inventory, net                                                                  30,293              30,636</w:t>
      </w:r>
    </w:p>
    <w:p>
      <w:pPr>
        <w:pStyle w:val="PreformattedText"/>
        <w:rPr/>
      </w:pPr>
      <w:r>
        <w:rPr/>
        <w:t xml:space="preserve">        </w:t>
      </w:r>
      <w:r>
        <w:rPr/>
        <w:t>Deferred tax asset                                                              10,534               9,711</w:t>
      </w:r>
    </w:p>
    <w:p>
      <w:pPr>
        <w:pStyle w:val="PreformattedText"/>
        <w:rPr/>
      </w:pPr>
      <w:r>
        <w:rPr/>
        <w:t xml:space="preserve">        </w:t>
      </w:r>
      <w:r>
        <w:rPr/>
        <w:t>Prepaid expenses and other assets                                                1,998               2,321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Total current assets                                                   114,262             111,697</w:t>
      </w:r>
    </w:p>
    <w:p>
      <w:pPr>
        <w:pStyle w:val="PreformattedText"/>
        <w:rPr/>
      </w:pPr>
      <w:r>
        <w:rPr/>
        <w:t xml:space="preserve">    </w:t>
      </w:r>
      <w:r>
        <w:rPr/>
        <w:t>Investment in unconsolidated affiliate                                              17,348              16,101</w:t>
      </w:r>
    </w:p>
    <w:p>
      <w:pPr>
        <w:pStyle w:val="PreformattedText"/>
        <w:rPr/>
      </w:pPr>
      <w:r>
        <w:rPr/>
        <w:t xml:space="preserve">    </w:t>
      </w:r>
      <w:r>
        <w:rPr/>
        <w:t>Property and equipment, net                                                         26,964              25,846</w:t>
      </w:r>
    </w:p>
    <w:p>
      <w:pPr>
        <w:pStyle w:val="PreformattedText"/>
        <w:rPr/>
      </w:pPr>
      <w:r>
        <w:rPr/>
        <w:t xml:space="preserve">    </w:t>
      </w:r>
      <w:r>
        <w:rPr/>
        <w:t>Deferred tax asset, non-current                                                      4,012               4,946</w:t>
      </w:r>
    </w:p>
    <w:p>
      <w:pPr>
        <w:pStyle w:val="PreformattedText"/>
        <w:rPr/>
      </w:pPr>
      <w:r>
        <w:rPr/>
        <w:t xml:space="preserve">    </w:t>
      </w:r>
      <w:r>
        <w:rPr/>
        <w:t>Other assets, net                                                                    2,862               5,732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Total assets                                                          $165,448            $164,322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============================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    </w:t>
      </w:r>
      <w:r>
        <w:rPr/>
        <w:t>Accounts payable and other accrued expenses                                   $ 18,988            $ 14,947</w:t>
      </w:r>
    </w:p>
    <w:p>
      <w:pPr>
        <w:pStyle w:val="PreformattedText"/>
        <w:rPr/>
      </w:pPr>
      <w:r>
        <w:rPr/>
        <w:t xml:space="preserve">        </w:t>
      </w:r>
      <w:r>
        <w:rPr/>
        <w:t>Customer layaway deposits                                                        1,672               1,645</w:t>
      </w:r>
    </w:p>
    <w:p>
      <w:pPr>
        <w:pStyle w:val="PreformattedText"/>
        <w:rPr/>
      </w:pPr>
      <w:r>
        <w:rPr/>
        <w:t xml:space="preserve">        </w:t>
      </w:r>
      <w:r>
        <w:rPr/>
        <w:t>Federal income taxes payable                                                       648               2,043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Total current liabilities                                               21,308              18,635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Long-term debt                                                                       7,000              25,000</w:t>
      </w:r>
    </w:p>
    <w:p>
      <w:pPr>
        <w:pStyle w:val="PreformattedText"/>
        <w:rPr/>
      </w:pPr>
      <w:r>
        <w:rPr/>
        <w:t xml:space="preserve">    </w:t>
      </w:r>
      <w:r>
        <w:rPr/>
        <w:t>Deferred gains and other long-term liabilities                                       3,597               3,958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Total long-term liabilities                                             10,597              28,958</w:t>
      </w:r>
    </w:p>
    <w:p>
      <w:pPr>
        <w:pStyle w:val="PreformattedText"/>
        <w:rPr/>
      </w:pPr>
      <w:r>
        <w:rPr/>
        <w:t xml:space="preserve">    </w:t>
      </w:r>
      <w:r>
        <w:rPr/>
        <w:t>Total stockholders' equity                                                         133,543             116,729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Total liabilities and stockholders' equity                            $165,448            $164,322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balance per ending pawn store                                               $    189            $    175</w:t>
      </w:r>
    </w:p>
    <w:p>
      <w:pPr>
        <w:pStyle w:val="PreformattedText"/>
        <w:rPr/>
      </w:pPr>
      <w:r>
        <w:rPr/>
        <w:t>Inventory per ending pawn store                                                       $    108            $    109</w:t>
      </w:r>
    </w:p>
    <w:p>
      <w:pPr>
        <w:pStyle w:val="PreformattedText"/>
        <w:rPr/>
      </w:pPr>
      <w:r>
        <w:rPr/>
        <w:t>Book value per share                                                                  $  10.39            $   9.44</w:t>
      </w:r>
    </w:p>
    <w:p>
      <w:pPr>
        <w:pStyle w:val="PreformattedText"/>
        <w:rPr/>
      </w:pPr>
      <w:r>
        <w:rPr/>
        <w:t>Tangible book value per share                                                         $  10.21            $   9.23</w:t>
      </w:r>
    </w:p>
    <w:p>
      <w:pPr>
        <w:pStyle w:val="PreformattedText"/>
        <w:rPr/>
      </w:pPr>
      <w:r>
        <w:rPr/>
        <w:t>Pawn store count - end of period                                                           280                 280</w:t>
      </w:r>
    </w:p>
    <w:p>
      <w:pPr>
        <w:pStyle w:val="PreformattedText"/>
        <w:rPr/>
      </w:pPr>
      <w:r>
        <w:rPr/>
        <w:t>Mono-line payday loan store count - end of period                                          234                 125</w:t>
      </w:r>
    </w:p>
    <w:p>
      <w:pPr>
        <w:pStyle w:val="PreformattedText"/>
        <w:rPr/>
      </w:pPr>
      <w:r>
        <w:rPr/>
        <w:t>Shares outstanding - end of period                                                      12,859              12,362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5</Pages>
  <Words>1629</Words>
  <CharactersWithSpaces>22046</CharactersWithSpaces>
  <Paragraphs>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