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125730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76835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7" w:lineRule="exact"/>
        <w:rPr>
          <w:sz w:val="24"/>
          <w:szCs w:val="24"/>
          <w:color w:val="auto"/>
        </w:rPr>
      </w:pPr>
    </w:p>
    <w:p>
      <w:pPr>
        <w:ind w:left="3360" w:right="760" w:hanging="2740"/>
        <w:spacing w:after="0" w:line="408" w:lineRule="auto"/>
        <w:tabs>
          <w:tab w:leader="none" w:pos="1205"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2022 or</w:t>
      </w:r>
    </w:p>
    <w:p>
      <w:pPr>
        <w:spacing w:after="0" w:line="41"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1"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-5080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54610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EZCORP, INC.</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72" w:lineRule="exact"/>
        <w:rPr>
          <w:sz w:val="24"/>
          <w:szCs w:val="24"/>
          <w:color w:val="auto"/>
        </w:rPr>
      </w:pPr>
    </w:p>
    <w:tbl>
      <w:tblPr>
        <w:tblLayout w:type="fixed"/>
        <w:tblInd w:w="266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92"/>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72"/>
        </w:trPr>
        <w:tc>
          <w:tcPr>
            <w:tcW w:w="3940" w:type="dxa"/>
            <w:vAlign w:val="bottom"/>
            <w:gridSpan w:val="2"/>
            <w:vMerge w:val="continue"/>
          </w:tcPr>
          <w:p>
            <w:pPr>
              <w:spacing w:after="0"/>
              <w:rPr>
                <w:sz w:val="14"/>
                <w:szCs w:val="14"/>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90"/>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128905</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9" w:lineRule="exact"/>
        <w:rPr>
          <w:sz w:val="24"/>
          <w:szCs w:val="24"/>
          <w:color w:val="auto"/>
        </w:rPr>
      </w:pPr>
    </w:p>
    <w:tbl>
      <w:tblPr>
        <w:tblLayout w:type="fixed"/>
        <w:tblInd w:w="1000" w:type="dxa"/>
        <w:tblCellMar>
          <w:top w:w="0" w:type="dxa"/>
          <w:left w:w="0" w:type="dxa"/>
          <w:bottom w:w="0" w:type="dxa"/>
          <w:right w:w="0" w:type="dxa"/>
        </w:tblCellMar>
      </w:tblPr>
      <w:tr>
        <w:trPr>
          <w:trHeight w:val="196"/>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38" w:lineRule="exact"/>
        <w:rPr>
          <w:sz w:val="24"/>
          <w:szCs w:val="24"/>
          <w:color w:val="auto"/>
        </w:rPr>
      </w:pPr>
    </w:p>
    <w:p>
      <w:pPr>
        <w:jc w:val="both"/>
        <w:ind w:right="60"/>
        <w:spacing w:after="0" w:line="25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jc w:val="both"/>
        <w:ind w:right="54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26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2"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99" w:lineRule="exact"/>
        <w:rPr>
          <w:sz w:val="24"/>
          <w:szCs w:val="24"/>
          <w:color w:val="auto"/>
        </w:rPr>
      </w:pPr>
    </w:p>
    <w:p>
      <w:pPr>
        <w:spacing w:after="0" w:line="278" w:lineRule="auto"/>
        <w:rPr>
          <w:sz w:val="20"/>
          <w:szCs w:val="20"/>
          <w:color w:val="auto"/>
        </w:rPr>
      </w:pPr>
      <w:r>
        <w:rPr>
          <w:rFonts w:ascii="Arial" w:cs="Arial" w:eastAsia="Arial" w:hAnsi="Arial"/>
          <w:sz w:val="14"/>
          <w:szCs w:val="14"/>
          <w:color w:val="auto"/>
        </w:rPr>
        <w:t>As of January 27, 2023, 52,680,840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2" w:right="37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40" w:type="dxa"/>
            <w:vAlign w:val="bottom"/>
            <w:gridSpan w:val="10"/>
          </w:tcPr>
          <w:p>
            <w:pPr>
              <w:jc w:val="center"/>
              <w:ind w:right="3860"/>
              <w:spacing w:after="0"/>
              <w:rPr>
                <w:sz w:val="20"/>
                <w:szCs w:val="20"/>
                <w:color w:val="auto"/>
              </w:rPr>
            </w:pPr>
            <w:r>
              <w:rPr>
                <w:rFonts w:ascii="Arial" w:cs="Arial" w:eastAsia="Arial" w:hAnsi="Arial"/>
                <w:sz w:val="18"/>
                <w:szCs w:val="18"/>
                <w:b w:val="1"/>
                <w:bCs w:val="1"/>
                <w:color w:val="auto"/>
                <w:w w:val="98"/>
              </w:rPr>
              <w:t>EZCORP, Inc.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80" w:type="dxa"/>
            <w:vAlign w:val="bottom"/>
            <w:gridSpan w:val="11"/>
          </w:tcPr>
          <w:p>
            <w:pPr>
              <w:jc w:val="center"/>
              <w:ind w:right="3240"/>
              <w:spacing w:after="0"/>
              <w:rPr>
                <w:sz w:val="20"/>
                <w:szCs w:val="20"/>
                <w:color w:val="auto"/>
              </w:rPr>
            </w:pPr>
            <w:r>
              <w:rPr>
                <w:rFonts w:ascii="Arial" w:cs="Arial" w:eastAsia="Arial" w:hAnsi="Arial"/>
                <w:sz w:val="18"/>
                <w:szCs w:val="18"/>
                <w:b w:val="1"/>
                <w:bCs w:val="1"/>
                <w:color w:val="auto"/>
                <w:w w:val="99"/>
              </w:rPr>
              <w:t>INDEX TO FORM 10-Q</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60" w:type="dxa"/>
            <w:vAlign w:val="bottom"/>
            <w:gridSpan w:val="27"/>
          </w:tcPr>
          <w:p>
            <w:pPr>
              <w:spacing w:after="0"/>
              <w:rPr>
                <w:sz w:val="20"/>
                <w:szCs w:val="20"/>
                <w:color w:val="auto"/>
              </w:rPr>
            </w:pPr>
            <w:r>
              <w:rPr>
                <w:rFonts w:ascii="Arial" w:cs="Arial" w:eastAsia="Arial" w:hAnsi="Arial"/>
                <w:sz w:val="18"/>
                <w:szCs w:val="18"/>
                <w:color w:val="0000FF"/>
              </w:rPr>
              <w:t>PART I — FINANCIAL INFORMATION</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300" w:type="dxa"/>
            <w:vAlign w:val="bottom"/>
            <w:tcBorders>
              <w:top w:val="single" w:sz="8" w:color="0000FF"/>
              <w:bottom w:val="single" w:sz="8" w:color="0000FF"/>
            </w:tcBorders>
            <w:gridSpan w:val="8"/>
          </w:tcPr>
          <w:p>
            <w:pPr>
              <w:ind w:left="20"/>
              <w:spacing w:after="0"/>
              <w:rPr>
                <w:sz w:val="20"/>
                <w:szCs w:val="20"/>
                <w:color w:val="auto"/>
              </w:rPr>
            </w:pPr>
            <w:r>
              <w:rPr>
                <w:rFonts w:ascii="Arial" w:cs="Arial" w:eastAsia="Arial" w:hAnsi="Arial"/>
                <w:sz w:val="18"/>
                <w:szCs w:val="18"/>
                <w:color w:val="0000FF"/>
                <w:w w:val="99"/>
              </w:rPr>
              <w:t>Item 1. Financial Statements</w:t>
            </w:r>
          </w:p>
        </w:tc>
        <w:tc>
          <w:tcPr>
            <w:tcW w:w="460" w:type="dxa"/>
            <w:vAlign w:val="bottom"/>
            <w:tcBorders>
              <w:top w:val="single" w:sz="8" w:color="0000FF"/>
            </w:tcBorders>
            <w:gridSpan w:val="3"/>
          </w:tcPr>
          <w:p>
            <w:pPr>
              <w:spacing w:after="0"/>
              <w:rPr>
                <w:sz w:val="18"/>
                <w:szCs w:val="18"/>
                <w:color w:val="auto"/>
              </w:rPr>
            </w:pPr>
          </w:p>
        </w:tc>
        <w:tc>
          <w:tcPr>
            <w:tcW w:w="6980" w:type="dxa"/>
            <w:vAlign w:val="bottom"/>
            <w:gridSpan w:val="15"/>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gridSpan w:val="25"/>
          </w:tcPr>
          <w:p>
            <w:pPr>
              <w:spacing w:after="0"/>
              <w:rPr>
                <w:sz w:val="20"/>
                <w:szCs w:val="20"/>
                <w:color w:val="auto"/>
              </w:rPr>
            </w:pPr>
            <w:r>
              <w:rPr>
                <w:rFonts w:ascii="Arial" w:cs="Arial" w:eastAsia="Arial" w:hAnsi="Arial"/>
                <w:sz w:val="18"/>
                <w:szCs w:val="18"/>
                <w:color w:val="0000FF"/>
              </w:rPr>
              <w:t>Condensed Consolidated Balance Sheets as of December 31, 2022 and 2021 (Unaudited) and September 30,2022</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Operations for the Three Months Ended December 31, 2022 and 2021</w:t>
            </w:r>
          </w:p>
        </w:tc>
        <w:tc>
          <w:tcPr>
            <w:tcW w:w="240" w:type="dxa"/>
            <w:vAlign w:val="bottom"/>
          </w:tcPr>
          <w:p>
            <w:pPr>
              <w:spacing w:after="0"/>
              <w:rPr>
                <w:sz w:val="18"/>
                <w:szCs w:val="18"/>
                <w:color w:val="auto"/>
              </w:rPr>
            </w:pPr>
          </w:p>
        </w:tc>
        <w:tc>
          <w:tcPr>
            <w:tcW w:w="116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top w:val="single" w:sz="8" w:color="0000FF"/>
            </w:tcBorders>
            <w:gridSpan w:val="3"/>
            <w:vMerge w:val="restart"/>
          </w:tcPr>
          <w:p>
            <w:pPr>
              <w:spacing w:after="0" w:line="156" w:lineRule="exact"/>
              <w:rPr>
                <w:sz w:val="20"/>
                <w:szCs w:val="20"/>
                <w:color w:val="auto"/>
              </w:rPr>
            </w:pPr>
            <w:r>
              <w:rPr>
                <w:rFonts w:ascii="Arial" w:cs="Arial" w:eastAsia="Arial" w:hAnsi="Arial"/>
                <w:sz w:val="18"/>
                <w:szCs w:val="18"/>
                <w:color w:val="0000FF"/>
                <w:w w:val="97"/>
              </w:rPr>
              <w:t>(Unaudited)</w:t>
            </w:r>
          </w:p>
        </w:tc>
        <w:tc>
          <w:tcPr>
            <w:tcW w:w="7880" w:type="dxa"/>
            <w:vAlign w:val="bottom"/>
            <w:tcBorders>
              <w:top w:val="single" w:sz="8" w:color="0000FF"/>
            </w:tcBorders>
            <w:gridSpan w:val="18"/>
            <w:vMerge w:val="restart"/>
          </w:tcPr>
          <w:p>
            <w:pPr>
              <w:spacing w:after="0"/>
              <w:rPr>
                <w:sz w:val="6"/>
                <w:szCs w:val="6"/>
                <w:color w:val="auto"/>
              </w:rPr>
            </w:pPr>
          </w:p>
        </w:tc>
        <w:tc>
          <w:tcPr>
            <w:tcW w:w="580" w:type="dxa"/>
            <w:vAlign w:val="bottom"/>
            <w:gridSpan w:val="4"/>
            <w:vMerge w:val="restart"/>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top w:val="single" w:sz="8" w:color="0000FF"/>
              <w:bottom w:val="single" w:sz="8" w:color="0000FF"/>
            </w:tcBorders>
            <w:gridSpan w:val="3"/>
            <w:vMerge w:val="continue"/>
          </w:tcPr>
          <w:p>
            <w:pPr>
              <w:spacing w:after="0"/>
              <w:rPr>
                <w:sz w:val="5"/>
                <w:szCs w:val="5"/>
                <w:color w:val="auto"/>
              </w:rPr>
            </w:pPr>
          </w:p>
        </w:tc>
        <w:tc>
          <w:tcPr>
            <w:tcW w:w="7880" w:type="dxa"/>
            <w:vAlign w:val="bottom"/>
            <w:tcBorders>
              <w:top w:val="single" w:sz="8" w:color="0000FF"/>
            </w:tcBorders>
            <w:gridSpan w:val="18"/>
            <w:vMerge w:val="continue"/>
          </w:tcPr>
          <w:p>
            <w:pPr>
              <w:spacing w:after="0"/>
              <w:rPr>
                <w:sz w:val="5"/>
                <w:szCs w:val="5"/>
                <w:color w:val="auto"/>
              </w:rPr>
            </w:pPr>
          </w:p>
        </w:tc>
        <w:tc>
          <w:tcPr>
            <w:tcW w:w="58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Condensed Consolidated Statements of Comprehensive Income for the Three Months Ended December 31, 2022 and</w:t>
            </w:r>
          </w:p>
        </w:tc>
        <w:tc>
          <w:tcPr>
            <w:tcW w:w="116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0" w:type="dxa"/>
            <w:vAlign w:val="bottom"/>
            <w:gridSpan w:val="25"/>
            <w:vMerge w:val="restart"/>
          </w:tcPr>
          <w:p>
            <w:pPr>
              <w:spacing w:after="0" w:line="156" w:lineRule="exact"/>
              <w:rPr>
                <w:sz w:val="20"/>
                <w:szCs w:val="20"/>
                <w:color w:val="auto"/>
              </w:rPr>
            </w:pPr>
            <w:r>
              <w:rPr>
                <w:rFonts w:ascii="Arial" w:cs="Arial" w:eastAsia="Arial" w:hAnsi="Arial"/>
                <w:sz w:val="18"/>
                <w:szCs w:val="18"/>
                <w:color w:val="0000FF"/>
              </w:rPr>
              <w:t>2021 (Unaudited)</w:t>
            </w:r>
          </w:p>
        </w:tc>
        <w:tc>
          <w:tcPr>
            <w:tcW w:w="11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0" w:type="dxa"/>
            <w:vAlign w:val="bottom"/>
            <w:gridSpan w:val="25"/>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Condensed Consolidated Statements of Stockholders’ Equity for the Periods Ended December 31, 2022 and 2021</w:t>
            </w:r>
          </w:p>
        </w:tc>
        <w:tc>
          <w:tcPr>
            <w:tcW w:w="320" w:type="dxa"/>
            <w:vAlign w:val="bottom"/>
            <w:gridSpan w:val="2"/>
          </w:tcPr>
          <w:p>
            <w:pPr>
              <w:spacing w:after="0"/>
              <w:rPr>
                <w:sz w:val="19"/>
                <w:szCs w:val="19"/>
                <w:color w:val="auto"/>
              </w:rPr>
            </w:pPr>
          </w:p>
        </w:tc>
        <w:tc>
          <w:tcPr>
            <w:tcW w:w="116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3"/>
            <w:vMerge w:val="restart"/>
          </w:tcPr>
          <w:p>
            <w:pPr>
              <w:spacing w:after="0" w:line="156" w:lineRule="exact"/>
              <w:rPr>
                <w:sz w:val="20"/>
                <w:szCs w:val="20"/>
                <w:color w:val="auto"/>
              </w:rPr>
            </w:pPr>
            <w:r>
              <w:rPr>
                <w:rFonts w:ascii="Arial" w:cs="Arial" w:eastAsia="Arial" w:hAnsi="Arial"/>
                <w:sz w:val="18"/>
                <w:szCs w:val="18"/>
                <w:color w:val="0000FF"/>
                <w:w w:val="97"/>
              </w:rPr>
              <w:t>(Unaudited)</w:t>
            </w:r>
          </w:p>
        </w:tc>
        <w:tc>
          <w:tcPr>
            <w:tcW w:w="8460" w:type="dxa"/>
            <w:vAlign w:val="bottom"/>
            <w:gridSpan w:val="22"/>
            <w:vMerge w:val="restart"/>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bottom w:val="single" w:sz="8" w:color="0000FF"/>
            </w:tcBorders>
            <w:gridSpan w:val="3"/>
            <w:vMerge w:val="continue"/>
          </w:tcPr>
          <w:p>
            <w:pPr>
              <w:spacing w:after="0"/>
              <w:rPr>
                <w:sz w:val="5"/>
                <w:szCs w:val="5"/>
                <w:color w:val="auto"/>
              </w:rPr>
            </w:pPr>
          </w:p>
        </w:tc>
        <w:tc>
          <w:tcPr>
            <w:tcW w:w="8460" w:type="dxa"/>
            <w:vAlign w:val="bottom"/>
            <w:gridSpan w:val="22"/>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Cash Flows for the Three Months Ended December 31, 2022 and 2021</w:t>
            </w:r>
          </w:p>
        </w:tc>
        <w:tc>
          <w:tcPr>
            <w:tcW w:w="116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top w:val="single" w:sz="8" w:color="0000FF"/>
            </w:tcBorders>
            <w:gridSpan w:val="3"/>
            <w:vMerge w:val="restart"/>
          </w:tcPr>
          <w:p>
            <w:pPr>
              <w:spacing w:after="0" w:line="156" w:lineRule="exact"/>
              <w:rPr>
                <w:sz w:val="20"/>
                <w:szCs w:val="20"/>
                <w:color w:val="auto"/>
              </w:rPr>
            </w:pPr>
            <w:r>
              <w:rPr>
                <w:rFonts w:ascii="Arial" w:cs="Arial" w:eastAsia="Arial" w:hAnsi="Arial"/>
                <w:sz w:val="18"/>
                <w:szCs w:val="18"/>
                <w:color w:val="0000FF"/>
                <w:w w:val="97"/>
              </w:rPr>
              <w:t>(Unaudited)</w:t>
            </w:r>
          </w:p>
        </w:tc>
        <w:tc>
          <w:tcPr>
            <w:tcW w:w="7940" w:type="dxa"/>
            <w:vAlign w:val="bottom"/>
            <w:tcBorders>
              <w:top w:val="single" w:sz="8" w:color="0000FF"/>
            </w:tcBorders>
            <w:gridSpan w:val="19"/>
            <w:vMerge w:val="restart"/>
          </w:tcPr>
          <w:p>
            <w:pPr>
              <w:spacing w:after="0"/>
              <w:rPr>
                <w:sz w:val="6"/>
                <w:szCs w:val="6"/>
                <w:color w:val="auto"/>
              </w:rPr>
            </w:pPr>
          </w:p>
        </w:tc>
        <w:tc>
          <w:tcPr>
            <w:tcW w:w="520" w:type="dxa"/>
            <w:vAlign w:val="bottom"/>
            <w:gridSpan w:val="3"/>
            <w:vMerge w:val="restart"/>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top w:val="single" w:sz="8" w:color="0000FF"/>
              <w:bottom w:val="single" w:sz="8" w:color="0000FF"/>
            </w:tcBorders>
            <w:gridSpan w:val="3"/>
            <w:vMerge w:val="continue"/>
          </w:tcPr>
          <w:p>
            <w:pPr>
              <w:spacing w:after="0"/>
              <w:rPr>
                <w:sz w:val="5"/>
                <w:szCs w:val="5"/>
                <w:color w:val="auto"/>
              </w:rPr>
            </w:pPr>
          </w:p>
        </w:tc>
        <w:tc>
          <w:tcPr>
            <w:tcW w:w="7940" w:type="dxa"/>
            <w:vAlign w:val="bottom"/>
            <w:tcBorders>
              <w:top w:val="single" w:sz="8" w:color="0000FF"/>
            </w:tcBorders>
            <w:gridSpan w:val="19"/>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60" w:type="dxa"/>
            <w:vAlign w:val="bottom"/>
            <w:gridSpan w:val="19"/>
          </w:tcPr>
          <w:p>
            <w:pPr>
              <w:spacing w:after="0"/>
              <w:rPr>
                <w:sz w:val="20"/>
                <w:szCs w:val="20"/>
                <w:color w:val="auto"/>
              </w:rPr>
            </w:pPr>
            <w:r>
              <w:rPr>
                <w:rFonts w:ascii="Arial" w:cs="Arial" w:eastAsia="Arial" w:hAnsi="Arial"/>
                <w:sz w:val="18"/>
                <w:szCs w:val="18"/>
                <w:color w:val="0000FF"/>
                <w:w w:val="99"/>
              </w:rPr>
              <w:t>Notes to Interim Condensed Consolidated Financial Statements (Unaudited)</w:t>
            </w:r>
          </w:p>
        </w:tc>
        <w:tc>
          <w:tcPr>
            <w:tcW w:w="3340" w:type="dxa"/>
            <w:vAlign w:val="bottom"/>
            <w:gridSpan w:val="6"/>
          </w:tcPr>
          <w:p>
            <w:pPr>
              <w:spacing w:after="0"/>
              <w:rPr>
                <w:sz w:val="19"/>
                <w:szCs w:val="1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18"/>
          </w:tcPr>
          <w:p>
            <w:pPr>
              <w:spacing w:after="0"/>
              <w:rPr>
                <w:sz w:val="20"/>
                <w:szCs w:val="20"/>
                <w:color w:val="auto"/>
              </w:rPr>
            </w:pPr>
            <w:r>
              <w:rPr>
                <w:rFonts w:ascii="Arial" w:cs="Arial" w:eastAsia="Arial" w:hAnsi="Arial"/>
                <w:sz w:val="18"/>
                <w:szCs w:val="18"/>
                <w:color w:val="0000FF"/>
              </w:rPr>
              <w:t>Note 1: Organization and Summary of Significant Accounting Policies</w:t>
            </w:r>
          </w:p>
        </w:tc>
        <w:tc>
          <w:tcPr>
            <w:tcW w:w="3340" w:type="dxa"/>
            <w:vAlign w:val="bottom"/>
            <w:gridSpan w:val="6"/>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0000FF"/>
                <w:w w:val="93"/>
              </w:rPr>
              <w:t>Note 2: Goodwill</w:t>
            </w:r>
          </w:p>
        </w:tc>
        <w:tc>
          <w:tcPr>
            <w:tcW w:w="4180" w:type="dxa"/>
            <w:vAlign w:val="bottom"/>
            <w:gridSpan w:val="12"/>
          </w:tcPr>
          <w:p>
            <w:pPr>
              <w:spacing w:after="0"/>
              <w:rPr>
                <w:sz w:val="18"/>
                <w:szCs w:val="18"/>
                <w:color w:val="auto"/>
              </w:rPr>
            </w:pPr>
          </w:p>
        </w:tc>
        <w:tc>
          <w:tcPr>
            <w:tcW w:w="3460" w:type="dxa"/>
            <w:vAlign w:val="bottom"/>
            <w:gridSpan w:val="7"/>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0000FF"/>
                <w:w w:val="96"/>
              </w:rPr>
              <w:t>Note 3: Earnings Per Share</w:t>
            </w:r>
          </w:p>
        </w:tc>
        <w:tc>
          <w:tcPr>
            <w:tcW w:w="6760" w:type="dxa"/>
            <w:vAlign w:val="bottom"/>
            <w:gridSpan w:val="14"/>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0000FF"/>
              </w:rPr>
              <w:t>Note 4: Leases</w:t>
            </w:r>
          </w:p>
        </w:tc>
        <w:tc>
          <w:tcPr>
            <w:tcW w:w="6760" w:type="dxa"/>
            <w:vAlign w:val="bottom"/>
            <w:gridSpan w:val="14"/>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gridSpan w:val="11"/>
          </w:tcPr>
          <w:p>
            <w:pPr>
              <w:spacing w:after="0"/>
              <w:rPr>
                <w:sz w:val="20"/>
                <w:szCs w:val="20"/>
                <w:color w:val="auto"/>
              </w:rPr>
            </w:pPr>
            <w:r>
              <w:rPr>
                <w:rFonts w:ascii="Arial" w:cs="Arial" w:eastAsia="Arial" w:hAnsi="Arial"/>
                <w:sz w:val="18"/>
                <w:szCs w:val="18"/>
                <w:color w:val="0000FF"/>
                <w:w w:val="95"/>
              </w:rPr>
              <w:t>Note 5: Strategic Investments</w:t>
            </w:r>
          </w:p>
        </w:tc>
        <w:tc>
          <w:tcPr>
            <w:tcW w:w="6600" w:type="dxa"/>
            <w:vAlign w:val="bottom"/>
            <w:gridSpan w:val="13"/>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gridSpan w:val="12"/>
          </w:tcPr>
          <w:p>
            <w:pPr>
              <w:spacing w:after="0"/>
              <w:rPr>
                <w:sz w:val="20"/>
                <w:szCs w:val="20"/>
                <w:color w:val="auto"/>
              </w:rPr>
            </w:pPr>
            <w:r>
              <w:rPr>
                <w:rFonts w:ascii="Arial" w:cs="Arial" w:eastAsia="Arial" w:hAnsi="Arial"/>
                <w:sz w:val="18"/>
                <w:szCs w:val="18"/>
                <w:color w:val="0000FF"/>
                <w:w w:val="96"/>
              </w:rPr>
              <w:t>Note 6: Fair Value Measurements</w:t>
            </w:r>
          </w:p>
        </w:tc>
        <w:tc>
          <w:tcPr>
            <w:tcW w:w="6280" w:type="dxa"/>
            <w:vAlign w:val="bottom"/>
            <w:gridSpan w:val="12"/>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gridSpan w:val="12"/>
          </w:tcPr>
          <w:p>
            <w:pPr>
              <w:spacing w:after="0"/>
              <w:rPr>
                <w:sz w:val="20"/>
                <w:szCs w:val="20"/>
                <w:color w:val="auto"/>
              </w:rPr>
            </w:pPr>
            <w:r>
              <w:rPr>
                <w:rFonts w:ascii="Arial" w:cs="Arial" w:eastAsia="Arial" w:hAnsi="Arial"/>
                <w:sz w:val="18"/>
                <w:szCs w:val="18"/>
                <w:color w:val="0000FF"/>
              </w:rPr>
              <w:t>Note 7: Debt</w:t>
            </w:r>
          </w:p>
        </w:tc>
        <w:tc>
          <w:tcPr>
            <w:tcW w:w="6280" w:type="dxa"/>
            <w:vAlign w:val="bottom"/>
            <w:gridSpan w:val="12"/>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60" w:type="dxa"/>
            <w:vAlign w:val="bottom"/>
            <w:gridSpan w:val="14"/>
          </w:tcPr>
          <w:p>
            <w:pPr>
              <w:spacing w:after="0"/>
              <w:rPr>
                <w:sz w:val="20"/>
                <w:szCs w:val="20"/>
                <w:color w:val="auto"/>
              </w:rPr>
            </w:pPr>
            <w:r>
              <w:rPr>
                <w:rFonts w:ascii="Arial" w:cs="Arial" w:eastAsia="Arial" w:hAnsi="Arial"/>
                <w:sz w:val="18"/>
                <w:szCs w:val="18"/>
                <w:color w:val="0000FF"/>
                <w:w w:val="97"/>
              </w:rPr>
              <w:t>Note 8: Common Stock and Stock Compensation</w:t>
            </w:r>
          </w:p>
        </w:tc>
        <w:tc>
          <w:tcPr>
            <w:tcW w:w="5040" w:type="dxa"/>
            <w:vAlign w:val="bottom"/>
            <w:gridSpan w:val="10"/>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gridSpan w:val="13"/>
          </w:tcPr>
          <w:p>
            <w:pPr>
              <w:spacing w:after="0"/>
              <w:rPr>
                <w:sz w:val="20"/>
                <w:szCs w:val="20"/>
                <w:color w:val="auto"/>
              </w:rPr>
            </w:pPr>
            <w:r>
              <w:rPr>
                <w:rFonts w:ascii="Arial" w:cs="Arial" w:eastAsia="Arial" w:hAnsi="Arial"/>
                <w:sz w:val="18"/>
                <w:szCs w:val="18"/>
                <w:color w:val="0000FF"/>
                <w:w w:val="97"/>
              </w:rPr>
              <w:t>Note 9: Commitments and Contingencies</w:t>
            </w:r>
          </w:p>
        </w:tc>
        <w:tc>
          <w:tcPr>
            <w:tcW w:w="640" w:type="dxa"/>
            <w:vAlign w:val="bottom"/>
          </w:tcPr>
          <w:p>
            <w:pPr>
              <w:spacing w:after="0"/>
              <w:rPr>
                <w:sz w:val="18"/>
                <w:szCs w:val="18"/>
                <w:color w:val="auto"/>
              </w:rPr>
            </w:pPr>
          </w:p>
        </w:tc>
        <w:tc>
          <w:tcPr>
            <w:tcW w:w="5040" w:type="dxa"/>
            <w:vAlign w:val="bottom"/>
            <w:gridSpan w:val="10"/>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gridSpan w:val="11"/>
          </w:tcPr>
          <w:p>
            <w:pPr>
              <w:spacing w:after="0"/>
              <w:rPr>
                <w:sz w:val="20"/>
                <w:szCs w:val="20"/>
                <w:color w:val="auto"/>
              </w:rPr>
            </w:pPr>
            <w:r>
              <w:rPr>
                <w:rFonts w:ascii="Arial" w:cs="Arial" w:eastAsia="Arial" w:hAnsi="Arial"/>
                <w:sz w:val="18"/>
                <w:szCs w:val="18"/>
                <w:color w:val="0000FF"/>
                <w:w w:val="94"/>
              </w:rPr>
              <w:t>Note 10: Segment Information</w:t>
            </w:r>
          </w:p>
        </w:tc>
        <w:tc>
          <w:tcPr>
            <w:tcW w:w="920" w:type="dxa"/>
            <w:vAlign w:val="bottom"/>
            <w:gridSpan w:val="2"/>
          </w:tcPr>
          <w:p>
            <w:pPr>
              <w:spacing w:after="0"/>
              <w:rPr>
                <w:sz w:val="18"/>
                <w:szCs w:val="18"/>
                <w:color w:val="auto"/>
              </w:rPr>
            </w:pPr>
          </w:p>
        </w:tc>
        <w:tc>
          <w:tcPr>
            <w:tcW w:w="5680" w:type="dxa"/>
            <w:vAlign w:val="bottom"/>
            <w:gridSpan w:val="11"/>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gridSpan w:val="16"/>
          </w:tcPr>
          <w:p>
            <w:pPr>
              <w:spacing w:after="0"/>
              <w:rPr>
                <w:sz w:val="20"/>
                <w:szCs w:val="20"/>
                <w:color w:val="auto"/>
              </w:rPr>
            </w:pPr>
            <w:r>
              <w:rPr>
                <w:rFonts w:ascii="Arial" w:cs="Arial" w:eastAsia="Arial" w:hAnsi="Arial"/>
                <w:sz w:val="18"/>
                <w:szCs w:val="18"/>
                <w:color w:val="0000FF"/>
                <w:w w:val="98"/>
              </w:rPr>
              <w:t>Note 11: Supplemental Consolidated Financial Information</w:t>
            </w:r>
          </w:p>
        </w:tc>
        <w:tc>
          <w:tcPr>
            <w:tcW w:w="4300" w:type="dxa"/>
            <w:vAlign w:val="bottom"/>
            <w:gridSpan w:val="8"/>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26"/>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440" w:type="dxa"/>
            <w:vAlign w:val="bottom"/>
            <w:tcBorders>
              <w:left w:val="single" w:sz="8" w:color="0000FF"/>
            </w:tcBorders>
            <w:gridSpan w:val="4"/>
            <w:shd w:val="clear" w:color="auto" w:fill="0000FF"/>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gridSpan w:val="21"/>
          </w:tcPr>
          <w:p>
            <w:pPr>
              <w:ind w:left="2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060" w:type="dxa"/>
            <w:vAlign w:val="bottom"/>
            <w:gridSpan w:val="5"/>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gridSpan w:val="17"/>
          </w:tcPr>
          <w:p>
            <w:pPr>
              <w:ind w:left="20"/>
              <w:spacing w:after="0"/>
              <w:rPr>
                <w:sz w:val="20"/>
                <w:szCs w:val="20"/>
                <w:color w:val="auto"/>
              </w:rPr>
            </w:pPr>
            <w:r>
              <w:rPr>
                <w:rFonts w:ascii="Arial" w:cs="Arial" w:eastAsia="Arial" w:hAnsi="Arial"/>
                <w:sz w:val="18"/>
                <w:szCs w:val="18"/>
                <w:color w:val="0000FF"/>
              </w:rPr>
              <w:t>Item 4. Controls and Procedures</w:t>
            </w:r>
          </w:p>
        </w:tc>
        <w:tc>
          <w:tcPr>
            <w:tcW w:w="4500" w:type="dxa"/>
            <w:vAlign w:val="bottom"/>
            <w:gridSpan w:val="9"/>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Arial" w:cs="Arial" w:eastAsia="Arial" w:hAnsi="Arial"/>
                <w:sz w:val="18"/>
                <w:szCs w:val="18"/>
                <w:color w:val="0000FF"/>
              </w:rPr>
              <w:t>PART II — OTHER INFORMATION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color w:val="0000FF"/>
              </w:rPr>
              <w:t>Item 1. Legal Proceedings</w:t>
            </w:r>
          </w:p>
        </w:tc>
        <w:tc>
          <w:tcPr>
            <w:tcW w:w="7240" w:type="dxa"/>
            <w:vAlign w:val="bottom"/>
            <w:gridSpan w:val="17"/>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7"/>
          </w:tcPr>
          <w:p>
            <w:pPr>
              <w:ind w:left="20"/>
              <w:spacing w:after="0"/>
              <w:rPr>
                <w:sz w:val="20"/>
                <w:szCs w:val="20"/>
                <w:color w:val="auto"/>
              </w:rPr>
            </w:pPr>
            <w:r>
              <w:rPr>
                <w:rFonts w:ascii="Arial" w:cs="Arial" w:eastAsia="Arial" w:hAnsi="Arial"/>
                <w:sz w:val="18"/>
                <w:szCs w:val="18"/>
                <w:color w:val="0000FF"/>
              </w:rPr>
              <w:t>Item 1A. Risk Factors</w:t>
            </w:r>
          </w:p>
        </w:tc>
        <w:tc>
          <w:tcPr>
            <w:tcW w:w="7640" w:type="dxa"/>
            <w:vAlign w:val="bottom"/>
            <w:gridSpan w:val="19"/>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520" w:type="dxa"/>
            <w:vAlign w:val="bottom"/>
            <w:gridSpan w:val="12"/>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gridSpan w:val="17"/>
          </w:tcPr>
          <w:p>
            <w:pPr>
              <w:ind w:left="20"/>
              <w:spacing w:after="0"/>
              <w:rPr>
                <w:sz w:val="20"/>
                <w:szCs w:val="20"/>
                <w:color w:val="auto"/>
              </w:rPr>
            </w:pPr>
            <w:r>
              <w:rPr>
                <w:rFonts w:ascii="Arial" w:cs="Arial" w:eastAsia="Arial" w:hAnsi="Arial"/>
                <w:sz w:val="18"/>
                <w:szCs w:val="18"/>
                <w:color w:val="0000FF"/>
                <w:w w:val="99"/>
              </w:rPr>
              <w:t>Item 2. Unregistered Sale of Equity Security and Use of Proceeds</w:t>
            </w:r>
          </w:p>
        </w:tc>
        <w:tc>
          <w:tcPr>
            <w:tcW w:w="4500" w:type="dxa"/>
            <w:vAlign w:val="bottom"/>
            <w:gridSpan w:val="9"/>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0000FF"/>
                <w:w w:val="97"/>
              </w:rPr>
              <w:t>Item 6. Exhibits</w:t>
            </w:r>
          </w:p>
        </w:tc>
        <w:tc>
          <w:tcPr>
            <w:tcW w:w="4000" w:type="dxa"/>
            <w:vAlign w:val="bottom"/>
            <w:gridSpan w:val="14"/>
          </w:tcPr>
          <w:p>
            <w:pPr>
              <w:spacing w:after="0"/>
              <w:rPr>
                <w:sz w:val="18"/>
                <w:szCs w:val="18"/>
                <w:color w:val="auto"/>
              </w:rPr>
            </w:pPr>
          </w:p>
        </w:tc>
        <w:tc>
          <w:tcPr>
            <w:tcW w:w="4500" w:type="dxa"/>
            <w:vAlign w:val="bottom"/>
            <w:gridSpan w:val="9"/>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500" w:type="dxa"/>
            <w:vAlign w:val="bottom"/>
            <w:gridSpan w:val="2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Arial" w:cs="Arial" w:eastAsia="Arial" w:hAnsi="Arial"/>
                <w:sz w:val="18"/>
                <w:szCs w:val="18"/>
                <w:color w:val="0000FF"/>
              </w:rPr>
              <w:t>SIGNATURES</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170"/>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6"/>
          </w:tcPr>
          <w:p>
            <w:pPr>
              <w:ind w:left="920"/>
              <w:spacing w:after="0" w:line="170" w:lineRule="exact"/>
              <w:rPr>
                <w:sz w:val="20"/>
                <w:szCs w:val="20"/>
                <w:color w:val="auto"/>
              </w:rPr>
            </w:pPr>
            <w:r>
              <w:rPr>
                <w:rFonts w:ascii="Arial" w:cs="Arial" w:eastAsia="Arial" w:hAnsi="Arial"/>
                <w:sz w:val="16"/>
                <w:szCs w:val="16"/>
                <w:color w:val="auto"/>
              </w:rPr>
              <w:t>(Unaudited)</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1"/>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9"/>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207,658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233,274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206,028</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8,359</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8,692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8,341</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209,855</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176,586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210,009</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34,921</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29,765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33,476</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156,064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119,313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151,615</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45,559</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31,209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34,694</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662,416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598,839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644,163</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37,789</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42,513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37,733</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39,220</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24,220</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55,612</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52,201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56,725</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230,554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221,586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297,361</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284,619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286,828</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58,029</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56,819</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Notes receivable,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1,224</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asset,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12,428</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12,145</w:t>
            </w: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7,682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5,851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w:t>
            </w:r>
          </w:p>
        </w:tc>
      </w:tr>
      <w:tr>
        <w:trPr>
          <w:trHeight w:val="22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1,402,315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1,280,321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1,347,878</w:t>
            </w:r>
          </w:p>
        </w:tc>
      </w:tr>
      <w:tr>
        <w:trPr>
          <w:trHeight w:val="412"/>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9"/>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69,930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75,531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84,509</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16,276</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13,142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16,023</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52,799</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51,843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52,334</w:t>
            </w: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139,005</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140,516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152,866</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358,984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311,844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312,903</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188,730</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161,841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180,756</w:t>
            </w: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10,261</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11,398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8,749</w:t>
            </w:r>
          </w:p>
        </w:tc>
      </w:tr>
      <w:tr>
        <w:trPr>
          <w:trHeight w:val="212"/>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696,980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625,820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655,647</w:t>
            </w:r>
          </w:p>
        </w:tc>
      </w:tr>
      <w:tr>
        <w:trPr>
          <w:trHeight w:val="210"/>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9)</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80"/>
        </w:trPr>
        <w:tc>
          <w:tcPr>
            <w:tcW w:w="6700" w:type="dxa"/>
            <w:vAlign w:val="bottom"/>
            <w:shd w:val="clear" w:color="auto" w:fill="CCEEFF"/>
          </w:tcPr>
          <w:p>
            <w:pPr>
              <w:ind w:left="480"/>
              <w:spacing w:after="0" w:line="181"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2"/>
        </w:trPr>
        <w:tc>
          <w:tcPr>
            <w:tcW w:w="6700" w:type="dxa"/>
            <w:vAlign w:val="bottom"/>
            <w:shd w:val="clear" w:color="auto" w:fill="CCEEFF"/>
          </w:tcPr>
          <w:p>
            <w:pPr>
              <w:ind w:left="480"/>
              <w:spacing w:after="0" w:line="162" w:lineRule="exact"/>
              <w:rPr>
                <w:sz w:val="20"/>
                <w:szCs w:val="20"/>
                <w:color w:val="auto"/>
              </w:rPr>
            </w:pPr>
            <w:r>
              <w:rPr>
                <w:rFonts w:ascii="Arial" w:cs="Arial" w:eastAsia="Arial" w:hAnsi="Arial"/>
                <w:sz w:val="16"/>
                <w:szCs w:val="16"/>
                <w:color w:val="auto"/>
              </w:rPr>
              <w:t>100 million; issued and outstanding: 52,877,930 as of December 31, 2022; 53,344,218</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1"/>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as of December 31, 2021; and 53,454,885 as of September 30, 2022</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177"/>
        </w:trPr>
        <w:tc>
          <w:tcPr>
            <w:tcW w:w="6700" w:type="dxa"/>
            <w:vAlign w:val="bottom"/>
          </w:tcPr>
          <w:p>
            <w:pPr>
              <w:ind w:left="480"/>
              <w:spacing w:after="0" w:line="178"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140" w:type="dxa"/>
            <w:vAlign w:val="bottom"/>
          </w:tcPr>
          <w:p>
            <w:pPr>
              <w:spacing w:after="0"/>
              <w:rPr>
                <w:sz w:val="17"/>
                <w:szCs w:val="17"/>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343,012</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339,955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345,330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414,929</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369,359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402,006</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(53,165)</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(55,376)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(55,669)</w:t>
            </w: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705,335</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654,501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692,231</w:t>
            </w:r>
          </w:p>
        </w:tc>
      </w:tr>
      <w:tr>
        <w:trPr>
          <w:trHeight w:val="21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1,402,315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1,280,321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1,347,878</w:t>
            </w: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0"/>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253"/>
        </w:trPr>
        <w:tc>
          <w:tcPr>
            <w:tcW w:w="8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163,787</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137,720</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7,884</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6,944</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92,593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76,025</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212"/>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264,327</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220,994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104,877</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83,111</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6,953</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5,772</w:t>
            </w: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152,497</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132,111</w:t>
            </w:r>
          </w:p>
        </w:tc>
      </w:tr>
      <w:tr>
        <w:trPr>
          <w:trHeight w:val="219"/>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100,803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86,771</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15,476</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15,545</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7,988</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124,251</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109,895</w:t>
            </w:r>
          </w:p>
        </w:tc>
      </w:tr>
      <w:tr>
        <w:trPr>
          <w:trHeight w:val="210"/>
        </w:trPr>
        <w:tc>
          <w:tcPr>
            <w:tcW w:w="824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28,246</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22,216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6,190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(664)</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24,538</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21,347</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7,760</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5,626</w:t>
            </w:r>
          </w:p>
        </w:tc>
      </w:tr>
      <w:tr>
        <w:trPr>
          <w:trHeight w:val="22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16,778</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15,721</w:t>
            </w:r>
          </w:p>
        </w:tc>
      </w:tr>
      <w:tr>
        <w:trPr>
          <w:trHeight w:val="203"/>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0.30</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0.21</w:t>
            </w:r>
          </w:p>
        </w:tc>
      </w:tr>
      <w:tr>
        <w:trPr>
          <w:trHeight w:val="222"/>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56,308</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56,183</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83,779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81,948</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 net of tax</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18,760</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8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402,006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692,231</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consideration for acquisition</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16,778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55,848</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343,012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414,929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(53,165)</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705,335</w:t>
            </w:r>
          </w:p>
        </w:tc>
        <w:tc>
          <w:tcPr>
            <w:tcW w:w="0" w:type="dxa"/>
            <w:vAlign w:val="bottom"/>
          </w:tcPr>
          <w:p>
            <w:pPr>
              <w:spacing w:after="0"/>
              <w:rPr>
                <w:sz w:val="1"/>
                <w:szCs w:val="1"/>
                <w:color w:val="auto"/>
              </w:rPr>
            </w:pPr>
          </w:p>
        </w:tc>
      </w:tr>
      <w:tr>
        <w:trPr>
          <w:trHeight w:val="392"/>
        </w:trPr>
        <w:tc>
          <w:tcPr>
            <w:tcW w:w="4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8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403,312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672,238</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Cumulative effect of adoption of ASU 2020-06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(37,406)</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15,721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15,721</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339,955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369,359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(55,376)</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654,501</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8"/>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16,778</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15,721</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7,988</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13,596</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12,694</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1,886</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3,545</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(2,314)</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(34,761)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(29,531)</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6,574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4,741</w:t>
            </w:r>
          </w:p>
        </w:tc>
      </w:tr>
      <w:tr>
        <w:trPr>
          <w:trHeight w:val="216"/>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1,775</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11,668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9,018</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(189,074)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(166,480)</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109,125</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95,542</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88,030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65,297</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(12,884)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notes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(2,477)</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(44,618)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(30,603)</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debt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230,000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Debt issuance cost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(7,403)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on extinguishment of debt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debt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(178,488)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(7,027)</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33,993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605</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1,648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(21,658)</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214,369</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263,624</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216,017</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241,966</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497F"/>
        </w:rPr>
        <w:t>Notes to Interim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8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50" w:lineRule="exact"/>
        <w:rPr>
          <w:sz w:val="20"/>
          <w:szCs w:val="20"/>
          <w:color w:val="auto"/>
        </w:rPr>
      </w:pPr>
    </w:p>
    <w:p>
      <w:pPr>
        <w:jc w:val="both"/>
        <w:ind w:right="1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2022, filed with the Securities and Exchange Commission ("SEC") on November 16, 2022 (“2022 Annual Report”).</w:t>
      </w:r>
    </w:p>
    <w:p>
      <w:pPr>
        <w:spacing w:after="0" w:line="148" w:lineRule="exact"/>
        <w:rPr>
          <w:sz w:val="20"/>
          <w:szCs w:val="20"/>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the opinion of management, the accompanying Condensed Consolidated Financial Statements include all adjustments, consisting of normal recurring adjustments, considered necessary for a fair presentation. Financial results for the three-month period ended December 31, 2022, are not necessarily indicative of results that may be expected for the fiscal year ending September 30, 2023 or any other period due, in part, to seasonal variations. There have been no changes that have had a material impact in significant accounting policies as described in our 2022 </w:t>
      </w:r>
      <w:hyperlink r:id="rId21">
        <w:r>
          <w:rPr>
            <w:rFonts w:ascii="Arial" w:cs="Arial" w:eastAsia="Arial" w:hAnsi="Arial"/>
            <w:sz w:val="18"/>
            <w:szCs w:val="18"/>
            <w:color w:val="auto"/>
          </w:rPr>
          <w:t>Annual Report.</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reviewed all recently issued accounting pronouncements and concluded that they were either not applicable or not expected to have a material impact on our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GOODWILL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Three Months Ended December 31, 2022</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245,503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286,828</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9,413</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254,916</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42,445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297,361</w:t>
            </w: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Three Months Ended December 31, 2021</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285,758</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Measurement period adjustments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(1,322)</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244,471</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40,148</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284,619</w:t>
            </w:r>
          </w:p>
        </w:tc>
      </w:tr>
    </w:tbl>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2023, we acquired nine pawn stores located in Houston, Texas and one luxury pawn store in Las Vegas, Nevada for total cash consideration of $12.9 million, inclusive of all ancillary arrangements, of which $9.4 million was recorded as goodwill. These acquisitions expand our position in these strategic markets and expands our offerings by providing a dedicated and targeted focus on higher-end products. These acquisitions were immaterial, individually and in the aggregate, and we have therefore omitted or aggregated certain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EARNINGS PER SHARE</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71" w:lineRule="exact"/>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16,778</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15,721</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56,308</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56,183</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r>
      <w:tr>
        <w:trPr>
          <w:trHeight w:val="203"/>
        </w:trPr>
        <w:tc>
          <w:tcPr>
            <w:tcW w:w="8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15,721</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Convertible Notes interest expense,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r>
      <w:tr>
        <w:trPr>
          <w:trHeight w:val="20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 diluted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21,318</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17,605</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56,308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56,183</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dilution from equity-based compensation awards**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dilution from if-converted Convertible Notes***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25,224</w:t>
            </w:r>
          </w:p>
        </w:tc>
      </w:tr>
      <w:tr>
        <w:trPr>
          <w:trHeight w:val="209"/>
        </w:trPr>
        <w:tc>
          <w:tcPr>
            <w:tcW w:w="8240" w:type="dxa"/>
            <w:vAlign w:val="bottom"/>
            <w:tcBorders>
              <w:bottom w:val="single" w:sz="8" w:color="929292"/>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20" w:type="dxa"/>
            <w:vAlign w:val="bottom"/>
            <w:tcBorders>
              <w:bottom w:val="single" w:sz="8" w:color="929292"/>
            </w:tcBorders>
            <w:shd w:val="clear" w:color="auto" w:fill="CCEEFF"/>
          </w:tcPr>
          <w:p>
            <w:pPr>
              <w:spacing w:after="0"/>
              <w:rPr>
                <w:sz w:val="18"/>
                <w:szCs w:val="18"/>
                <w:color w:val="auto"/>
              </w:rPr>
            </w:pPr>
          </w:p>
        </w:tc>
        <w:tc>
          <w:tcPr>
            <w:tcW w:w="112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83,779</w:t>
            </w:r>
          </w:p>
        </w:tc>
        <w:tc>
          <w:tcPr>
            <w:tcW w:w="120" w:type="dxa"/>
            <w:vAlign w:val="bottom"/>
            <w:tcBorders>
              <w:bottom w:val="single" w:sz="8" w:color="929292"/>
            </w:tcBorders>
            <w:shd w:val="clear" w:color="auto" w:fill="CCEEFF"/>
          </w:tcPr>
          <w:p>
            <w:pPr>
              <w:spacing w:after="0"/>
              <w:rPr>
                <w:sz w:val="18"/>
                <w:szCs w:val="18"/>
                <w:color w:val="auto"/>
              </w:rPr>
            </w:pPr>
          </w:p>
        </w:tc>
        <w:tc>
          <w:tcPr>
            <w:tcW w:w="500" w:type="dxa"/>
            <w:vAlign w:val="bottom"/>
            <w:tcBorders>
              <w:bottom w:val="single" w:sz="8" w:color="929292"/>
            </w:tcBorders>
            <w:shd w:val="clear" w:color="auto" w:fill="CCEEFF"/>
          </w:tcPr>
          <w:p>
            <w:pPr>
              <w:spacing w:after="0"/>
              <w:rPr>
                <w:sz w:val="18"/>
                <w:szCs w:val="18"/>
                <w:color w:val="auto"/>
              </w:rPr>
            </w:pPr>
          </w:p>
        </w:tc>
        <w:tc>
          <w:tcPr>
            <w:tcW w:w="94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81,948</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r>
      <w:tr>
        <w:trPr>
          <w:trHeight w:val="95"/>
        </w:trPr>
        <w:tc>
          <w:tcPr>
            <w:tcW w:w="82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Potential common shares excluded from the calculation of diluted earnings per share above: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r>
    </w:tbl>
    <w:p>
      <w:pPr>
        <w:spacing w:after="0" w:line="9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$3.5 million loss on extinguishment of debt recorded to "Interest expense" in the Company's condensed consolidated statement of operations.</w:t>
      </w:r>
    </w:p>
    <w:p>
      <w:pPr>
        <w:spacing w:after="0" w:line="15" w:lineRule="exact"/>
        <w:rPr>
          <w:sz w:val="20"/>
          <w:szCs w:val="20"/>
          <w:color w:val="auto"/>
        </w:rPr>
      </w:pPr>
    </w:p>
    <w:p>
      <w:pPr>
        <w:ind w:left="340" w:right="480" w:hanging="332"/>
        <w:spacing w:after="0" w:line="251" w:lineRule="auto"/>
        <w:tabs>
          <w:tab w:leader="none" w:pos="28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 based awards for which targets for fiscal year tranches have been achieved and vesting is subject only to achievement of service conditions.</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7: Debt for conversion price and initial conversion rate of the 2024 Convertible Notes, 2025 Convertible Notes and 2029 Convertible Notes.</w:t>
      </w:r>
    </w:p>
    <w:p>
      <w:pPr>
        <w:spacing w:after="0" w:line="14" w:lineRule="exact"/>
        <w:rPr>
          <w:rFonts w:ascii="Arial" w:cs="Arial" w:eastAsia="Arial" w:hAnsi="Arial"/>
          <w:sz w:val="14"/>
          <w:szCs w:val="14"/>
          <w:color w:val="auto"/>
        </w:rPr>
      </w:pPr>
    </w:p>
    <w:p>
      <w:pPr>
        <w:ind w:left="340" w:right="200" w:hanging="332"/>
        <w:spacing w:after="0" w:line="278"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LEASES</w:t>
      </w:r>
    </w:p>
    <w:p>
      <w:pPr>
        <w:spacing w:after="0" w:line="2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w:t>
      </w:r>
    </w:p>
    <w:p>
      <w:pPr>
        <w:spacing w:after="0" w:line="14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table below presents balances of our lease assets and liabilities and their balance sheet locations for both operating and financing leases: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4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7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Lease assets:</w:t>
            </w:r>
          </w:p>
        </w:tc>
        <w:tc>
          <w:tcPr>
            <w:tcW w:w="3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221,405</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assets</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Right-of-use assets, net</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6"/>
        </w:trPr>
        <w:tc>
          <w:tcPr>
            <w:tcW w:w="2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assets</w:t>
            </w:r>
          </w:p>
        </w:tc>
        <w:tc>
          <w:tcPr>
            <w:tcW w:w="3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230,554</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201,527</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221,586</w:t>
            </w:r>
          </w:p>
        </w:tc>
        <w:tc>
          <w:tcPr>
            <w:tcW w:w="0" w:type="dxa"/>
            <w:vAlign w:val="bottom"/>
          </w:tcPr>
          <w:p>
            <w:pPr>
              <w:spacing w:after="0"/>
              <w:rPr>
                <w:sz w:val="1"/>
                <w:szCs w:val="1"/>
                <w:color w:val="auto"/>
              </w:rPr>
            </w:pPr>
          </w:p>
        </w:tc>
      </w:tr>
      <w:tr>
        <w:trPr>
          <w:trHeight w:val="413"/>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rPr>
                <w:sz w:val="20"/>
                <w:szCs w:val="20"/>
                <w:color w:val="auto"/>
              </w:rPr>
            </w:pPr>
            <w:r>
              <w:rPr>
                <w:rFonts w:ascii="Arial" w:cs="Arial" w:eastAsia="Arial" w:hAnsi="Arial"/>
                <w:sz w:val="16"/>
                <w:szCs w:val="16"/>
                <w:color w:val="auto"/>
              </w:rPr>
              <w:t>Current:</w:t>
            </w:r>
          </w:p>
        </w:tc>
        <w:tc>
          <w:tcPr>
            <w:tcW w:w="3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52,334</w:t>
            </w:r>
          </w:p>
        </w:tc>
        <w:tc>
          <w:tcPr>
            <w:tcW w:w="0" w:type="dxa"/>
            <w:vAlign w:val="bottom"/>
          </w:tcPr>
          <w:p>
            <w:pPr>
              <w:spacing w:after="0"/>
              <w:rPr>
                <w:sz w:val="1"/>
                <w:szCs w:val="1"/>
                <w:color w:val="auto"/>
              </w:rPr>
            </w:pPr>
          </w:p>
        </w:tc>
      </w:tr>
      <w:tr>
        <w:trPr>
          <w:trHeight w:val="177"/>
        </w:trPr>
        <w:tc>
          <w:tcPr>
            <w:tcW w:w="2740" w:type="dxa"/>
            <w:vAlign w:val="bottom"/>
          </w:tcPr>
          <w:p>
            <w:pPr>
              <w:spacing w:after="0"/>
              <w:rPr>
                <w:sz w:val="15"/>
                <w:szCs w:val="15"/>
                <w:color w:val="auto"/>
              </w:rPr>
            </w:pPr>
          </w:p>
        </w:tc>
        <w:tc>
          <w:tcPr>
            <w:tcW w:w="3700" w:type="dxa"/>
            <w:vAlign w:val="bottom"/>
          </w:tcPr>
          <w:p>
            <w:pPr>
              <w:ind w:left="20"/>
              <w:spacing w:after="0" w:line="178" w:lineRule="exact"/>
              <w:rPr>
                <w:sz w:val="20"/>
                <w:szCs w:val="20"/>
                <w:color w:val="auto"/>
              </w:rPr>
            </w:pPr>
            <w:r>
              <w:rPr>
                <w:rFonts w:ascii="Arial" w:cs="Arial" w:eastAsia="Arial" w:hAnsi="Arial"/>
                <w:sz w:val="16"/>
                <w:szCs w:val="16"/>
                <w:color w:val="auto"/>
              </w:rPr>
              <w:t>Accounts payable, accrued expenses and other</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liabilities</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current liabilities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current lease liabilities</w:t>
            </w:r>
          </w:p>
        </w:tc>
        <w:tc>
          <w:tcPr>
            <w:tcW w:w="3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52,920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51,843</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52,371</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180,756</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liabilities</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long-term liabilities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non-current lease liabilities</w:t>
            </w:r>
          </w:p>
        </w:tc>
        <w:tc>
          <w:tcPr>
            <w:tcW w:w="3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189,177</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161,841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180,904</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liabilities</w:t>
            </w:r>
          </w:p>
        </w:tc>
        <w:tc>
          <w:tcPr>
            <w:tcW w:w="3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242,097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213,684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233,275</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major components of our lease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8"/>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Operating lease cost: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16,362</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cost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w:t>
            </w:r>
          </w:p>
        </w:tc>
      </w:tr>
      <w:tr>
        <w:trPr>
          <w:trHeight w:val="220"/>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21,347</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19,904</w:t>
            </w:r>
          </w:p>
        </w:tc>
      </w:tr>
      <w:tr>
        <w:trPr>
          <w:trHeight w:val="415"/>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Financing lease cost:</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financing lease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on financing lease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financing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cost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21,377</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19,904</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Includes a reduction for sublease rental income of $0.8 million and $0.8 million for the quarters ended December 31, 2022 and 2021, respectively.</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 Cash paid for operating leases are $21.4 million and $19.9 million for the quarters ended December 31, 2022 and 2021, respectively.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term and discount rates for leases are as follows:</w:t>
      </w:r>
    </w:p>
    <w:p>
      <w:pPr>
        <w:spacing w:after="0" w:line="3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48"/>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73"/>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8.10 %</w:t>
            </w: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maturities of lease liabilities under ASC 842 by fiscal year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Financing Leases</w:t>
            </w: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r>
      <w:tr>
        <w:trPr>
          <w:trHeight w:val="213"/>
        </w:trPr>
        <w:tc>
          <w:tcPr>
            <w:tcW w:w="7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imputed interest</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56,565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7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13"/>
        </w:trPr>
        <w:tc>
          <w:tcPr>
            <w:tcW w:w="79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52,799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20"/>
        </w:trPr>
        <w:tc>
          <w:tcPr>
            <w:tcW w:w="7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long term net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188,730</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r>
    </w:tbl>
    <w:p>
      <w:pPr>
        <w:spacing w:after="0" w:line="33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recorded $ 20.5 million and $14.3 million in non-cash additions to our right-of-use assets and lease liabilities for the three months ended December 31, 2022 and December 31, 2021,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STRATEGIC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2021, we purchased an additional 13 million shares of Cash Converters International Limited ("Cash Converters") for</w:t>
      </w:r>
    </w:p>
    <w:p>
      <w:pPr>
        <w:spacing w:after="0" w:line="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$2.5 million. This purchase increased our total ownership in Cash Converters to 236,702,991 shares, representing a 37.72% ownership interest. On October 14, 2021, we received a cash dividend of $1.7 million from Cash Converters.</w:t>
      </w:r>
    </w:p>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On March 10, 2022, we purchased an additional 5.5 million shares of Cash Converters for $1.0 million. This purchase increased our total ownership in Cash Converters to 242,239,157 shares, representing a 38.60% ownership interest.</w:t>
      </w:r>
    </w:p>
    <w:p>
      <w:pPr>
        <w:spacing w:after="0" w:line="144" w:lineRule="exact"/>
        <w:rPr>
          <w:sz w:val="20"/>
          <w:szCs w:val="20"/>
          <w:color w:val="auto"/>
        </w:rPr>
      </w:pPr>
    </w:p>
    <w:p>
      <w:pPr>
        <w:ind w:right="740"/>
        <w:spacing w:after="0" w:line="291" w:lineRule="auto"/>
        <w:rPr>
          <w:sz w:val="20"/>
          <w:szCs w:val="20"/>
          <w:color w:val="auto"/>
        </w:rPr>
      </w:pPr>
      <w:r>
        <w:rPr>
          <w:rFonts w:ascii="Arial" w:cs="Arial" w:eastAsia="Arial" w:hAnsi="Arial"/>
          <w:sz w:val="17"/>
          <w:szCs w:val="17"/>
          <w:color w:val="auto"/>
        </w:rPr>
        <w:t>On April 5, 2022, we acquired an additional 13 million shares for $2.5 million, bringing our total ownership to 255,239,157 shares, representing an ownership interest of 40.67%. On April 14, 2022, we received a cash dividend of $1.7 million from Cash Converters.</w:t>
      </w:r>
    </w:p>
    <w:p>
      <w:pPr>
        <w:spacing w:after="0" w:line="12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On September 15, 2022, we acquired an additional 5.7 million shares for $0.9 million, bringing our total ownership to 260,939,157 shares, representing an ownership interest of 41.6%.</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November 2, 2022, we purchased an additional 13 million shares of Cash Converters for $2.1 million. This purchase increased our total ownership in Cash Converters to 273,939,157 shares, representing a 43.7% ownership interest. During November 2022, we received a cash dividend of $1.8 million from Cash Converters.</w:t>
      </w:r>
    </w:p>
    <w:p>
      <w:pPr>
        <w:spacing w:after="0" w:line="14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following tables present summary financial information for Cash Converters most recently reported results at June 30, 2022 after translation to U.S.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158,987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167,553</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170,798</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191,788</w:t>
            </w:r>
          </w:p>
        </w:tc>
      </w:tr>
      <w:tr>
        <w:trPr>
          <w:trHeight w:val="219"/>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329,785</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359,341</w:t>
            </w:r>
          </w:p>
        </w:tc>
      </w:tr>
      <w:tr>
        <w:trPr>
          <w:trHeight w:val="40"/>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53,045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57,511</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217,484</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240,435</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329,785</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359,341</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Full-Year Ended June 30,</w:t>
            </w: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116,106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105,851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investment in Cash Converters.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October 2021, we invested $15.0 million in exchange for a non-redeemable voting participating preferred equity interest in Founders One, LLC (“Founders”), a then newly-formed entity with one other member. Founders used that $15.0 million to acquire an equity interest in Simple Management Group, Inc. (“SMG”).</w:t>
      </w:r>
    </w:p>
    <w:p>
      <w:pPr>
        <w:spacing w:after="0" w:line="12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On December 2, 2022, we contributed an additional $15.0 million to Founders associated with our preferred interest, which proceeds were used by Founders to acquire additional common stock in SMG. In addition, we loaned $15.0 million to Founders in exchange for a Demand Promissory Note secured by the common interest in Founders held by the other member.</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equity investment in Founders is accounted for utilizing the measurement alternative within Accounting Standards Codification ("ASC") 321, Investments — Equity Securities. Our $30.0 million carrying value of the investment and $15.0 million Demand Promissory Note are included in “Other investments” and "Prepaid expenses and other current assets" in our consolidated balance sheets, respectively. Our maximum exposure for losses related to our investment in Founders is our $30.0 million equity investment and $15.0 million Demand Promissory Note plus accrued and unpaid interest.</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values and carrying values of our investment in and loan to Founders,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FAIR VALUE MEASUREMENTS</w:t>
      </w:r>
    </w:p>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5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8"/>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48"/>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12.00% promissory note receivable from Founders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15,100</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0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39,220</w:t>
            </w:r>
          </w:p>
        </w:tc>
      </w:tr>
      <w:tr>
        <w:trPr>
          <w:trHeight w:val="219"/>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89,883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8"/>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48"/>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r>
      <w:tr>
        <w:trPr>
          <w:trHeight w:val="213"/>
        </w:trPr>
        <w:tc>
          <w:tcPr>
            <w:tcW w:w="462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42,513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7,021</w:t>
            </w: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155,060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155,060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8"/>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48"/>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37,733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40,279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24,220</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147,488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147,488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Due to the short-term nature of cash and cash equivalents, pawn loans and pawn service charges receivable, we estimate that the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Included in "Accounts payable, accrued expenses and other current liabilities" in our Consolidated Balance Sheet as of December 31, 2022 is $ 4.6 million, representing the fair value of acquisition-related contingent consideration associated with the acquisition in June 2021 of PLO del Bajio S. de R.S. de C.V., which owned stores operating under the name "Cash Apoyo Efectivo" and located principally in the Mexico City metropolitan area. The key assumptions used to determine the fair value of acquisition-related contingent consideration are estimated by management, not observable in the market and, therefore, considered Level 3 inputs within the fair value hierarchy.</w:t>
      </w:r>
    </w:p>
    <w:p>
      <w:pPr>
        <w:spacing w:after="0" w:line="1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fair value of the note approximated its carrying value as of December 31, 2022.</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December 2022, we loaned $15.0 million to Founders in exchange for a Demand Promissory Note secured by the common interest in Founders held by the other member. The note bears interest at the rate of 12.00% per annum, and all principal and accrued interest is due on demand. The fair value of the note approximated its carrying value as of December 31, 2022.</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5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Of the $39.2 million of "Other investments" included in the table above, $30.0 million is related the investment in Founders and $6.2 million related to our investment in Rich Data Corporation ("RDC"). We believe the investment's fair value approximated its carrying value although such fair value is highly variable and includes significant unobservable inputs.</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measured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DEBT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2022</w:t>
            </w: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169,738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170,328</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34,143</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142,106</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142,575</w:t>
            </w:r>
          </w:p>
        </w:tc>
        <w:tc>
          <w:tcPr>
            <w:tcW w:w="0" w:type="dxa"/>
            <w:vAlign w:val="bottom"/>
          </w:tcPr>
          <w:p>
            <w:pPr>
              <w:spacing w:after="0"/>
              <w:rPr>
                <w:sz w:val="1"/>
                <w:szCs w:val="1"/>
                <w:color w:val="auto"/>
              </w:rPr>
            </w:pPr>
          </w:p>
        </w:tc>
      </w:tr>
      <w:tr>
        <w:trPr>
          <w:trHeight w:val="219"/>
        </w:trPr>
        <w:tc>
          <w:tcPr>
            <w:tcW w:w="2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367,762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358,984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311,844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312,903</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December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gridSpan w:val="5"/>
          </w:tcPr>
          <w:p>
            <w:pPr>
              <w:ind w:left="180"/>
              <w:spacing w:after="0"/>
              <w:rPr>
                <w:sz w:val="20"/>
                <w:szCs w:val="20"/>
                <w:color w:val="auto"/>
              </w:rPr>
            </w:pPr>
            <w:r>
              <w:rPr>
                <w:rFonts w:ascii="Arial" w:cs="Arial" w:eastAsia="Arial" w:hAnsi="Arial"/>
                <w:sz w:val="18"/>
                <w:szCs w:val="18"/>
                <w:b w:val="1"/>
                <w:bCs w:val="1"/>
                <w:color w:val="auto"/>
              </w:rPr>
              <w:t>Schedule of Contractual Maturities</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8"/>
        </w:trPr>
        <w:tc>
          <w:tcPr>
            <w:tcW w:w="34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2029 Convertible Notes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2025 Convertible Notes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2024 Convertible Notes</w:t>
            </w:r>
          </w:p>
        </w:tc>
        <w:tc>
          <w:tcPr>
            <w:tcW w:w="440" w:type="dxa"/>
            <w:vAlign w:val="bottom"/>
          </w:tcPr>
          <w:p>
            <w:pPr>
              <w:spacing w:after="0"/>
              <w:rPr>
                <w:sz w:val="18"/>
                <w:szCs w:val="18"/>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37"/>
        </w:trPr>
        <w:tc>
          <w:tcPr>
            <w:tcW w:w="34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2023</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34,389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34,389</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6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103,373</w:t>
            </w: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6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r>
      <w:tr>
        <w:trPr>
          <w:trHeight w:val="220"/>
        </w:trPr>
        <w:tc>
          <w:tcPr>
            <w:tcW w:w="3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367,762</w:t>
            </w:r>
          </w:p>
        </w:tc>
      </w:tr>
    </w:tbl>
    <w:p>
      <w:pPr>
        <w:spacing w:after="0" w:line="25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months ended December 31, 2022 and 2021:</w:t>
      </w: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71" w:lineRule="exact"/>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8"/>
        </w:trPr>
        <w:tc>
          <w:tcPr>
            <w:tcW w:w="8240" w:type="dxa"/>
            <w:vAlign w:val="bottom"/>
          </w:tcPr>
          <w:p>
            <w:pPr>
              <w:ind w:left="20"/>
              <w:spacing w:after="0"/>
              <w:rPr>
                <w:sz w:val="20"/>
                <w:szCs w:val="20"/>
                <w:color w:val="auto"/>
              </w:rPr>
            </w:pPr>
            <w:r>
              <w:rPr>
                <w:rFonts w:ascii="Arial" w:cs="Arial" w:eastAsia="Arial" w:hAnsi="Arial"/>
                <w:sz w:val="16"/>
                <w:szCs w:val="16"/>
                <w:color w:val="auto"/>
              </w:rPr>
              <w:t>2029 Convertible Notes: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415"/>
        </w:trPr>
        <w:tc>
          <w:tcPr>
            <w:tcW w:w="8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19"/>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416"/>
        </w:trPr>
        <w:tc>
          <w:tcPr>
            <w:tcW w:w="8240" w:type="dxa"/>
            <w:vAlign w:val="bottom"/>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220"/>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3.750% Convertible Senior Notes Due 2029</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December 2022, we issued $230.0 million aggregate principal amount of 3.750% Convertible Senior Notes Due 2029 (the “2029 Convertible Notes”). The 2029 Convertible Notes were 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redeemed or repurchased in accordance with the terms prior to such date. At maturity, the holders of the 2029 Convertible Notes will be entitled to receive cash equal to the principal of the 2029 Convertible Notes plus accrued interest.</w:t>
      </w:r>
    </w:p>
    <w:p>
      <w:pPr>
        <w:spacing w:after="0" w:line="14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effective interest rate for the three months ended December 31, 2022 was approximately 4.28%. As of December 31, 2022, the remaining unamortized debt issuance costs will be amortized using the effective interest method through the 2029 Maturity Date assuming no early conversion.</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not redeem the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spacing w:after="0" w:line="15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December 31, 2022. As of December 31, 2022, the if-converted value of the 2029 Convertible Notes did not exceed the principal amount.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Repurchases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the Company's condensed consolidated statement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19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for which $103.4 million remains outstanding as of December 31, 2022.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w:t>
      </w:r>
    </w:p>
    <w:p>
      <w:pPr>
        <w:spacing w:after="0" w:line="167"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effective interest rate for the three months ended December 31, 2022 was approximately 2.88% for the 2025 Convertible Notes. As of December 31, 2022, the remaining unamortized debt issuance costs will be amortized using the effective interest method through the 2025 Maturity Date assuming no early conversion.</w:t>
      </w:r>
    </w:p>
    <w:p>
      <w:pPr>
        <w:spacing w:after="0" w:line="16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6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16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December 31, 2022. As of December 31, 2022, the if-converted value of the 2025 Convertible Notes did not exceed the principal amount.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for which $34.4 million remains outstanding as of December 31, 2022.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effective interest rate for the three months ended December 31, 2022 was approximately 3.35%. As of December 31, 2022, the remaining unamortized debt issuance costs will be amortized using the effective interest method through the 2024 Maturity Date assuming no early conversion.</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December 31, 2022. As of December 31, 2022, the if-converted value of the 2024 Convertible Notes did not exceed the principal amount.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COMMON STOCK AND STOCK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9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May 3, 2022, the Company's Board of Directors (the "Board") authorized the repurchase of up to $ 50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As of December 31, 2022, the Company has repurchased and retired 481,005 shares of our Class A Common Stock for $4.1 million under the Common Stock Repurchase Program. The repurchase amount is allocated between "Additional paid-in capital" and "Retained earnings" in our condensed consolidated balance sheets.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Common Stock Repurchases</w:t>
      </w:r>
    </w:p>
    <w:p>
      <w:pPr>
        <w:spacing w:after="0" w:line="19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During December 2022, the Company used approximately $5.0 million of the net proceeds from the 2029 Convertible Notes offering to repurchase for cash 578,703 shares of its Class A common stock from purchasers of the notes in privately negotiated transactions. Such transactions were authorized separately from, and not considered a part of, the publicly announced share repurchase program discussed above. The repurchase amount is allocated between "Additional paid-in capital" and "Retained earnings" in our condensed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compensation activity: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8480" w:type="dxa"/>
            <w:vAlign w:val="bottom"/>
          </w:tcPr>
          <w:p>
            <w:pPr>
              <w:spacing w:after="0"/>
              <w:rPr>
                <w:sz w:val="14"/>
                <w:szCs w:val="14"/>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16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5"/>
        </w:trPr>
        <w:tc>
          <w:tcPr>
            <w:tcW w:w="84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4"/>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5"/>
        </w:trPr>
        <w:tc>
          <w:tcPr>
            <w:tcW w:w="848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917,990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Released </w:t>
            </w:r>
            <w:r>
              <w:rPr>
                <w:rFonts w:ascii="Arial" w:cs="Arial" w:eastAsia="Arial" w:hAnsi="Arial"/>
                <w:sz w:val="23"/>
                <w:szCs w:val="23"/>
                <w:color w:val="auto"/>
                <w:vertAlign w:val="superscript"/>
              </w:rPr>
              <w:t>(a)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Cancelled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2,629,028</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113,333 shares were withheld to satisfy related income tax withholding.</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CONTINGENCIES</w:t>
      </w:r>
    </w:p>
    <w:p>
      <w:pPr>
        <w:spacing w:after="0" w:line="20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including the matter described below.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On October 14, 2021, Andrew Kowlessar filed an action in the Circuit Court of the 17th Judicial Circuit in and for Broward County, Florida styled </w:t>
      </w:r>
      <w:r>
        <w:rPr>
          <w:rFonts w:ascii="Arial" w:cs="Arial" w:eastAsia="Arial" w:hAnsi="Arial"/>
          <w:sz w:val="18"/>
          <w:szCs w:val="18"/>
          <w:i w:val="1"/>
          <w:iCs w:val="1"/>
          <w:color w:val="auto"/>
        </w:rPr>
        <w:t>Andrew Kowlessar, individually and on behalf of all others similarly situated vs. EZCORP, Inc. d/b/a Value Pawn &amp; Jewelry</w:t>
      </w:r>
      <w:r>
        <w:rPr>
          <w:rFonts w:ascii="Arial" w:cs="Arial" w:eastAsia="Arial" w:hAnsi="Arial"/>
          <w:sz w:val="18"/>
          <w:szCs w:val="18"/>
          <w:color w:val="auto"/>
        </w:rPr>
        <w:t xml:space="preserve">. The matter subsequently was amended and removed to the United States District Court of the Southern District of Florida as </w:t>
      </w:r>
      <w:r>
        <w:rPr>
          <w:rFonts w:ascii="Arial" w:cs="Arial" w:eastAsia="Arial" w:hAnsi="Arial"/>
          <w:sz w:val="18"/>
          <w:szCs w:val="18"/>
          <w:i w:val="1"/>
          <w:iCs w:val="1"/>
          <w:color w:val="auto"/>
        </w:rPr>
        <w:t>Andrew Kowlessar,</w:t>
      </w:r>
      <w:r>
        <w:rPr>
          <w:rFonts w:ascii="Arial" w:cs="Arial" w:eastAsia="Arial" w:hAnsi="Arial"/>
          <w:sz w:val="18"/>
          <w:szCs w:val="18"/>
          <w:color w:val="auto"/>
        </w:rPr>
        <w:t xml:space="preserve"> </w:t>
      </w:r>
      <w:r>
        <w:rPr>
          <w:rFonts w:ascii="Arial" w:cs="Arial" w:eastAsia="Arial" w:hAnsi="Arial"/>
          <w:sz w:val="18"/>
          <w:szCs w:val="18"/>
          <w:i w:val="1"/>
          <w:iCs w:val="1"/>
          <w:color w:val="auto"/>
        </w:rPr>
        <w:t>individually and on behalf of all others similarly situated vs. EZPAWN Florida, Inc. d/b/a Value Pawn &amp; Jewelry</w:t>
      </w:r>
      <w:r>
        <w:rPr>
          <w:rFonts w:ascii="Arial" w:cs="Arial" w:eastAsia="Arial" w:hAnsi="Arial"/>
          <w:sz w:val="18"/>
          <w:szCs w:val="18"/>
          <w:color w:val="auto"/>
        </w:rPr>
        <w:t>. In May 2022, the federal court</w:t>
      </w:r>
      <w:r>
        <w:rPr>
          <w:rFonts w:ascii="Arial" w:cs="Arial" w:eastAsia="Arial" w:hAnsi="Arial"/>
          <w:sz w:val="18"/>
          <w:szCs w:val="18"/>
          <w:i w:val="1"/>
          <w:iCs w:val="1"/>
          <w:color w:val="auto"/>
        </w:rPr>
        <w:t xml:space="preserve"> </w:t>
      </w:r>
      <w:r>
        <w:rPr>
          <w:rFonts w:ascii="Arial" w:cs="Arial" w:eastAsia="Arial" w:hAnsi="Arial"/>
          <w:sz w:val="18"/>
          <w:szCs w:val="18"/>
          <w:color w:val="auto"/>
        </w:rPr>
        <w:t>action was dismissed and the case was refiled in the Circuit Court of the Eleventh Judicial Circuit in and for Miami-Dade County, Florida. The complaint was brought under Section 501.059, Florida Statutes, the Florida Telephone Solicitation Act (“Act”), and alleges certain text messages were sent in violation of the Act. The matter involves claims by a single individual, but alleges a class of persons who may have similar claims of violations of the Act and seeks class certification. On June 16, 2022, following discovery and pre-trial mediation, the parties agreed to a settlement of all asserted claims and entered into a Settlement Agreement and Release. The agreed settlement requires the Company to make available up to $5 million to be used to pay verified claims (not to exceed $70 per verified claimant), as well as attorneys’ fees and costs. The agreed settlement was approved by the court on October 24, 2022; the period for submitting claims expired on November 8, 2022; and the third-party claims administrator has verified the submitted claims and is set to undertake final resolution. The Company recorded a charge during the quarter ended June 30, 2022, representing the estimated liability for the settlement of this matter and believes the accrual remains sufficient to cover the Company’s liability in this matter.</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SEGMENT INFORMATION</w:t>
      </w:r>
    </w:p>
    <w:p>
      <w:pPr>
        <w:spacing w:after="0" w:line="2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("CODM") evaluates performance for purposes of allocating resources and assessing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right="20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the net income of Cash Converters along with our investment in Founders and RDC.</w:t>
      </w:r>
    </w:p>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2022</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163,787</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92,593</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264,327</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104,877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104,877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6,953</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6,953</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115,353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152,497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152,497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100,803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100,803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15,476</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7,988</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48,422</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48,422</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24,538</w:t>
            </w: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2021</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137,720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6,944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76,025</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220,994</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57,832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83,111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5,772</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5,772</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132,111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86,771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42,151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SUPPLEMENTAL CONSOLIDATED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35"/>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44,192</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(10,716)</w:t>
            </w:r>
          </w:p>
        </w:tc>
      </w:tr>
      <w:tr>
        <w:trPr>
          <w:trHeight w:val="219"/>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34,921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29,765</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33,476</w:t>
            </w: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153,673</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w:t>
            </w:r>
          </w:p>
        </w:tc>
      </w:tr>
      <w:tr>
        <w:trPr>
          <w:trHeight w:val="219"/>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156,064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119,313</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151,615</w:t>
            </w: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notes receivable and 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8,435</w:t>
            </w: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prepaid and receivable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17,923</w:t>
            </w: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34,694</w:t>
            </w: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306,667</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(256,890)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(236,084)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(249,942)</w:t>
            </w: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55,612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52,201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56,725</w:t>
            </w: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24,056</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Accrued payroll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8,365</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accrual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17,403</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Other payroll related expenses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9,592</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and VAT taxes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7,279</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Accrued income taxes payable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2,663</w:t>
            </w: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15,151</w:t>
            </w: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75,531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84,509</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 of Consolidated Statements of Cash Flows information: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8"/>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207,658</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233,274</w:t>
            </w:r>
          </w:p>
        </w:tc>
      </w:tr>
      <w:tr>
        <w:trPr>
          <w:trHeight w:val="213"/>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8,359</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8,692</w:t>
            </w:r>
          </w:p>
        </w:tc>
      </w:tr>
      <w:tr>
        <w:trPr>
          <w:trHeight w:val="219"/>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216,017</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241,966</w:t>
            </w:r>
          </w:p>
        </w:tc>
      </w:tr>
      <w:tr>
        <w:trPr>
          <w:trHeight w:val="253"/>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84,851</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Transfer of consideration for acquisition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earn-out contingency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220"/>
              <w:spacing w:after="0"/>
              <w:rPr>
                <w:sz w:val="20"/>
                <w:szCs w:val="20"/>
                <w:color w:val="auto"/>
              </w:rPr>
            </w:pPr>
            <w:r>
              <w:rPr>
                <w:rFonts w:ascii="Arial" w:cs="Arial" w:eastAsia="Arial" w:hAnsi="Arial"/>
                <w:sz w:val="16"/>
                <w:szCs w:val="16"/>
                <w:color w:val="auto"/>
              </w:rPr>
              <w:t>Accrued acquisition consideration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80"/>
        <w:spacing w:after="0" w:line="28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109"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36">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36">
        <w:r>
          <w:rPr>
            <w:rFonts w:ascii="Arial" w:cs="Arial" w:eastAsia="Arial" w:hAnsi="Arial"/>
            <w:sz w:val="18"/>
            <w:szCs w:val="18"/>
            <w:color w:val="auto"/>
          </w:rPr>
          <w:t>ended September 30, 2022,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or goods purchased directly from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194945</wp:posOffset>
            </wp:positionV>
            <wp:extent cx="4732020" cy="1139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287" w:lineRule="exact"/>
        <w:rPr>
          <w:sz w:val="20"/>
          <w:szCs w:val="20"/>
          <w:color w:val="auto"/>
        </w:rPr>
      </w:pPr>
    </w:p>
    <w:tbl>
      <w:tblPr>
        <w:tblLayout w:type="fixed"/>
        <w:tblInd w:w="1920" w:type="dxa"/>
        <w:tblCellMar>
          <w:top w:w="0" w:type="dxa"/>
          <w:left w:w="0" w:type="dxa"/>
          <w:bottom w:w="0" w:type="dxa"/>
          <w:right w:w="0" w:type="dxa"/>
        </w:tblCellMar>
      </w:tblPr>
      <w:tr>
        <w:trPr>
          <w:trHeight w:val="274"/>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Strengthen the Core</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44"/>
        </w:trPr>
        <w:tc>
          <w:tcPr>
            <w:tcW w:w="2080" w:type="dxa"/>
            <w:vAlign w:val="bottom"/>
            <w:vMerge w:val="continue"/>
            <w:shd w:val="clear" w:color="auto" w:fill="026DCE"/>
          </w:tcPr>
          <w:p>
            <w:pPr>
              <w:spacing w:after="0"/>
              <w:rPr>
                <w:sz w:val="12"/>
                <w:szCs w:val="12"/>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excellence in our core pawn business</w:t>
            </w:r>
          </w:p>
        </w:tc>
        <w:tc>
          <w:tcPr>
            <w:tcW w:w="0" w:type="dxa"/>
            <w:vAlign w:val="bottom"/>
          </w:tcPr>
          <w:p>
            <w:pPr>
              <w:spacing w:after="0"/>
              <w:rPr>
                <w:sz w:val="1"/>
                <w:szCs w:val="1"/>
                <w:color w:val="auto"/>
              </w:rPr>
            </w:pPr>
          </w:p>
        </w:tc>
      </w:tr>
      <w:tr>
        <w:trPr>
          <w:trHeight w:val="95"/>
        </w:trPr>
        <w:tc>
          <w:tcPr>
            <w:tcW w:w="2080" w:type="dxa"/>
            <w:vAlign w:val="bottom"/>
            <w:shd w:val="clear" w:color="auto" w:fill="026DCE"/>
          </w:tcPr>
          <w:p>
            <w:pPr>
              <w:spacing w:after="0"/>
              <w:rPr>
                <w:sz w:val="8"/>
                <w:szCs w:val="8"/>
                <w:color w:val="auto"/>
              </w:rPr>
            </w:pPr>
          </w:p>
        </w:tc>
        <w:tc>
          <w:tcPr>
            <w:tcW w:w="534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Cost Efficiency and</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39"/>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Simplification</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55"/>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Innovate and Grow</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44"/>
        </w:trPr>
        <w:tc>
          <w:tcPr>
            <w:tcW w:w="2080" w:type="dxa"/>
            <w:vAlign w:val="bottom"/>
            <w:vMerge w:val="continue"/>
            <w:shd w:val="clear" w:color="auto" w:fill="026DCE"/>
          </w:tcPr>
          <w:p>
            <w:pPr>
              <w:spacing w:after="0"/>
              <w:rPr>
                <w:sz w:val="12"/>
                <w:szCs w:val="12"/>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95"/>
        </w:trPr>
        <w:tc>
          <w:tcPr>
            <w:tcW w:w="2080" w:type="dxa"/>
            <w:vAlign w:val="bottom"/>
            <w:shd w:val="clear" w:color="auto" w:fill="026DCE"/>
          </w:tcPr>
          <w:p>
            <w:pPr>
              <w:spacing w:after="0"/>
              <w:rPr>
                <w:sz w:val="8"/>
                <w:szCs w:val="8"/>
                <w:color w:val="auto"/>
              </w:rPr>
            </w:pPr>
          </w:p>
        </w:tc>
        <w:tc>
          <w:tcPr>
            <w:tcW w:w="534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80" w:type="dxa"/>
            <w:vAlign w:val="bottom"/>
            <w:shd w:val="clear" w:color="auto" w:fill="026DCE"/>
          </w:tcPr>
          <w:p>
            <w:pPr>
              <w:spacing w:after="0"/>
              <w:rPr>
                <w:sz w:val="7"/>
                <w:szCs w:val="7"/>
                <w:color w:val="auto"/>
              </w:rPr>
            </w:pPr>
          </w:p>
        </w:tc>
        <w:tc>
          <w:tcPr>
            <w:tcW w:w="5340" w:type="dxa"/>
            <w:vAlign w:val="bottom"/>
            <w:shd w:val="clear" w:color="auto" w:fill="80C9FF"/>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or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8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income/loss before tax is generally highest in our first fiscal quarter (October through December) and lowest in our third fiscal quarter (April through June).</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20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months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59690</wp:posOffset>
            </wp:positionV>
            <wp:extent cx="5743575" cy="2785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sources of gross profit by geographic disbursement for the three months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74930</wp:posOffset>
            </wp:positionV>
            <wp:extent cx="5743575" cy="278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Business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Convertible Debt</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December 2022, we issued $230.0 million aggregate principal amount of 3.750% Convertible Senior Notes Due 2029 (the “2029 Convertible Notes”). In conjunction with the issuance of the 2029 Convertible Notes, we extinguished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7 of Notes to Interim Condensed Consolidated Financial Statements included in "Part I, Item 1 —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 Cash Converters International</w:t>
      </w:r>
    </w:p>
    <w:p>
      <w:pPr>
        <w:spacing w:after="0" w:line="18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November 2, 2022, we purchased an additional 13 million shares of Cash Converters for $2.1 million. This purchase increased our total ownership in Cash Converters to 273,939,157 shares, representing a 43.7% ownership interest. Additionally, during November 2022, we received a cash dividend of $1.8 million from Cash Converters.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Founders</w:t>
      </w:r>
    </w:p>
    <w:p>
      <w:pPr>
        <w:spacing w:after="0" w:line="18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December 2022, we made additional investments in Founders One, LLC ("Founders") in the form of a $15.0 million additional capital contribution and a $15.0 million loan. The proceeds of these additional investments were passed on to Simple Management Group, Inc. ("SMG") and used by SMG to complete the acquisition of FFI Holdings, Inc. SMG owns and operates 73 pawn stores in the Caribbean and Florida. See Note 5 of Notes to Interim Condensed Consolidated Financial Statements included in "Part I, Item 1 — Financial Statements."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and Same Store Financial Information</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months ended December 31, 2022 and December 31, 2021 were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6" w:lineRule="exact"/>
        <w:rPr>
          <w:sz w:val="20"/>
          <w:szCs w:val="20"/>
          <w:color w:val="auto"/>
        </w:rPr>
      </w:pPr>
    </w:p>
    <w:p>
      <w:pPr>
        <w:ind w:left="7100"/>
        <w:spacing w:after="0"/>
        <w:tabs>
          <w:tab w:leader="none" w:pos="822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1388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Three Months Ended</w:t>
      </w:r>
    </w:p>
    <w:p>
      <w:pPr>
        <w:jc w:val="center"/>
        <w:ind w:right="3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10795</wp:posOffset>
            </wp:positionV>
            <wp:extent cx="1388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6"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23495</wp:posOffset>
            </wp:positionV>
            <wp:extent cx="13887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8620" w:space="720"/>
            <w:col w:w="1900"/>
          </w:cols>
          <w:pgMar w:left="320" w:top="14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37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19.5</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20.5</w:t>
            </w: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19.7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3700" w:type="dxa"/>
            <w:vAlign w:val="bottom"/>
          </w:tcPr>
          <w:p>
            <w:pPr>
              <w:jc w:val="right"/>
              <w:ind w:right="339"/>
              <w:spacing w:after="0"/>
              <w:rPr>
                <w:sz w:val="20"/>
                <w:szCs w:val="20"/>
                <w:color w:val="auto"/>
              </w:rPr>
            </w:pPr>
            <w:r>
              <w:rPr>
                <w:rFonts w:ascii="Arial" w:cs="Arial" w:eastAsia="Arial" w:hAnsi="Arial"/>
                <w:sz w:val="16"/>
                <w:szCs w:val="16"/>
                <w:color w:val="auto"/>
              </w:rPr>
              <w:t>7.7</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7.5</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7.7</w:t>
            </w:r>
          </w:p>
        </w:tc>
        <w:tc>
          <w:tcPr>
            <w:tcW w:w="8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37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24.4</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24.1</w:t>
            </w: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Australian dollar</w:t>
            </w:r>
          </w:p>
        </w:tc>
        <w:tc>
          <w:tcPr>
            <w:tcW w:w="3700" w:type="dxa"/>
            <w:vAlign w:val="bottom"/>
          </w:tcPr>
          <w:p>
            <w:pPr>
              <w:jc w:val="right"/>
              <w:ind w:right="339"/>
              <w:spacing w:after="0"/>
              <w:rPr>
                <w:sz w:val="20"/>
                <w:szCs w:val="20"/>
                <w:color w:val="auto"/>
              </w:rPr>
            </w:pPr>
            <w:r>
              <w:rPr>
                <w:rFonts w:ascii="Arial" w:cs="Arial" w:eastAsia="Arial" w:hAnsi="Arial"/>
                <w:sz w:val="16"/>
                <w:szCs w:val="16"/>
                <w:color w:val="auto"/>
              </w:rPr>
              <w:t>1.5</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1.4</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1.5</w:t>
            </w: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segments;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the net income of Cash Converters along with our investment in Founders and RDC.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Count by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2022</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 vs. Three Months Ended December 31, 2021</w:t>
      </w:r>
    </w:p>
    <w:p>
      <w:pPr>
        <w:spacing w:after="0" w:line="1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69,310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56,557</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23%</w:t>
            </w:r>
          </w:p>
        </w:tc>
      </w:tr>
      <w:tr>
        <w:trPr>
          <w:trHeight w:val="219"/>
        </w:trPr>
        <w:tc>
          <w:tcPr>
            <w:tcW w:w="6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118,314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102,078</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16%</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45,058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44,246</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(500)bps</w:t>
            </w:r>
          </w:p>
        </w:tc>
      </w:tr>
      <w:tr>
        <w:trPr>
          <w:trHeight w:val="219"/>
        </w:trPr>
        <w:tc>
          <w:tcPr>
            <w:tcW w:w="6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7,176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4,980</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44%</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1,005</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(700)bps</w:t>
            </w:r>
          </w:p>
        </w:tc>
      </w:tr>
      <w:tr>
        <w:trPr>
          <w:trHeight w:val="219"/>
        </w:trPr>
        <w:tc>
          <w:tcPr>
            <w:tcW w:w="6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115,353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101,830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13%</w:t>
            </w:r>
          </w:p>
        </w:tc>
      </w:tr>
      <w:tr>
        <w:trPr>
          <w:trHeight w:val="216"/>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73,304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64,689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13%</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2,670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20"/>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39,291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34,471</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03"/>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284,880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231,408</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23%</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270</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17%</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100bps</w:t>
            </w:r>
          </w:p>
        </w:tc>
      </w:tr>
    </w:tbl>
    <w:p>
      <w:pPr>
        <w:spacing w:after="0" w:line="140"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PLO ended the quarter at $166.9 million, up 18% (15% on a same store basis).</w:t>
      </w:r>
    </w:p>
    <w:p>
      <w:pPr>
        <w:spacing w:after="0" w:line="17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Total revenue was up 19%, and gross profit increased 13%, driven by increased pawn service charges, higher merchandise sales and improved merchandise sales gross profit.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PSC increased 23%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gross margin decreased to 38% from 43%, reflecting a more normalized operating environment.</w:t>
      </w:r>
    </w:p>
    <w:p>
      <w:pPr>
        <w:spacing w:after="0" w:line="17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Store expenses increased 13% primarily due to increased labor in-line with store activity and, to a lesser extent, expenses related to our loyalty program and rent associated with lease renewals.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14% to $39.3 million, due to the changes noted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store count increased by 10 stores during this quarter due to two acquisitions.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Constant Currency and Same Store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580"/>
              <w:spacing w:after="0"/>
              <w:rPr>
                <w:sz w:val="20"/>
                <w:szCs w:val="20"/>
                <w:color w:val="auto"/>
              </w:rPr>
            </w:pPr>
            <w:r>
              <w:rPr>
                <w:rFonts w:ascii="Arial" w:cs="Arial" w:eastAsia="Arial" w:hAnsi="Arial"/>
                <w:sz w:val="16"/>
                <w:szCs w:val="16"/>
                <w:b w:val="1"/>
                <w:bCs w:val="1"/>
                <w:color w:val="auto"/>
              </w:rPr>
              <w:t>Three Months Ended December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2022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2021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2022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23,283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19,468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22,479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45,473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35,642</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43,596</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22%</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10,363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13,289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28%</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100bps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1,964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37,122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30,238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35,754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27,499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22,082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26,438</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20%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6,176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7,191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(61)%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7,529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6,487</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7,485</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15%</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64,490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78,345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2022 Change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2022 Change</w:t>
            </w:r>
          </w:p>
        </w:tc>
      </w:tr>
      <w:tr>
        <w:trPr>
          <w:trHeight w:val="215"/>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7"/>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18%</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18%</w:t>
            </w:r>
          </w:p>
        </w:tc>
      </w:tr>
    </w:tbl>
    <w:p>
      <w:pPr>
        <w:spacing w:after="0" w:line="242" w:lineRule="exact"/>
        <w:rPr>
          <w:sz w:val="20"/>
          <w:szCs w:val="20"/>
          <w:color w:val="auto"/>
        </w:rPr>
      </w:pPr>
    </w:p>
    <w:p>
      <w:pPr>
        <w:jc w:val="both"/>
        <w:ind w:right="200"/>
        <w:spacing w:after="0" w:line="246" w:lineRule="auto"/>
        <w:rPr>
          <w:sz w:val="20"/>
          <w:szCs w:val="20"/>
          <w:color w:val="auto"/>
        </w:rPr>
      </w:pPr>
      <w:r>
        <w:rPr>
          <w:rFonts w:ascii="Arial" w:cs="Arial" w:eastAsia="Arial" w:hAnsi="Arial"/>
          <w:sz w:val="18"/>
          <w:szCs w:val="18"/>
          <w:color w:val="auto"/>
        </w:rPr>
        <w:t>PLO improved to $43.0 million, up 21% (17% on constant currency basis). On a same store basis, PLO increased 19% (15% on a constant currency basis).</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Total revenue was up 21% (16% on constant currency basis), while gross profit increased 23% (18% on a constant currency basis), reflecting increased PSC, higher merchandise sales and improved merchandise sales gross profit.</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PSC increased 20% (15% on a constant currency basis)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gross margin increased slightly from 29% to 30%.</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Store expenses increased 25% (20% on a constant currency basis), primarily due to increased labor in-line with store activity and, to a lesser extent, expenses related to our loyalty program and rent associated with lease renewals. Same-store expenses increased 22% (18% on a constant currency basis).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16% (15% on a constant currency basis) to $7.5 million, due to the changes noted above.</w:t>
      </w:r>
    </w:p>
    <w:p>
      <w:pPr>
        <w:spacing w:after="0" w:line="15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Segment store count increased by one store due to the net impact of opening two de novo stores and the consolidation of one store during the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(49)%</w:t>
            </w:r>
          </w:p>
        </w:tc>
      </w:tr>
      <w:tr>
        <w:trPr>
          <w:trHeight w:val="212"/>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(49)%</w:t>
            </w: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39%</w:t>
            </w:r>
          </w:p>
        </w:tc>
      </w:tr>
      <w:tr>
        <w:trPr>
          <w:trHeight w:val="212"/>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36%</w:t>
            </w: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expense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(133)%</w:t>
            </w:r>
          </w:p>
        </w:tc>
      </w:tr>
      <w:tr>
        <w:trPr>
          <w:trHeight w:val="220"/>
        </w:trPr>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34%</w:t>
            </w: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Segment contribution was $1.6 million, an increase of $0.4 million due to the increase in equity income for our unconsolidated affiliate Cash Converters. A recent law change in Australia could adversely impact Cash Converters' operations and financial position. See "Part II, Item 1A — Risk Factors" of this Report.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15%</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155%</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21,347</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15%</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7,760</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5,626</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38%</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16,778</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15,721</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7%</w:t>
            </w:r>
          </w:p>
        </w:tc>
      </w:tr>
    </w:tbl>
    <w:p>
      <w:pPr>
        <w:spacing w:after="0" w:line="140"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52"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Segment contribution increased $6.3 million or 15% over the prior year quarter primarily due to the improved operating results of the segments above.</w:t>
      </w:r>
    </w:p>
    <w:p>
      <w:pPr>
        <w:spacing w:after="0" w:line="1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recorded a $3.5 million loss on extinguishment of debt.</w:t>
      </w:r>
    </w:p>
    <w:p>
      <w:pPr>
        <w:spacing w:after="0" w:line="15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Income tax expense increased $2.1 million primarily due to an increase in income before income taxes of $3.2 million this quarter compared to the prior year quarter as well as the non-deductible loss on the convertible debt refinancing.</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2022 Note 11: Income Taxes of Notes to Consolidated Financial Statements included in “Part II, Item 8 — Financial Statements and Supplemental Data” for quantification of these items.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215"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currently believe that, based on available capital resources and projected operating cash flow, we have adequate capital resources to fund working capital needs, currently anticipated capital expenditures, currently anticipated business growth and expansion, tax payments, and current and projected debt service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cash and equivalents balance was $207.7 million at December 31, 2022 compared to $206.0 million at September 30, 2022. At December 31, 2022, our cash and equivalents were held in cash depository accounts with major banks or invested in high quality, short-term liquid investments.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9,018</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29%</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(44,618)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(30,603)</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46%</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r>
        <w:trPr>
          <w:trHeight w:val="21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2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8"/>
              </w:rPr>
              <w:t>(16)%</w:t>
            </w:r>
          </w:p>
        </w:tc>
      </w:tr>
      <w:tr>
        <w:trPr>
          <w:trHeight w:val="219"/>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(21,658)</w:t>
            </w:r>
          </w:p>
        </w:tc>
        <w:tc>
          <w:tcPr>
            <w:tcW w:w="12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(108)%</w:t>
            </w:r>
          </w:p>
        </w:tc>
      </w:tr>
    </w:tbl>
    <w:p>
      <w:pPr>
        <w:spacing w:after="0" w:line="140"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increase in cash flows provided by operating activities year-over-year was primarily due to favorable changes in working capital primarily related to the timing of payments of accounts payable, partially offset by a $1.1 million increase in net income and a higher change in the provision for inventory reserve.</w:t>
      </w:r>
    </w:p>
    <w:p>
      <w:pPr>
        <w:spacing w:after="0" w:line="148"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The $14.0 million increase in cash flows used in investing activities year-over-year was primarily due to $26.5 million higher outgoing cash flows used to fund acquisitions and strategic investments, and an increase of $9.0 million in net pawn lending, partially offset by an $22.7 million increase in the sale of forfeited collateral. Of the $26.5 million used to fund other investments, the largest amount is</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$15.0 million related to a note receivable from Founders, as discussed in Note 5: Strategic Investments in Part I, Item 1 - Notes to Interim Condensed Consolidated Financial Statements.</w:t>
      </w:r>
    </w:p>
    <w:p>
      <w:pPr>
        <w:spacing w:after="0" w:line="14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$34.8 million increase in cash flows provided by financing activities was primarily related to the December 2022 financing of the 2029 Convertible Notes, in which we issued $230.0 million (less issuance costs) principal amount of 3.750% Convertible Senior Notes Due 2029 offset by the extinguishment of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$ 5.0 million of the net proceeds from the 2029 Convertible Notes offering to repurchase 578,703 shares of our Class A common stock from purchasers of the notes in privately negotiated transactions.</w:t>
      </w:r>
    </w:p>
    <w:p>
      <w:pPr>
        <w:spacing w:after="0" w:line="153"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The net effect of these changes was a $1.6 million increase in cash on hand during the current year to date period, resulting in a $216.0 million ending cash and restricted cash balance.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8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December 2022, we issued $230.0 million aggregate principal amount of 2029 Convertible Notes. In conjunction with the issuance of the 2029 Convertible Notes, we extinguished approximately $109.4 million aggregate principal amount of our 2024 Convertible Notes for approximately $117.5 million plus accrued interest and approximately $ 69.1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7 of Notes to Interim Condensed Consolidated Financial Statements included in "Part I, Item 1 — Financial Statements."</w:t>
      </w:r>
    </w:p>
    <w:p>
      <w:pPr>
        <w:spacing w:after="0" w:line="15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May 3, 2022, our Board authorized the repurchase of up to $50 million of our Class A Common Stock over three years. As of December 31, 2022, we have repurchased 481,005 shares of our Class A Common Stock under the program for $4.1 million. Execution of the program will be responsive to fluctuating market conditions and valuations, liquidity needs and the expected return on investment compared to other opportunities.</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See Note 8 of Notes to Interim Condensed Consolidated Financial Statements included in "Part I, Item 1 — Financial Statements."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strategic investments, our contractual obligations, planned de novo store growth, capital expenditures and working capital requirements through fiscal 2023.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Depending on the level of acquisition activity and other factors, our ability to repay our</w:t>
      </w:r>
      <w:r>
        <w:rPr>
          <w:rFonts w:ascii="Arial" w:cs="Arial" w:eastAsia="Arial" w:hAnsi="Arial"/>
          <w:sz w:val="18"/>
          <w:szCs w:val="18"/>
          <w:color w:val="auto"/>
        </w:rPr>
        <w:t xml:space="preserve"> </w:t>
      </w:r>
      <w:r>
        <w:rPr>
          <w:rFonts w:ascii="Arial" w:cs="Arial" w:eastAsia="Arial" w:hAnsi="Arial"/>
          <w:sz w:val="18"/>
          <w:szCs w:val="18"/>
          <w:color w:val="212529"/>
        </w:rPr>
        <w:t>longer-term debt obligations, including the convertible debt maturing in 2024, 2025 and 2029, may require us to refinance these obligations through the issuance of new debt securities, equity securities, convertible securities or through new credit facilities.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of our Annual Report on Form 10-K for the year ended September 30, 2022, we reported that we had $ 608.0 million in total contractual obligations as of September 30, 2022. There have been no material changes to this total obligation since September 30, 2022, other than the convertible debt refinancing and lease liabilities changes as further discussed in Note 7: Debt and Note 4: Leases, respectively, of Notes to Interim Condensed Consolidated Financial Statements included in "Part I, Item 1 — Financial Statements."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2022, these collectively amounted to $15.2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2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reviewed all recently issued accounting pronouncements and concluded that they were either not applicable or not expected to have a material impact on our Condensed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201" w:lineRule="exact"/>
        <w:rPr>
          <w:sz w:val="20"/>
          <w:szCs w:val="20"/>
          <w:color w:val="auto"/>
        </w:rPr>
      </w:pPr>
    </w:p>
    <w:p>
      <w:pPr>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36">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36">
        <w:r>
          <w:rPr>
            <w:rFonts w:ascii="Arial" w:cs="Arial" w:eastAsia="Arial" w:hAnsi="Arial"/>
            <w:sz w:val="18"/>
            <w:szCs w:val="18"/>
            <w:color w:val="auto"/>
          </w:rPr>
          <w:t xml:space="preserve">Item 1A — Risk Factors" of our Annual Report on Form 10-K for the year ended September 30, 2022 and "Part II, Item 1A — Risk Factors" </w:t>
        </w:r>
      </w:hyperlink>
      <w:r>
        <w:rPr>
          <w:rFonts w:ascii="Arial" w:cs="Arial" w:eastAsia="Arial" w:hAnsi="Arial"/>
          <w:sz w:val="18"/>
          <w:szCs w:val="18"/>
          <w:color w:val="auto"/>
        </w:rPr>
        <w:t>of this Report.</w:t>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2022. There have been no material changes in our reported market risks or risk management policies since the filing of our Annual Report on Form 10-K for the year ended September 30, 2022.</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December 31, 2022. Our principal executive officer and principal financial officer have concluded that as of December 31, 2022,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8" w:lineRule="exact"/>
        <w:rPr>
          <w:sz w:val="20"/>
          <w:szCs w:val="20"/>
          <w:color w:val="auto"/>
        </w:rPr>
      </w:pPr>
    </w:p>
    <w:p>
      <w:pPr>
        <w:ind w:right="3600" w:firstLine="3627"/>
        <w:spacing w:after="0" w:line="401" w:lineRule="auto"/>
        <w:rPr>
          <w:sz w:val="20"/>
          <w:szCs w:val="20"/>
          <w:color w:val="auto"/>
        </w:rPr>
      </w:pPr>
      <w:r>
        <w:rPr>
          <w:rFonts w:ascii="Arial" w:cs="Arial" w:eastAsia="Arial" w:hAnsi="Arial"/>
          <w:sz w:val="25"/>
          <w:szCs w:val="25"/>
          <w:b w:val="1"/>
          <w:bCs w:val="1"/>
          <w:color w:val="00497F"/>
        </w:rPr>
        <w:t>PART II — OTHER INFORMATION ITEM 1. LEGAL PROCEEDINGS</w:t>
      </w:r>
    </w:p>
    <w:p>
      <w:pPr>
        <w:ind w:right="700"/>
        <w:spacing w:after="0" w:line="261" w:lineRule="auto"/>
        <w:rPr>
          <w:sz w:val="20"/>
          <w:szCs w:val="20"/>
          <w:color w:val="auto"/>
        </w:rPr>
      </w:pPr>
      <w:r>
        <w:rPr>
          <w:rFonts w:ascii="Arial" w:cs="Arial" w:eastAsia="Arial" w:hAnsi="Arial"/>
          <w:sz w:val="18"/>
          <w:szCs w:val="18"/>
          <w:color w:val="auto"/>
        </w:rPr>
        <w:t>See Note 9: Contingencies of Notes to Interim Condensed Consolidated Financial Statements included in "Part I, Item 1 —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215" w:lineRule="exact"/>
        <w:rPr>
          <w:sz w:val="20"/>
          <w:szCs w:val="20"/>
          <w:color w:val="auto"/>
        </w:rPr>
      </w:pPr>
    </w:p>
    <w:p>
      <w:pPr>
        <w:ind w:right="1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Important risk factors that could affect our operations and financial performance, or that could cause results or events to differ from current expectations, are described in </w:t>
      </w:r>
      <w:hyperlink r:id="rId36">
        <w:r>
          <w:rPr>
            <w:rFonts w:ascii="Arial" w:cs="Arial" w:eastAsia="Arial" w:hAnsi="Arial"/>
            <w:sz w:val="18"/>
            <w:szCs w:val="18"/>
            <w:color w:val="auto"/>
          </w:rPr>
          <w:t xml:space="preserve">"Part I, Item 1A — Risk Factors" of our Annual Report on Form 10-K for the year ended September 30, </w:t>
        </w:r>
      </w:hyperlink>
      <w:r>
        <w:rPr>
          <w:rFonts w:ascii="Arial" w:cs="Arial" w:eastAsia="Arial" w:hAnsi="Arial"/>
          <w:sz w:val="18"/>
          <w:szCs w:val="18"/>
          <w:color w:val="auto"/>
        </w:rPr>
        <w:t>2022, as supplemented by the information set forth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law change in Australia could adversely impact Cash Converters’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2022, the Australian Parliament passed the Financial Sector Reform Bill 2022, which establishes lending limits on small amount credit contracts. The bill becomes effective in June 2023, and could adversely impact the financial position or results of operations of Cash Converters, in which the Company has an equity investment. We cannot estimate the financial effect that this bill may have on our investment at this time.</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Unregistered Sale of Equity Security and Use of Proceeds</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quarter ended 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0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jc w:val="right"/>
              <w:ind w:right="995"/>
              <w:spacing w:after="0"/>
              <w:rPr>
                <w:sz w:val="20"/>
                <w:szCs w:val="20"/>
                <w:color w:val="auto"/>
              </w:rPr>
            </w:pPr>
            <w:r>
              <w:rPr>
                <w:rFonts w:ascii="Arial" w:cs="Arial" w:eastAsia="Arial" w:hAnsi="Arial"/>
                <w:sz w:val="16"/>
                <w:szCs w:val="16"/>
                <w:b w:val="1"/>
                <w:bCs w:val="1"/>
                <w:color w:val="auto"/>
              </w:rPr>
              <w:t>Share Repurchases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3"/>
                <w:szCs w:val="13"/>
                <w:color w:val="auto"/>
              </w:rPr>
            </w:pPr>
          </w:p>
        </w:tc>
        <w:tc>
          <w:tcPr>
            <w:tcW w:w="1640" w:type="dxa"/>
            <w:vAlign w:val="bottom"/>
          </w:tcPr>
          <w:p>
            <w:pPr>
              <w:jc w:val="right"/>
              <w:ind w:right="52"/>
              <w:spacing w:after="0" w:line="158" w:lineRule="exact"/>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8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99"/>
              </w:rPr>
              <w:t>Average Price Paid</w:t>
            </w: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Part of Publicly</w:t>
            </w:r>
          </w:p>
        </w:tc>
        <w:tc>
          <w:tcPr>
            <w:tcW w:w="18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 xml:space="preserve">Shares Purchased </w:t>
            </w:r>
            <w:r>
              <w:rPr>
                <w:rFonts w:ascii="Arial" w:cs="Arial" w:eastAsia="Arial" w:hAnsi="Arial"/>
                <w:sz w:val="18"/>
                <w:szCs w:val="18"/>
                <w:b w:val="1"/>
                <w:bCs w:val="1"/>
                <w:color w:val="auto"/>
                <w:vertAlign w:val="superscript"/>
              </w:rPr>
              <w:t>(1)</w:t>
            </w:r>
          </w:p>
        </w:tc>
        <w:tc>
          <w:tcPr>
            <w:tcW w:w="2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54"/>
              <w:spacing w:after="0" w:line="162" w:lineRule="exact"/>
              <w:rPr>
                <w:sz w:val="20"/>
                <w:szCs w:val="20"/>
                <w:color w:val="auto"/>
              </w:rPr>
            </w:pPr>
            <w:r>
              <w:rPr>
                <w:rFonts w:ascii="Arial" w:cs="Arial" w:eastAsia="Arial" w:hAnsi="Arial"/>
                <w:sz w:val="16"/>
                <w:szCs w:val="16"/>
                <w:b w:val="1"/>
                <w:bCs w:val="1"/>
                <w:color w:val="auto"/>
              </w:rPr>
              <w:t>Per Share</w:t>
            </w:r>
          </w:p>
        </w:tc>
        <w:tc>
          <w:tcPr>
            <w:tcW w:w="18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Announced Programs</w:t>
            </w:r>
          </w:p>
        </w:tc>
        <w:tc>
          <w:tcPr>
            <w:tcW w:w="1800" w:type="dxa"/>
            <w:vAlign w:val="bottom"/>
            <w:tcBorders>
              <w:bottom w:val="single" w:sz="8" w:color="auto"/>
            </w:tcBorders>
            <w:gridSpan w:val="2"/>
          </w:tcPr>
          <w:p>
            <w:pPr>
              <w:ind w:left="60"/>
              <w:spacing w:after="0" w:line="162" w:lineRule="exact"/>
              <w:rPr>
                <w:sz w:val="20"/>
                <w:szCs w:val="20"/>
                <w:color w:val="auto"/>
              </w:rPr>
            </w:pPr>
            <w:r>
              <w:rPr>
                <w:rFonts w:ascii="Arial" w:cs="Arial" w:eastAsia="Arial" w:hAnsi="Arial"/>
                <w:sz w:val="14"/>
                <w:szCs w:val="14"/>
                <w:b w:val="1"/>
                <w:bCs w:val="1"/>
                <w:color w:val="auto"/>
              </w:rPr>
              <w:t xml:space="preserve">Under the Programs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5640" w:type="dxa"/>
            <w:vAlign w:val="bottom"/>
            <w:gridSpan w:val="5"/>
          </w:tcPr>
          <w:p>
            <w:pPr>
              <w:ind w:left="1680"/>
              <w:spacing w:after="0"/>
              <w:rPr>
                <w:sz w:val="20"/>
                <w:szCs w:val="20"/>
                <w:color w:val="auto"/>
              </w:rPr>
            </w:pPr>
            <w:r>
              <w:rPr>
                <w:rFonts w:ascii="Arial" w:cs="Arial" w:eastAsia="Arial" w:hAnsi="Arial"/>
                <w:sz w:val="13"/>
                <w:szCs w:val="13"/>
                <w:color w:val="auto"/>
                <w:w w:val="96"/>
              </w:rPr>
              <w:t>(in thousands, except number of shares and average price information)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2022 through October 31, 2022</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115,902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8.32</w:t>
            </w:r>
          </w:p>
        </w:tc>
        <w:tc>
          <w:tcPr>
            <w:tcW w:w="1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115,902</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47,001</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November 1, 2022 through November 30, 2022</w:t>
            </w:r>
          </w:p>
        </w:tc>
        <w:tc>
          <w:tcPr>
            <w:tcW w:w="17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N/A</w:t>
            </w:r>
          </w:p>
        </w:tc>
        <w:tc>
          <w:tcPr>
            <w:tcW w:w="18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47,001</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 2022 through December 31, 2022</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705,863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8.58</w:t>
            </w:r>
          </w:p>
        </w:tc>
        <w:tc>
          <w:tcPr>
            <w:tcW w:w="1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127,160</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45,941</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Quarter ended December 31, 2022</w:t>
            </w:r>
          </w:p>
        </w:tc>
        <w:tc>
          <w:tcPr>
            <w:tcW w:w="1760" w:type="dxa"/>
            <w:vAlign w:val="bottom"/>
          </w:tcPr>
          <w:p>
            <w:pPr>
              <w:jc w:val="right"/>
              <w:ind w:right="2"/>
              <w:spacing w:after="0"/>
              <w:rPr>
                <w:sz w:val="20"/>
                <w:szCs w:val="20"/>
                <w:color w:val="auto"/>
              </w:rPr>
            </w:pPr>
            <w:r>
              <w:rPr>
                <w:rFonts w:ascii="Arial" w:cs="Arial" w:eastAsia="Arial" w:hAnsi="Arial"/>
                <w:sz w:val="18"/>
                <w:szCs w:val="18"/>
                <w:color w:val="auto"/>
              </w:rPr>
              <w:t>821,765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8.55</w:t>
            </w:r>
          </w:p>
        </w:tc>
        <w:tc>
          <w:tcPr>
            <w:tcW w:w="1840" w:type="dxa"/>
            <w:vAlign w:val="bottom"/>
          </w:tcPr>
          <w:p>
            <w:pPr>
              <w:jc w:val="right"/>
              <w:spacing w:after="0"/>
              <w:rPr>
                <w:sz w:val="20"/>
                <w:szCs w:val="20"/>
                <w:color w:val="auto"/>
              </w:rPr>
            </w:pPr>
            <w:r>
              <w:rPr>
                <w:rFonts w:ascii="Arial" w:cs="Arial" w:eastAsia="Arial" w:hAnsi="Arial"/>
                <w:sz w:val="18"/>
                <w:szCs w:val="18"/>
                <w:color w:val="auto"/>
              </w:rPr>
              <w:t>243,062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45,941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40" w:hanging="230"/>
        <w:spacing w:after="0" w:line="225" w:lineRule="auto"/>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May 3, 2022, the Board of Directors approved a share repurchase program, under which we are authorized to repurchase up to $50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p>
      <w:pPr>
        <w:spacing w:after="0" w:line="30" w:lineRule="exact"/>
        <w:rPr>
          <w:rFonts w:ascii="Arial" w:cs="Arial" w:eastAsia="Arial" w:hAnsi="Arial"/>
          <w:sz w:val="14"/>
          <w:szCs w:val="14"/>
          <w:color w:val="auto"/>
        </w:rPr>
      </w:pPr>
    </w:p>
    <w:p>
      <w:pPr>
        <w:ind w:left="440" w:right="140" w:hanging="230"/>
        <w:spacing w:after="0" w:line="226" w:lineRule="auto"/>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December 12, 2022, we used approximately $5.0 million of the net proceeds from the 2029 Convertible Notes offering to repurchase 578,703 shares of our Class A common stock from purchasers of our 2029 Convertible Notes in privately negotiated transactions. Such transactions were authorized separately from, and not considered a part of, the publicly announced share repurchase program referred to in footnote (1) above.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3"/>
          </w:tcPr>
          <w:p>
            <w:pPr>
              <w:jc w:val="center"/>
              <w:ind w:right="619"/>
              <w:spacing w:after="0"/>
              <w:rPr>
                <w:sz w:val="20"/>
                <w:szCs w:val="20"/>
                <w:color w:val="auto"/>
              </w:rPr>
            </w:pPr>
            <w:r>
              <w:rPr>
                <w:rFonts w:ascii="Arial" w:cs="Arial" w:eastAsia="Arial" w:hAnsi="Arial"/>
                <w:sz w:val="16"/>
                <w:szCs w:val="16"/>
                <w:b w:val="1"/>
                <w:bCs w:val="1"/>
                <w:color w:val="auto"/>
              </w:rPr>
              <w:t>Incorporated by Reference</w:t>
            </w:r>
          </w:p>
        </w:tc>
      </w:tr>
      <w:tr>
        <w:trPr>
          <w:trHeight w:val="21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4960" w:type="dxa"/>
            <w:vAlign w:val="bottom"/>
            <w:tcBorders>
              <w:bottom w:val="single" w:sz="8" w:color="auto"/>
            </w:tcBorders>
            <w:gridSpan w:val="18"/>
          </w:tcPr>
          <w:p>
            <w:pPr>
              <w:spacing w:after="0"/>
              <w:rPr>
                <w:sz w:val="20"/>
                <w:szCs w:val="20"/>
                <w:color w:val="auto"/>
              </w:rPr>
            </w:pPr>
            <w:r>
              <w:rPr>
                <w:rFonts w:ascii="Arial" w:cs="Arial" w:eastAsia="Arial" w:hAnsi="Arial"/>
                <w:sz w:val="16"/>
                <w:szCs w:val="16"/>
                <w:b w:val="1"/>
                <w:bCs w:val="1"/>
                <w:color w:val="auto"/>
              </w:rPr>
              <w:t>Description of Exhibit</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File No.</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r>
      <w:tr>
        <w:trPr>
          <w:trHeight w:val="210"/>
        </w:trPr>
        <w:tc>
          <w:tcPr>
            <w:tcW w:w="8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5100" w:type="dxa"/>
            <w:vAlign w:val="bottom"/>
            <w:gridSpan w:val="19"/>
          </w:tcPr>
          <w:p>
            <w:pPr>
              <w:spacing w:after="0"/>
              <w:rPr>
                <w:rFonts w:ascii="Arial" w:cs="Arial" w:eastAsia="Arial" w:hAnsi="Arial"/>
                <w:sz w:val="16"/>
                <w:szCs w:val="16"/>
                <w:color w:val="0000FF"/>
              </w:rPr>
            </w:pPr>
            <w:hyperlink r:id="rId56">
              <w:r>
                <w:rPr>
                  <w:rFonts w:ascii="Arial" w:cs="Arial" w:eastAsia="Arial" w:hAnsi="Arial"/>
                  <w:sz w:val="16"/>
                  <w:szCs w:val="16"/>
                  <w:color w:val="0000FF"/>
                </w:rPr>
                <w:t>Indenture, dated December 12, 2022, between EZCORP, Inc. and</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ind w:left="180"/>
              <w:spacing w:after="0"/>
              <w:rPr>
                <w:sz w:val="20"/>
                <w:szCs w:val="20"/>
                <w:color w:val="auto"/>
              </w:rPr>
            </w:pPr>
            <w:r>
              <w:rPr>
                <w:rFonts w:ascii="Arial" w:cs="Arial" w:eastAsia="Arial" w:hAnsi="Arial"/>
                <w:sz w:val="16"/>
                <w:szCs w:val="16"/>
                <w:color w:val="auto"/>
              </w:rPr>
              <w:t>0-19424</w:t>
            </w:r>
          </w:p>
        </w:tc>
        <w:tc>
          <w:tcPr>
            <w:tcW w:w="9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720" w:type="dxa"/>
            <w:vAlign w:val="bottom"/>
          </w:tcPr>
          <w:p>
            <w:pPr>
              <w:jc w:val="center"/>
              <w:spacing w:after="0"/>
              <w:rPr>
                <w:sz w:val="20"/>
                <w:szCs w:val="20"/>
                <w:color w:val="auto"/>
              </w:rPr>
            </w:pPr>
            <w:r>
              <w:rPr>
                <w:rFonts w:ascii="Arial" w:cs="Arial" w:eastAsia="Arial" w:hAnsi="Arial"/>
                <w:sz w:val="16"/>
                <w:szCs w:val="16"/>
                <w:color w:val="auto"/>
              </w:rPr>
              <w:t>December 13, 2022</w:t>
            </w:r>
          </w:p>
        </w:tc>
      </w:tr>
      <w:tr>
        <w:trPr>
          <w:trHeight w:val="142"/>
        </w:trPr>
        <w:tc>
          <w:tcPr>
            <w:tcW w:w="80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56">
              <w:r>
                <w:rPr>
                  <w:rFonts w:ascii="Arial" w:cs="Arial" w:eastAsia="Arial" w:hAnsi="Arial"/>
                  <w:sz w:val="16"/>
                  <w:szCs w:val="16"/>
                  <w:color w:val="0000FF"/>
                  <w:w w:val="99"/>
                </w:rPr>
                <w:t>Truist Bank, as trustee</w:t>
              </w:r>
            </w:hyperlink>
          </w:p>
        </w:tc>
        <w:tc>
          <w:tcPr>
            <w:tcW w:w="31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10.1</w:t>
            </w:r>
          </w:p>
        </w:tc>
        <w:tc>
          <w:tcPr>
            <w:tcW w:w="5100" w:type="dxa"/>
            <w:vAlign w:val="bottom"/>
            <w:gridSpan w:val="19"/>
          </w:tcPr>
          <w:p>
            <w:pPr>
              <w:spacing w:after="0"/>
              <w:rPr>
                <w:rFonts w:ascii="Arial" w:cs="Arial" w:eastAsia="Arial" w:hAnsi="Arial"/>
                <w:sz w:val="16"/>
                <w:szCs w:val="16"/>
                <w:color w:val="0000FF"/>
              </w:rPr>
            </w:pPr>
            <w:hyperlink r:id="rId57">
              <w:r>
                <w:rPr>
                  <w:rFonts w:ascii="Arial" w:cs="Arial" w:eastAsia="Arial" w:hAnsi="Arial"/>
                  <w:sz w:val="16"/>
                  <w:szCs w:val="16"/>
                  <w:color w:val="0000FF"/>
                </w:rPr>
                <w:t>Purchase Agreement, dated December 7, 2022, between EZCORP,</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ind w:left="180"/>
              <w:spacing w:after="0"/>
              <w:rPr>
                <w:sz w:val="20"/>
                <w:szCs w:val="20"/>
                <w:color w:val="auto"/>
              </w:rPr>
            </w:pPr>
            <w:r>
              <w:rPr>
                <w:rFonts w:ascii="Arial" w:cs="Arial" w:eastAsia="Arial" w:hAnsi="Arial"/>
                <w:sz w:val="16"/>
                <w:szCs w:val="16"/>
                <w:color w:val="auto"/>
              </w:rPr>
              <w:t>0-19424</w:t>
            </w: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720" w:type="dxa"/>
            <w:vAlign w:val="bottom"/>
          </w:tcPr>
          <w:p>
            <w:pPr>
              <w:jc w:val="center"/>
              <w:spacing w:after="0"/>
              <w:rPr>
                <w:sz w:val="20"/>
                <w:szCs w:val="20"/>
                <w:color w:val="auto"/>
              </w:rPr>
            </w:pPr>
            <w:r>
              <w:rPr>
                <w:rFonts w:ascii="Arial" w:cs="Arial" w:eastAsia="Arial" w:hAnsi="Arial"/>
                <w:sz w:val="16"/>
                <w:szCs w:val="16"/>
                <w:color w:val="auto"/>
              </w:rPr>
              <w:t>December 13, 2022</w:t>
            </w:r>
          </w:p>
        </w:tc>
      </w:tr>
      <w:tr>
        <w:trPr>
          <w:trHeight w:val="142"/>
        </w:trPr>
        <w:tc>
          <w:tcPr>
            <w:tcW w:w="80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Inc. and Morgan Stanley &amp; Co. L.L.C. as representative of the Initial</w:t>
              </w:r>
            </w:hyperlink>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20" w:type="dxa"/>
            <w:vAlign w:val="bottom"/>
            <w:tcBorders>
              <w:bottom w:val="single" w:sz="8" w:color="0000FF"/>
            </w:tcBorders>
          </w:tcPr>
          <w:p>
            <w:pPr>
              <w:spacing w:after="0" w:line="142" w:lineRule="exact"/>
              <w:rPr>
                <w:rFonts w:ascii="Arial" w:cs="Arial" w:eastAsia="Arial" w:hAnsi="Arial"/>
                <w:sz w:val="16"/>
                <w:szCs w:val="16"/>
                <w:color w:val="0000FF"/>
                <w:w w:val="98"/>
              </w:rPr>
            </w:pPr>
            <w:hyperlink r:id="rId57">
              <w:r>
                <w:rPr>
                  <w:rFonts w:ascii="Arial" w:cs="Arial" w:eastAsia="Arial" w:hAnsi="Arial"/>
                  <w:sz w:val="16"/>
                  <w:szCs w:val="16"/>
                  <w:color w:val="0000FF"/>
                  <w:w w:val="98"/>
                </w:rPr>
                <w:t>Purchasers</w:t>
              </w:r>
            </w:hyperlink>
          </w:p>
        </w:tc>
        <w:tc>
          <w:tcPr>
            <w:tcW w:w="4040" w:type="dxa"/>
            <w:vAlign w:val="bottom"/>
            <w:gridSpan w:val="15"/>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10.2</w:t>
            </w:r>
          </w:p>
        </w:tc>
        <w:tc>
          <w:tcPr>
            <w:tcW w:w="5100" w:type="dxa"/>
            <w:vAlign w:val="bottom"/>
            <w:gridSpan w:val="19"/>
          </w:tcPr>
          <w:p>
            <w:pPr>
              <w:spacing w:after="0"/>
              <w:rPr>
                <w:rFonts w:ascii="Arial" w:cs="Arial" w:eastAsia="Arial" w:hAnsi="Arial"/>
                <w:sz w:val="16"/>
                <w:szCs w:val="16"/>
                <w:color w:val="0000FF"/>
              </w:rPr>
            </w:pPr>
            <w:hyperlink r:id="rId58">
              <w:r>
                <w:rPr>
                  <w:rFonts w:ascii="Arial" w:cs="Arial" w:eastAsia="Arial" w:hAnsi="Arial"/>
                  <w:sz w:val="16"/>
                  <w:szCs w:val="16"/>
                  <w:color w:val="0000FF"/>
                </w:rPr>
                <w:t>Amended and Restated EZCORP, Inc. 2022 Long-Term Incentive</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10-K</w:t>
            </w:r>
          </w:p>
        </w:tc>
        <w:tc>
          <w:tcPr>
            <w:tcW w:w="980" w:type="dxa"/>
            <w:vAlign w:val="bottom"/>
          </w:tcPr>
          <w:p>
            <w:pPr>
              <w:ind w:left="180"/>
              <w:spacing w:after="0"/>
              <w:rPr>
                <w:sz w:val="20"/>
                <w:szCs w:val="20"/>
                <w:color w:val="auto"/>
              </w:rPr>
            </w:pPr>
            <w:r>
              <w:rPr>
                <w:rFonts w:ascii="Arial" w:cs="Arial" w:eastAsia="Arial" w:hAnsi="Arial"/>
                <w:sz w:val="16"/>
                <w:szCs w:val="16"/>
                <w:color w:val="auto"/>
              </w:rPr>
              <w:t>0-19424</w:t>
            </w:r>
          </w:p>
        </w:tc>
        <w:tc>
          <w:tcPr>
            <w:tcW w:w="900" w:type="dxa"/>
            <w:vAlign w:val="bottom"/>
          </w:tcPr>
          <w:p>
            <w:pPr>
              <w:jc w:val="center"/>
              <w:spacing w:after="0"/>
              <w:rPr>
                <w:sz w:val="20"/>
                <w:szCs w:val="20"/>
                <w:color w:val="auto"/>
              </w:rPr>
            </w:pPr>
            <w:r>
              <w:rPr>
                <w:rFonts w:ascii="Arial" w:cs="Arial" w:eastAsia="Arial" w:hAnsi="Arial"/>
                <w:sz w:val="16"/>
                <w:szCs w:val="16"/>
                <w:color w:val="auto"/>
              </w:rPr>
              <w:t>10.5</w:t>
            </w:r>
          </w:p>
        </w:tc>
        <w:tc>
          <w:tcPr>
            <w:tcW w:w="1720" w:type="dxa"/>
            <w:vAlign w:val="bottom"/>
          </w:tcPr>
          <w:p>
            <w:pPr>
              <w:jc w:val="center"/>
              <w:spacing w:after="0"/>
              <w:rPr>
                <w:sz w:val="20"/>
                <w:szCs w:val="20"/>
                <w:color w:val="auto"/>
              </w:rPr>
            </w:pPr>
            <w:r>
              <w:rPr>
                <w:rFonts w:ascii="Arial" w:cs="Arial" w:eastAsia="Arial" w:hAnsi="Arial"/>
                <w:sz w:val="16"/>
                <w:szCs w:val="16"/>
                <w:color w:val="auto"/>
              </w:rPr>
              <w:t>November 16, 2022</w:t>
            </w:r>
          </w:p>
        </w:tc>
      </w:tr>
      <w:tr>
        <w:trPr>
          <w:trHeight w:val="142"/>
        </w:trPr>
        <w:tc>
          <w:tcPr>
            <w:tcW w:w="80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Plan, effective November 15, 2022</w:t>
              </w:r>
            </w:hyperlink>
          </w:p>
        </w:tc>
        <w:tc>
          <w:tcPr>
            <w:tcW w:w="2180" w:type="dxa"/>
            <w:vAlign w:val="bottom"/>
            <w:tcBorders>
              <w:top w:val="single" w:sz="8" w:color="0000FF"/>
            </w:tcBorders>
            <w:gridSpan w:val="7"/>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10.3</w:t>
            </w:r>
          </w:p>
        </w:tc>
        <w:tc>
          <w:tcPr>
            <w:tcW w:w="5100" w:type="dxa"/>
            <w:vAlign w:val="bottom"/>
            <w:gridSpan w:val="19"/>
          </w:tcPr>
          <w:p>
            <w:pPr>
              <w:spacing w:after="0"/>
              <w:rPr>
                <w:rFonts w:ascii="Arial" w:cs="Arial" w:eastAsia="Arial" w:hAnsi="Arial"/>
                <w:sz w:val="16"/>
                <w:szCs w:val="16"/>
                <w:color w:val="0000FF"/>
              </w:rPr>
            </w:pPr>
            <w:hyperlink r:id="rId59">
              <w:r>
                <w:rPr>
                  <w:rFonts w:ascii="Arial" w:cs="Arial" w:eastAsia="Arial" w:hAnsi="Arial"/>
                  <w:sz w:val="16"/>
                  <w:szCs w:val="16"/>
                  <w:color w:val="0000FF"/>
                </w:rPr>
                <w:t>EZCORP, Inc. Change in Control Severance Plan, effective</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10-K</w:t>
            </w:r>
          </w:p>
        </w:tc>
        <w:tc>
          <w:tcPr>
            <w:tcW w:w="980" w:type="dxa"/>
            <w:vAlign w:val="bottom"/>
          </w:tcPr>
          <w:p>
            <w:pPr>
              <w:ind w:left="180"/>
              <w:spacing w:after="0"/>
              <w:rPr>
                <w:sz w:val="20"/>
                <w:szCs w:val="20"/>
                <w:color w:val="auto"/>
              </w:rPr>
            </w:pPr>
            <w:r>
              <w:rPr>
                <w:rFonts w:ascii="Arial" w:cs="Arial" w:eastAsia="Arial" w:hAnsi="Arial"/>
                <w:sz w:val="16"/>
                <w:szCs w:val="16"/>
                <w:color w:val="auto"/>
              </w:rPr>
              <w:t>0-19424</w:t>
            </w:r>
          </w:p>
        </w:tc>
        <w:tc>
          <w:tcPr>
            <w:tcW w:w="900" w:type="dxa"/>
            <w:vAlign w:val="bottom"/>
          </w:tcPr>
          <w:p>
            <w:pPr>
              <w:jc w:val="center"/>
              <w:spacing w:after="0"/>
              <w:rPr>
                <w:sz w:val="20"/>
                <w:szCs w:val="20"/>
                <w:color w:val="auto"/>
              </w:rPr>
            </w:pPr>
            <w:r>
              <w:rPr>
                <w:rFonts w:ascii="Arial" w:cs="Arial" w:eastAsia="Arial" w:hAnsi="Arial"/>
                <w:sz w:val="16"/>
                <w:szCs w:val="16"/>
                <w:color w:val="auto"/>
              </w:rPr>
              <w:t>10.6</w:t>
            </w:r>
          </w:p>
        </w:tc>
        <w:tc>
          <w:tcPr>
            <w:tcW w:w="1720" w:type="dxa"/>
            <w:vAlign w:val="bottom"/>
          </w:tcPr>
          <w:p>
            <w:pPr>
              <w:jc w:val="center"/>
              <w:spacing w:after="0"/>
              <w:rPr>
                <w:sz w:val="20"/>
                <w:szCs w:val="20"/>
                <w:color w:val="auto"/>
              </w:rPr>
            </w:pPr>
            <w:r>
              <w:rPr>
                <w:rFonts w:ascii="Arial" w:cs="Arial" w:eastAsia="Arial" w:hAnsi="Arial"/>
                <w:sz w:val="16"/>
                <w:szCs w:val="16"/>
                <w:color w:val="auto"/>
              </w:rPr>
              <w:t>November 16, 2022</w:t>
            </w:r>
          </w:p>
        </w:tc>
      </w:tr>
      <w:tr>
        <w:trPr>
          <w:trHeight w:val="142"/>
        </w:trPr>
        <w:tc>
          <w:tcPr>
            <w:tcW w:w="80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59">
              <w:r>
                <w:rPr>
                  <w:rFonts w:ascii="Arial" w:cs="Arial" w:eastAsia="Arial" w:hAnsi="Arial"/>
                  <w:sz w:val="16"/>
                  <w:szCs w:val="16"/>
                  <w:color w:val="0000FF"/>
                  <w:w w:val="99"/>
                </w:rPr>
                <w:t>November 15, 2022</w:t>
              </w:r>
            </w:hyperlink>
          </w:p>
        </w:tc>
        <w:tc>
          <w:tcPr>
            <w:tcW w:w="2820" w:type="dxa"/>
            <w:vAlign w:val="bottom"/>
            <w:tcBorders>
              <w:top w:val="single" w:sz="8" w:color="0000FF"/>
            </w:tcBorders>
            <w:gridSpan w:val="7"/>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10.4</w:t>
            </w:r>
          </w:p>
        </w:tc>
        <w:tc>
          <w:tcPr>
            <w:tcW w:w="5100" w:type="dxa"/>
            <w:vAlign w:val="bottom"/>
            <w:gridSpan w:val="19"/>
          </w:tcPr>
          <w:p>
            <w:pPr>
              <w:spacing w:after="0"/>
              <w:rPr>
                <w:rFonts w:ascii="Arial" w:cs="Arial" w:eastAsia="Arial" w:hAnsi="Arial"/>
                <w:sz w:val="16"/>
                <w:szCs w:val="16"/>
                <w:color w:val="0000FF"/>
              </w:rPr>
            </w:pPr>
            <w:hyperlink r:id="rId60">
              <w:r>
                <w:rPr>
                  <w:rFonts w:ascii="Arial" w:cs="Arial" w:eastAsia="Arial" w:hAnsi="Arial"/>
                  <w:sz w:val="16"/>
                  <w:szCs w:val="16"/>
                  <w:color w:val="0000FF"/>
                </w:rPr>
                <w:t>Amendment to Amended and Restated EZCORP, Inc. 2010 Long-</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10-K</w:t>
            </w:r>
          </w:p>
        </w:tc>
        <w:tc>
          <w:tcPr>
            <w:tcW w:w="980" w:type="dxa"/>
            <w:vAlign w:val="bottom"/>
          </w:tcPr>
          <w:p>
            <w:pPr>
              <w:ind w:left="180"/>
              <w:spacing w:after="0"/>
              <w:rPr>
                <w:sz w:val="20"/>
                <w:szCs w:val="20"/>
                <w:color w:val="auto"/>
              </w:rPr>
            </w:pPr>
            <w:r>
              <w:rPr>
                <w:rFonts w:ascii="Arial" w:cs="Arial" w:eastAsia="Arial" w:hAnsi="Arial"/>
                <w:sz w:val="16"/>
                <w:szCs w:val="16"/>
                <w:color w:val="auto"/>
              </w:rPr>
              <w:t>0-19424</w:t>
            </w:r>
          </w:p>
        </w:tc>
        <w:tc>
          <w:tcPr>
            <w:tcW w:w="900" w:type="dxa"/>
            <w:vAlign w:val="bottom"/>
          </w:tcPr>
          <w:p>
            <w:pPr>
              <w:jc w:val="center"/>
              <w:spacing w:after="0"/>
              <w:rPr>
                <w:sz w:val="20"/>
                <w:szCs w:val="20"/>
                <w:color w:val="auto"/>
              </w:rPr>
            </w:pPr>
            <w:r>
              <w:rPr>
                <w:rFonts w:ascii="Arial" w:cs="Arial" w:eastAsia="Arial" w:hAnsi="Arial"/>
                <w:sz w:val="16"/>
                <w:szCs w:val="16"/>
                <w:color w:val="auto"/>
              </w:rPr>
              <w:t>10.7</w:t>
            </w:r>
          </w:p>
        </w:tc>
        <w:tc>
          <w:tcPr>
            <w:tcW w:w="1720" w:type="dxa"/>
            <w:vAlign w:val="bottom"/>
          </w:tcPr>
          <w:p>
            <w:pPr>
              <w:jc w:val="center"/>
              <w:spacing w:after="0"/>
              <w:rPr>
                <w:sz w:val="20"/>
                <w:szCs w:val="20"/>
                <w:color w:val="auto"/>
              </w:rPr>
            </w:pPr>
            <w:r>
              <w:rPr>
                <w:rFonts w:ascii="Arial" w:cs="Arial" w:eastAsia="Arial" w:hAnsi="Arial"/>
                <w:sz w:val="16"/>
                <w:szCs w:val="16"/>
                <w:color w:val="auto"/>
              </w:rPr>
              <w:t>November 16, 2022</w:t>
            </w:r>
          </w:p>
        </w:tc>
      </w:tr>
      <w:tr>
        <w:trPr>
          <w:trHeight w:val="142"/>
        </w:trPr>
        <w:tc>
          <w:tcPr>
            <w:tcW w:w="80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Term Incentive Plan, effective November 15, 2022</w:t>
              </w:r>
            </w:hyperlink>
          </w:p>
        </w:tc>
        <w:tc>
          <w:tcPr>
            <w:tcW w:w="114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31.1</w:t>
            </w:r>
          </w:p>
        </w:tc>
        <w:tc>
          <w:tcPr>
            <w:tcW w:w="5100" w:type="dxa"/>
            <w:vAlign w:val="bottom"/>
            <w:gridSpan w:val="19"/>
          </w:tcPr>
          <w:p>
            <w:pPr>
              <w:spacing w:after="0"/>
              <w:rPr>
                <w:sz w:val="20"/>
                <w:szCs w:val="20"/>
                <w:color w:val="auto"/>
              </w:rPr>
            </w:pPr>
            <w:r>
              <w:rPr>
                <w:rFonts w:ascii="Arial" w:cs="Arial" w:eastAsia="Arial" w:hAnsi="Arial"/>
                <w:sz w:val="16"/>
                <w:szCs w:val="16"/>
                <w:color w:val="0000FF"/>
              </w:rPr>
              <w:t>Certification of Principal Executive Officer, pursuant to Rule 13a-</w:t>
            </w: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6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14(a) under the Securities Exchange Act of 1934</w:t>
            </w:r>
          </w:p>
        </w:tc>
        <w:tc>
          <w:tcPr>
            <w:tcW w:w="160" w:type="dxa"/>
            <w:vAlign w:val="bottom"/>
            <w:gridSpan w:val="4"/>
          </w:tcPr>
          <w:p>
            <w:pPr>
              <w:spacing w:after="0"/>
              <w:rPr>
                <w:sz w:val="12"/>
                <w:szCs w:val="12"/>
                <w:color w:val="auto"/>
              </w:rPr>
            </w:pPr>
          </w:p>
        </w:tc>
        <w:tc>
          <w:tcPr>
            <w:tcW w:w="160" w:type="dxa"/>
            <w:vAlign w:val="bottom"/>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31.2</w:t>
            </w:r>
          </w:p>
        </w:tc>
        <w:tc>
          <w:tcPr>
            <w:tcW w:w="5100" w:type="dxa"/>
            <w:vAlign w:val="bottom"/>
            <w:gridSpan w:val="19"/>
          </w:tcPr>
          <w:p>
            <w:pPr>
              <w:spacing w:after="0"/>
              <w:rPr>
                <w:sz w:val="20"/>
                <w:szCs w:val="20"/>
                <w:color w:val="auto"/>
              </w:rPr>
            </w:pPr>
            <w:r>
              <w:rPr>
                <w:rFonts w:ascii="Arial" w:cs="Arial" w:eastAsia="Arial" w:hAnsi="Arial"/>
                <w:sz w:val="16"/>
                <w:szCs w:val="16"/>
                <w:color w:val="0000FF"/>
              </w:rPr>
              <w:t>Certification of Principal Financial Officer, pursuant to Rule 13a-14(a)</w:t>
            </w: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92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under the Securities Exchange Act of 1934</w:t>
            </w:r>
          </w:p>
        </w:tc>
        <w:tc>
          <w:tcPr>
            <w:tcW w:w="1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w w:val="99"/>
              </w:rPr>
              <w:t>32.1†</w:t>
            </w:r>
          </w:p>
        </w:tc>
        <w:tc>
          <w:tcPr>
            <w:tcW w:w="5100" w:type="dxa"/>
            <w:vAlign w:val="bottom"/>
            <w:gridSpan w:val="19"/>
          </w:tcPr>
          <w:p>
            <w:pPr>
              <w:spacing w:after="0"/>
              <w:rPr>
                <w:sz w:val="20"/>
                <w:szCs w:val="20"/>
                <w:color w:val="auto"/>
              </w:rPr>
            </w:pPr>
            <w:r>
              <w:rPr>
                <w:rFonts w:ascii="Arial" w:cs="Arial" w:eastAsia="Arial" w:hAnsi="Arial"/>
                <w:sz w:val="16"/>
                <w:szCs w:val="16"/>
                <w:color w:val="0000FF"/>
              </w:rPr>
              <w:t>Certifications of Principal Executive Officer and Principal Financial</w:t>
            </w: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Officer, pursuant to 18 U.S.C. Section 1350</w:t>
            </w:r>
          </w:p>
        </w:tc>
        <w:tc>
          <w:tcPr>
            <w:tcW w:w="1660" w:type="dxa"/>
            <w:vAlign w:val="bottom"/>
            <w:tcBorders>
              <w:top w:val="single" w:sz="8" w:color="0000FF"/>
            </w:tcBorders>
            <w:gridSpan w:val="8"/>
          </w:tcPr>
          <w:p>
            <w:pPr>
              <w:spacing w:after="0"/>
              <w:rPr>
                <w:sz w:val="12"/>
                <w:szCs w:val="12"/>
                <w:color w:val="auto"/>
              </w:rPr>
            </w:pPr>
          </w:p>
        </w:tc>
        <w:tc>
          <w:tcPr>
            <w:tcW w:w="340" w:type="dxa"/>
            <w:vAlign w:val="bottom"/>
            <w:gridSpan w:val="5"/>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8"/>
        </w:trPr>
        <w:tc>
          <w:tcPr>
            <w:tcW w:w="800" w:type="dxa"/>
            <w:vAlign w:val="bottom"/>
          </w:tcPr>
          <w:p>
            <w:pPr>
              <w:jc w:val="center"/>
              <w:spacing w:after="0"/>
              <w:rPr>
                <w:sz w:val="20"/>
                <w:szCs w:val="20"/>
                <w:color w:val="auto"/>
              </w:rPr>
            </w:pPr>
            <w:r>
              <w:rPr>
                <w:rFonts w:ascii="Arial" w:cs="Arial" w:eastAsia="Arial" w:hAnsi="Arial"/>
                <w:sz w:val="16"/>
                <w:szCs w:val="16"/>
                <w:color w:val="auto"/>
              </w:rPr>
              <w:t>101.INS</w:t>
            </w:r>
          </w:p>
        </w:tc>
        <w:tc>
          <w:tcPr>
            <w:tcW w:w="5100" w:type="dxa"/>
            <w:vAlign w:val="bottom"/>
            <w:gridSpan w:val="19"/>
          </w:tcPr>
          <w:p>
            <w:pPr>
              <w:spacing w:after="0"/>
              <w:rPr>
                <w:sz w:val="20"/>
                <w:szCs w:val="20"/>
                <w:color w:val="auto"/>
              </w:rPr>
            </w:pPr>
            <w:r>
              <w:rPr>
                <w:rFonts w:ascii="Arial" w:cs="Arial" w:eastAsia="Arial" w:hAnsi="Arial"/>
                <w:sz w:val="16"/>
                <w:szCs w:val="16"/>
                <w:color w:val="auto"/>
              </w:rPr>
              <w:t>Inline XBRL Instance Document (the instance document does not</w:t>
            </w: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62"/>
        </w:trPr>
        <w:tc>
          <w:tcPr>
            <w:tcW w:w="800" w:type="dxa"/>
            <w:vAlign w:val="bottom"/>
          </w:tcPr>
          <w:p>
            <w:pPr>
              <w:spacing w:after="0"/>
              <w:rPr>
                <w:sz w:val="14"/>
                <w:szCs w:val="14"/>
                <w:color w:val="auto"/>
              </w:rPr>
            </w:pPr>
          </w:p>
        </w:tc>
        <w:tc>
          <w:tcPr>
            <w:tcW w:w="5100" w:type="dxa"/>
            <w:vAlign w:val="bottom"/>
            <w:gridSpan w:val="19"/>
          </w:tcPr>
          <w:p>
            <w:pPr>
              <w:spacing w:after="0" w:line="162" w:lineRule="exact"/>
              <w:rPr>
                <w:sz w:val="20"/>
                <w:szCs w:val="20"/>
                <w:color w:val="auto"/>
              </w:rPr>
            </w:pPr>
            <w:r>
              <w:rPr>
                <w:rFonts w:ascii="Arial" w:cs="Arial" w:eastAsia="Arial" w:hAnsi="Arial"/>
                <w:sz w:val="16"/>
                <w:szCs w:val="16"/>
                <w:color w:val="auto"/>
              </w:rPr>
              <w:t>appear in the interactive data files because the XBRL tags are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5100" w:type="dxa"/>
            <w:vAlign w:val="bottom"/>
            <w:gridSpan w:val="19"/>
          </w:tcPr>
          <w:p>
            <w:pPr>
              <w:spacing w:after="0"/>
              <w:rPr>
                <w:sz w:val="20"/>
                <w:szCs w:val="20"/>
                <w:color w:val="auto"/>
              </w:rPr>
            </w:pPr>
            <w:r>
              <w:rPr>
                <w:rFonts w:ascii="Arial" w:cs="Arial" w:eastAsia="Arial" w:hAnsi="Arial"/>
                <w:sz w:val="16"/>
                <w:szCs w:val="16"/>
                <w:color w:val="auto"/>
              </w:rPr>
              <w:t>embedded within the Inline XBRL document)</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5900" w:type="dxa"/>
            <w:vAlign w:val="bottom"/>
            <w:gridSpan w:val="20"/>
          </w:tcPr>
          <w:p>
            <w:pPr>
              <w:ind w:left="60"/>
              <w:spacing w:after="0"/>
              <w:rPr>
                <w:sz w:val="20"/>
                <w:szCs w:val="20"/>
                <w:color w:val="auto"/>
              </w:rPr>
            </w:pPr>
            <w:r>
              <w:rPr>
                <w:rFonts w:ascii="Arial" w:cs="Arial" w:eastAsia="Arial" w:hAnsi="Arial"/>
                <w:sz w:val="16"/>
                <w:szCs w:val="16"/>
                <w:color w:val="auto"/>
              </w:rPr>
              <w:t>101.SCH Inline XBRL Taxonomy Extension Schema Document</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5100" w:type="dxa"/>
            <w:vAlign w:val="bottom"/>
            <w:gridSpan w:val="1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6"/>
                <w:szCs w:val="16"/>
                <w:color w:val="auto"/>
              </w:rPr>
              <w:t>101.DEF</w:t>
            </w:r>
          </w:p>
        </w:tc>
        <w:tc>
          <w:tcPr>
            <w:tcW w:w="5100" w:type="dxa"/>
            <w:vAlign w:val="bottom"/>
            <w:gridSpan w:val="1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6"/>
                <w:szCs w:val="16"/>
                <w:color w:val="auto"/>
              </w:rPr>
              <w:t>101.LAB</w:t>
            </w:r>
          </w:p>
        </w:tc>
        <w:tc>
          <w:tcPr>
            <w:tcW w:w="5100" w:type="dxa"/>
            <w:vAlign w:val="bottom"/>
            <w:gridSpan w:val="19"/>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6"/>
                <w:szCs w:val="16"/>
                <w:color w:val="auto"/>
              </w:rPr>
              <w:t>101.PRE</w:t>
            </w:r>
          </w:p>
        </w:tc>
        <w:tc>
          <w:tcPr>
            <w:tcW w:w="5100" w:type="dxa"/>
            <w:vAlign w:val="bottom"/>
            <w:gridSpan w:val="1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-3047365</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-2464435</wp:posOffset>
            </wp:positionV>
            <wp:extent cx="71323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-1984375</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-1504315</wp:posOffset>
            </wp:positionV>
            <wp:extent cx="713232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-1024255</wp:posOffset>
            </wp:positionV>
            <wp:extent cx="7132320" cy="342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 w:lineRule="exact"/>
        <w:rPr>
          <w:sz w:val="20"/>
          <w:szCs w:val="20"/>
          <w:color w:val="auto"/>
        </w:rPr>
      </w:pPr>
    </w:p>
    <w:p>
      <w:pPr>
        <w:ind w:left="800" w:right="4520" w:hanging="542"/>
        <w:spacing w:after="0" w:line="232"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474" w:lineRule="exact"/>
        <w:rPr>
          <w:sz w:val="20"/>
          <w:szCs w:val="20"/>
          <w:color w:val="auto"/>
        </w:rPr>
      </w:pPr>
    </w:p>
    <w:p>
      <w:pPr>
        <w:sectPr>
          <w:pgSz w:w="11900" w:h="16838" w:orient="portrait"/>
          <w:cols w:equalWidth="0" w:num="2">
            <w:col w:w="10200" w:space="240"/>
            <w:col w:w="680"/>
          </w:cols>
          <w:pgMar w:left="320" w:top="144" w:right="459" w:bottom="1440" w:gutter="0" w:footer="0" w:header="0"/>
        </w:sectPr>
      </w:pPr>
    </w:p>
    <w:p>
      <w:pPr>
        <w:spacing w:after="0"/>
        <w:rPr>
          <w:sz w:val="20"/>
          <w:szCs w:val="20"/>
          <w:color w:val="auto"/>
        </w:rPr>
      </w:pPr>
      <w:r>
        <w:rPr>
          <w:rFonts w:ascii="Arial" w:cs="Arial" w:eastAsia="Arial" w:hAnsi="Arial"/>
          <w:sz w:val="18"/>
          <w:szCs w:val="18"/>
          <w:color w:val="auto"/>
        </w:rPr>
        <w:t>_____________________________</w:t>
      </w:r>
    </w:p>
    <w:p>
      <w:pPr>
        <w:spacing w:after="0" w:line="123" w:lineRule="exact"/>
        <w:rPr>
          <w:sz w:val="20"/>
          <w:szCs w:val="20"/>
          <w:color w:val="auto"/>
        </w:rPr>
      </w:pPr>
    </w:p>
    <w:p>
      <w:pPr>
        <w:ind w:left="800" w:right="240" w:hanging="774"/>
        <w:spacing w:after="0" w:line="239"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February 1, 2023</w:t>
      </w:r>
      <w:r>
        <w:rPr>
          <w:sz w:val="20"/>
          <w:szCs w:val="20"/>
          <w:color w:val="auto"/>
        </w:rPr>
        <w:tab/>
      </w:r>
      <w:r>
        <w:rPr>
          <w:rFonts w:ascii="Arial" w:cs="Arial" w:eastAsia="Arial" w:hAnsi="Arial"/>
          <w:sz w:val="17"/>
          <w:szCs w:val="17"/>
          <w:color w:val="auto"/>
        </w:rPr>
        <w:t>/s/Timothy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6350</wp:posOffset>
            </wp:positionV>
            <wp:extent cx="333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144"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2023</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Lachlan P. Given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2023</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258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undersigned officers of EZCORP, Inc. hereby certify that (a) EZCORP’s Quarterly Report on Form 10-Q for the quarter ended December 31, 2022,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1, 2023</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Lachlan P. Given</w:t>
            </w:r>
          </w:p>
        </w:tc>
      </w:tr>
      <w:tr>
        <w:trPr>
          <w:trHeight w:val="222"/>
        </w:trPr>
        <w:tc>
          <w:tcPr>
            <w:tcW w:w="55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Lachlan P. Given</w:t>
            </w:r>
          </w:p>
        </w:tc>
      </w:tr>
      <w:tr>
        <w:trPr>
          <w:trHeight w:val="230"/>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769"/>
        </w:trPr>
        <w:tc>
          <w:tcPr>
            <w:tcW w:w="5500" w:type="dxa"/>
            <w:vAlign w:val="bottom"/>
          </w:tcPr>
          <w:p>
            <w:pPr>
              <w:ind w:left="60"/>
              <w:spacing w:after="0"/>
              <w:rPr>
                <w:sz w:val="20"/>
                <w:szCs w:val="20"/>
                <w:color w:val="auto"/>
              </w:rPr>
            </w:pPr>
            <w:r>
              <w:rPr>
                <w:rFonts w:ascii="Arial" w:cs="Arial" w:eastAsia="Arial" w:hAnsi="Arial"/>
                <w:sz w:val="18"/>
                <w:szCs w:val="18"/>
                <w:color w:val="auto"/>
              </w:rPr>
              <w:t>Date: February 1, 2023</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55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jpeg"/><Relationship Id="rId40" Type="http://schemas.openxmlformats.org/officeDocument/2006/relationships/image" Target="media/image31.jpe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21" Type="http://schemas.openxmlformats.org/officeDocument/2006/relationships/hyperlink" Target="https://www.sec.gov/ix?doc=/Archives/edgar/data/876523/000087652322000071/ezpw-20220930.htm#i217f6b0b6bcd49c4bdbf4d1738ef426e_172" TargetMode="External"/><Relationship Id="rId36" Type="http://schemas.openxmlformats.org/officeDocument/2006/relationships/hyperlink" Target="http://www.sec.gov/ix?doc=/Archives/edgar/data/876523/000087652321000068/ezpw-20210930.htm" TargetMode="External"/><Relationship Id="rId56" Type="http://schemas.openxmlformats.org/officeDocument/2006/relationships/hyperlink" Target="http://www.sec.gov/Archives/edgar/data/876523/000087652322000090/ex_41ezpwconvert-indenture.htm" TargetMode="External"/><Relationship Id="rId57" Type="http://schemas.openxmlformats.org/officeDocument/2006/relationships/hyperlink" Target="http://www.sec.gov/Archives/edgar/data/876523/000087652322000090/ex_101ezcorp-purchaseagree.htm" TargetMode="External"/><Relationship Id="rId58" Type="http://schemas.openxmlformats.org/officeDocument/2006/relationships/hyperlink" Target="http://www.sec.gov/Archives/edgar/data/876523/000087652322000071/a2022-q410xkex10506x2b2022.htm" TargetMode="External"/><Relationship Id="rId59" Type="http://schemas.openxmlformats.org/officeDocument/2006/relationships/hyperlink" Target="http://www.sec.gov/Archives/edgar/data/876523/000087652322000071/a2022-q410xkex10606x2achan.htm" TargetMode="External"/><Relationship Id="rId60" Type="http://schemas.openxmlformats.org/officeDocument/2006/relationships/hyperlink" Target="http://www.sec.gov/Archives/edgar/data/876523/000087652322000071/a2022-q410xkex10706x2c2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2023-02-01T15:17:24Z</dcterms:created>
  <dcterms:modified xsi:type="dcterms:W3CDTF">2023-02-01T15:17:24Z</dcterms:modified>
</cp:coreProperties>
</file>