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25, 2018 (June 25,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1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25, 2018, EZCORP issued a press release announcing the acquisition of 40 pawn stores located in Mexico. The full text of the press release is attached hereto as Exhibit 99.1.</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5"/>
          <w:szCs w:val="15"/>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5"/>
            <w:szCs w:val="15"/>
            <w:u w:val="single" w:color="auto"/>
            <w:color w:val="0000FF"/>
          </w:rPr>
          <w:t>Press Release of EZCORP, Inc. dated June 25, 2018</w:t>
        </w:r>
      </w:hyperlink>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June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40"/>
          </w:cols>
          <w:pgMar w:left="240" w:top="796" w:right="319" w:bottom="1440" w:gutter="0" w:footer="0" w:header="0"/>
        </w:sectPr>
      </w:pPr>
    </w:p>
    <w:bookmarkStart w:id="2" w:name="page3"/>
    <w:bookmarkEnd w:id="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517525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ACQUIRES 40 ADDITIONAL PAWN STORES IN MEXICO</w:t>
      </w: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AUSTIN, Texas, June 25, 2018 </w:t>
      </w:r>
      <w:r>
        <w:rPr>
          <w:rFonts w:ascii="Arial" w:cs="Arial" w:eastAsia="Arial" w:hAnsi="Arial"/>
          <w:sz w:val="18"/>
          <w:szCs w:val="18"/>
          <w:color w:val="auto"/>
        </w:rPr>
        <w:t>- EZCORP, Inc. (NASDAQ:EZPW), a leading provider of pawn loans in the United States and Latin America,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acquired 40 pawn stores operating under the name “Montepio San Patricio” in and around Mexico City. With this acquisition, the Company has a total of 139 stores in the Mexico City area, the largest market in Mexico. EZCORP now owns and operates a total of 961 pawn stores, 47% (451) of which are located in Latin America.</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Stuart Grimshaw, EZCORP Chief Executive Officer stated: “The acquisition of the San Patricio stores is our largest acquisition in Mexico to date and significantly strengthens our competitive position in the strategically important Mexico City metropolitan area. The physical space in these stores is substantially larger than our average store in Mexico, giving us the capacity to increase their focus on general merchandise pawn loan and retail activities. We expect this acquisition to be immediately accretive to our earnings, and we plan to enhance profitability through the expansion of their general merchandise business and through administrative synergies.</w:t>
      </w:r>
    </w:p>
    <w:p>
      <w:pPr>
        <w:spacing w:after="0" w:line="16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are excited about our continued expansion in Latin America, where we have consistently been delivering market leading growth with acquisitions, new store openings and same store improvements. We expect this region to provide significant opportunities for further profitable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completed earlier today, and the purchase price was paid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Formed in 1989, EZCORP is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the NASDAQ stock market under the symbol EZPW and is a member of the Russell 2000 Index, S&amp;P SmallCap 600 Index, S&amp;P 1000 Index and NASDAQ Composite Index.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foreign currency rate fluctuations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2020-01-15T18:13:40Z</dcterms:created>
  <dcterms:modified xsi:type="dcterms:W3CDTF">2020-01-15T18:13:40Z</dcterms:modified>
</cp:coreProperties>
</file>