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Non-voting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1901 Capital Pkwy</w:t>
      </w:r>
    </w:p>
    <w:p>
      <w:pPr>
        <w:spacing w:after="0" w:line="238" w:lineRule="auto"/>
        <w:rPr>
          <w:sz w:val="20"/>
          <w:szCs w:val="20"/>
          <w:color w:val="auto"/>
        </w:rPr>
      </w:pPr>
      <w:r>
        <w:rPr>
          <w:rFonts w:ascii="Courier New" w:cs="Courier New" w:eastAsia="Courier New" w:hAnsi="Courier New"/>
          <w:sz w:val="18"/>
          <w:szCs w:val="18"/>
          <w:color w:val="auto"/>
        </w:rPr>
        <w:t>Austin TX 78746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Non-voting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 Equity security not reportable per Rule 13d-1(i).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21,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ectPr>
          <w:pgSz w:w="11900" w:h="16838" w:orient="portrait"/>
          <w:cols w:equalWidth="0" w:num="1">
            <w:col w:w="10219"/>
          </w:cols>
          <w:pgMar w:left="240" w:top="339" w:right="1440" w:bottom="0" w:gutter="0" w:footer="0" w:header="0"/>
        </w:sectPr>
      </w:pPr>
    </w:p>
    <w:bookmarkStart w:id="4" w:name="page5"/>
    <w:bookmarkEnd w:id="4"/>
    <w:p>
      <w:pPr>
        <w:ind w:right="3679"/>
        <w:spacing w:after="0" w:line="268" w:lineRule="auto"/>
        <w:rPr>
          <w:sz w:val="20"/>
          <w:szCs w:val="20"/>
          <w:color w:val="auto"/>
        </w:rPr>
      </w:pPr>
      <w:r>
        <w:rPr>
          <w:rFonts w:ascii="Courier New" w:cs="Courier New" w:eastAsia="Courier New" w:hAnsi="Courier New"/>
          <w:sz w:val="16"/>
          <w:szCs w:val="16"/>
          <w:color w:val="auto"/>
        </w:rPr>
        <w:t>determined by such person to be necessary or appropriate to comply with ownership or control-person reporting requirements imposed by any United States or non-United States governmental</w:t>
      </w:r>
    </w:p>
    <w:p>
      <w:pPr>
        <w:spacing w:after="0" w:line="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2019-12-15T20:55:20Z</dcterms:created>
  <dcterms:modified xsi:type="dcterms:W3CDTF">2019-12-15T20:55:20Z</dcterms:modified>
</cp:coreProperties>
</file>