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EZCORP,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Non-voting Common Stock, $.01 par value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302301106</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if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WEST</w:t>
      </w:r>
    </w:p>
    <w:p>
      <w:pPr>
        <w:sectPr>
          <w:pgSz w:w="11900" w:h="16838" w:orient="portrait"/>
          <w:cols w:equalWidth="0" w:num="1">
            <w:col w:w="11320"/>
          </w:cols>
          <w:pgMar w:left="24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680" w:type="dxa"/>
            <w:vAlign w:val="bottom"/>
            <w:gridSpan w:val="6"/>
          </w:tcPr>
          <w:p>
            <w:pPr>
              <w:jc w:val="right"/>
              <w:spacing w:after="0"/>
              <w:rPr>
                <w:sz w:val="20"/>
                <w:szCs w:val="20"/>
                <w:color w:val="auto"/>
              </w:rPr>
            </w:pPr>
            <w:r>
              <w:rPr>
                <w:rFonts w:ascii="Arial" w:cs="Arial" w:eastAsia="Arial" w:hAnsi="Arial"/>
                <w:sz w:val="18"/>
                <w:szCs w:val="18"/>
                <w:color w:val="auto"/>
                <w:w w:val="90"/>
              </w:rPr>
              <w:t>CUSIP No. 302301106</w:t>
            </w:r>
          </w:p>
        </w:tc>
        <w:tc>
          <w:tcPr>
            <w:tcW w:w="9760" w:type="dxa"/>
            <w:vAlign w:val="bottom"/>
          </w:tcPr>
          <w:p>
            <w:pPr>
              <w:ind w:left="404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4"/>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Lafitte Capital Management LP</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Texas</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5,088,338</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7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97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5,088,338</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5,088,338</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 PN</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INSTRUCTIONS BEFORE FILLING OUT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WEST</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680" w:type="dxa"/>
            <w:vAlign w:val="bottom"/>
            <w:gridSpan w:val="6"/>
          </w:tcPr>
          <w:p>
            <w:pPr>
              <w:jc w:val="right"/>
              <w:spacing w:after="0"/>
              <w:rPr>
                <w:sz w:val="20"/>
                <w:szCs w:val="20"/>
                <w:color w:val="auto"/>
              </w:rPr>
            </w:pPr>
            <w:r>
              <w:rPr>
                <w:rFonts w:ascii="Arial" w:cs="Arial" w:eastAsia="Arial" w:hAnsi="Arial"/>
                <w:sz w:val="18"/>
                <w:szCs w:val="18"/>
                <w:color w:val="auto"/>
                <w:w w:val="90"/>
              </w:rPr>
              <w:t>CUSIP No. 302301106</w:t>
            </w:r>
          </w:p>
        </w:tc>
        <w:tc>
          <w:tcPr>
            <w:tcW w:w="9760" w:type="dxa"/>
            <w:vAlign w:val="bottom"/>
          </w:tcPr>
          <w:p>
            <w:pPr>
              <w:ind w:left="404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4"/>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Lafitte Capital, LLC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Texas</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5,088,338</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7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97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9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5,088,338</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5,088,338</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HC, OO</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INSTRUCTIONS BEFORE FILLING OUT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WEST</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780" w:type="dxa"/>
            <w:vAlign w:val="bottom"/>
            <w:gridSpan w:val="7"/>
          </w:tcPr>
          <w:p>
            <w:pPr>
              <w:spacing w:after="0"/>
              <w:rPr>
                <w:sz w:val="20"/>
                <w:szCs w:val="20"/>
                <w:color w:val="auto"/>
              </w:rPr>
            </w:pPr>
            <w:r>
              <w:rPr>
                <w:rFonts w:ascii="Arial" w:cs="Arial" w:eastAsia="Arial" w:hAnsi="Arial"/>
                <w:sz w:val="18"/>
                <w:szCs w:val="18"/>
                <w:color w:val="auto"/>
                <w:w w:val="96"/>
              </w:rPr>
              <w:t>CUSIP No. 302301106</w:t>
            </w:r>
          </w:p>
        </w:tc>
        <w:tc>
          <w:tcPr>
            <w:tcW w:w="9660" w:type="dxa"/>
            <w:vAlign w:val="bottom"/>
          </w:tcPr>
          <w:p>
            <w:pPr>
              <w:ind w:left="394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Bryant Regan</w:t>
            </w: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USA</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0"/>
                <w:szCs w:val="20"/>
                <w:color w:val="auto"/>
              </w:rPr>
            </w:pPr>
          </w:p>
        </w:tc>
        <w:tc>
          <w:tcPr>
            <w:tcW w:w="9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20"/>
                <w:szCs w:val="20"/>
                <w:color w:val="auto"/>
              </w:rPr>
            </w:pPr>
          </w:p>
        </w:tc>
        <w:tc>
          <w:tcPr>
            <w:tcW w:w="9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5,088,338</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5"/>
                <w:szCs w:val="15"/>
                <w:color w:val="auto"/>
              </w:rPr>
            </w:pPr>
          </w:p>
        </w:tc>
        <w:tc>
          <w:tcPr>
            <w:tcW w:w="96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2"/>
                <w:szCs w:val="12"/>
                <w:color w:val="auto"/>
              </w:rPr>
            </w:pPr>
          </w:p>
        </w:tc>
        <w:tc>
          <w:tcPr>
            <w:tcW w:w="9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5,088,338</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5,088,338</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HC, IN</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INSTRUCTIONS BEFORE FILLING OUT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WEST</w:t>
      </w:r>
    </w:p>
    <w:p>
      <w:pPr>
        <w:sectPr>
          <w:pgSz w:w="11900" w:h="16838" w:orient="portrait"/>
          <w:cols w:equalWidth="0" w:num="1">
            <w:col w:w="11440"/>
          </w:cols>
          <w:pgMar w:left="240" w:top="274" w:right="21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13G/A</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Amendment No. 1 (this “Amendment”) to Schedule 13G (the “Schedule 13G”) is being filed by Lafitte Capital Management LP, a Texas limited partnership (“Lafitte”), as the investment manager of certain private funds and other accounts (collectively, the “Lafitte Accounts”), Lafitte Capital, LLC, a Texas limited liability company (“Lafitte Capital”), as the general partner of Lafitte, and Bryant Regan, as the sole member of Lafitte Capital (collectively with Lafitte and Lafitte Capital, the “Reporting Persons”).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amends and restates the Schedule 13G as set forth below.</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EZCORP, Inc.</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2500 Bee Cave Road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Bldg One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Rollingwood, Texas 78746</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400" w:hanging="251"/>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Lafitte Capital Management LP</w:t>
      </w:r>
    </w:p>
    <w:p>
      <w:pPr>
        <w:spacing w:after="0" w:line="117" w:lineRule="exact"/>
        <w:rPr>
          <w:rFonts w:ascii="Arial" w:cs="Arial" w:eastAsia="Arial" w:hAnsi="Arial"/>
          <w:sz w:val="18"/>
          <w:szCs w:val="18"/>
          <w:color w:val="auto"/>
        </w:rPr>
      </w:pPr>
    </w:p>
    <w:p>
      <w:pPr>
        <w:ind w:left="1400" w:hanging="251"/>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Lafitte Capital, LLC</w:t>
      </w:r>
    </w:p>
    <w:p>
      <w:pPr>
        <w:spacing w:after="0" w:line="117" w:lineRule="exact"/>
        <w:rPr>
          <w:rFonts w:ascii="Arial" w:cs="Arial" w:eastAsia="Arial" w:hAnsi="Arial"/>
          <w:sz w:val="18"/>
          <w:szCs w:val="18"/>
          <w:color w:val="auto"/>
        </w:rPr>
      </w:pPr>
    </w:p>
    <w:p>
      <w:pPr>
        <w:ind w:left="1400" w:hanging="251"/>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Bryant Regan</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 all filers: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701 Brazos, Suite 310</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Austin, Texas 78701</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400" w:hanging="251"/>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Lafitte Capital Management LP is a Texas limited partnership</w:t>
      </w:r>
    </w:p>
    <w:p>
      <w:pPr>
        <w:spacing w:after="0" w:line="117" w:lineRule="exact"/>
        <w:rPr>
          <w:rFonts w:ascii="Arial" w:cs="Arial" w:eastAsia="Arial" w:hAnsi="Arial"/>
          <w:sz w:val="18"/>
          <w:szCs w:val="18"/>
          <w:color w:val="auto"/>
        </w:rPr>
      </w:pPr>
    </w:p>
    <w:p>
      <w:pPr>
        <w:ind w:left="1400" w:hanging="251"/>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Lafitte Capital, LLC is a Texas limited liability company</w:t>
      </w:r>
    </w:p>
    <w:p>
      <w:pPr>
        <w:spacing w:after="0" w:line="117" w:lineRule="exact"/>
        <w:rPr>
          <w:rFonts w:ascii="Arial" w:cs="Arial" w:eastAsia="Arial" w:hAnsi="Arial"/>
          <w:sz w:val="18"/>
          <w:szCs w:val="18"/>
          <w:color w:val="auto"/>
        </w:rPr>
      </w:pPr>
    </w:p>
    <w:p>
      <w:pPr>
        <w:ind w:left="1400" w:hanging="251"/>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Bryant Regan is a United States citizen</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Lafitte is the investment manager for the Laffite Accounts and has been granted investment discretion over portfolio investments, including the Common Stock (as defined below), held by the Lafitte Accounts. Lafitte Capital is the general partner of Lafitte, and its sole member is Bryant Regan.</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WEST</w:t>
      </w:r>
    </w:p>
    <w:p>
      <w:pPr>
        <w:sectPr>
          <w:pgSz w:w="11900" w:h="16838" w:orient="portrait"/>
          <w:cols w:equalWidth="0" w:num="1">
            <w:col w:w="11240"/>
          </w:cols>
          <w:pgMar w:left="240" w:top="270" w:right="41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-191770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720" w:space="420"/>
            <w:col w:w="10020"/>
          </w:cols>
          <w:pgMar w:left="240" w:top="270" w:right="499" w:bottom="1440" w:gutter="0" w:footer="0" w:header="0"/>
        </w:sectPr>
      </w:pPr>
    </w:p>
    <w:p>
      <w:pPr>
        <w:ind w:left="1140"/>
        <w:spacing w:after="0"/>
        <w:rPr>
          <w:sz w:val="20"/>
          <w:szCs w:val="20"/>
          <w:color w:val="auto"/>
        </w:rPr>
      </w:pPr>
      <w:r>
        <w:rPr>
          <w:rFonts w:ascii="Arial" w:cs="Arial" w:eastAsia="Arial" w:hAnsi="Arial"/>
          <w:sz w:val="16"/>
          <w:szCs w:val="16"/>
          <w:color w:val="auto"/>
        </w:rPr>
        <w:t>Class A Non-voting Common Stock, $.01 par value per share (the “Common Stock”)</w:t>
      </w:r>
    </w:p>
    <w:p>
      <w:pPr>
        <w:sectPr>
          <w:pgSz w:w="11900" w:h="16838" w:orient="portrait"/>
          <w:cols w:equalWidth="0" w:num="1">
            <w:col w:w="11160"/>
          </w:cols>
          <w:pgMar w:left="240" w:top="270" w:right="49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133" w:lineRule="exact"/>
        <w:rPr>
          <w:sz w:val="20"/>
          <w:szCs w:val="20"/>
          <w:color w:val="auto"/>
        </w:rPr>
      </w:pPr>
    </w:p>
    <w:p>
      <w:pPr>
        <w:sectPr>
          <w:pgSz w:w="11900" w:h="16838" w:orient="portrait"/>
          <w:cols w:equalWidth="0" w:num="2">
            <w:col w:w="700" w:space="440"/>
            <w:col w:w="10020"/>
          </w:cols>
          <w:pgMar w:left="240" w:top="270" w:right="49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302301106</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Reporting Person.</w:t>
      </w:r>
    </w:p>
    <w:p>
      <w:pPr>
        <w:sectPr>
          <w:pgSz w:w="11900" w:h="16838" w:orient="portrait"/>
          <w:cols w:equalWidth="0" w:num="1">
            <w:col w:w="11160"/>
          </w:cols>
          <w:pgMar w:left="240" w:top="270" w:right="49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p>
      <w:pPr>
        <w:spacing w:after="0" w:line="102" w:lineRule="exact"/>
        <w:rPr>
          <w:sz w:val="20"/>
          <w:szCs w:val="20"/>
          <w:color w:val="auto"/>
        </w:rPr>
      </w:pPr>
    </w:p>
    <w:p>
      <w:pPr>
        <w:ind w:left="1000" w:hanging="411"/>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76" w:lineRule="exact"/>
        <w:rPr>
          <w:rFonts w:ascii="Arial" w:cs="Arial" w:eastAsia="Arial" w:hAnsi="Arial"/>
          <w:sz w:val="18"/>
          <w:szCs w:val="18"/>
          <w:color w:val="auto"/>
        </w:rPr>
      </w:pPr>
    </w:p>
    <w:p>
      <w:pPr>
        <w:ind w:left="1000" w:hanging="411"/>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76" w:lineRule="exact"/>
        <w:rPr>
          <w:rFonts w:ascii="Arial" w:cs="Arial" w:eastAsia="Arial" w:hAnsi="Arial"/>
          <w:sz w:val="18"/>
          <w:szCs w:val="18"/>
          <w:color w:val="auto"/>
        </w:rPr>
      </w:pPr>
    </w:p>
    <w:p>
      <w:pPr>
        <w:ind w:left="1000" w:hanging="411"/>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76" w:lineRule="exact"/>
        <w:rPr>
          <w:rFonts w:ascii="Arial" w:cs="Arial" w:eastAsia="Arial" w:hAnsi="Arial"/>
          <w:sz w:val="18"/>
          <w:szCs w:val="18"/>
          <w:color w:val="auto"/>
        </w:rPr>
      </w:pPr>
    </w:p>
    <w:p>
      <w:pPr>
        <w:ind w:left="1000" w:hanging="411"/>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76" w:lineRule="exact"/>
        <w:rPr>
          <w:rFonts w:ascii="Arial" w:cs="Arial" w:eastAsia="Arial" w:hAnsi="Arial"/>
          <w:sz w:val="18"/>
          <w:szCs w:val="18"/>
          <w:color w:val="auto"/>
        </w:rPr>
      </w:pPr>
    </w:p>
    <w:p>
      <w:pPr>
        <w:ind w:left="1000" w:hanging="411"/>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advisor in accordance with §240.13d-1(b)(1)(ii)(E).</w:t>
      </w:r>
    </w:p>
    <w:p>
      <w:pPr>
        <w:spacing w:after="0" w:line="76" w:lineRule="exact"/>
        <w:rPr>
          <w:rFonts w:ascii="Arial" w:cs="Arial" w:eastAsia="Arial" w:hAnsi="Arial"/>
          <w:sz w:val="18"/>
          <w:szCs w:val="18"/>
          <w:color w:val="auto"/>
        </w:rPr>
      </w:pPr>
    </w:p>
    <w:p>
      <w:pPr>
        <w:ind w:left="1000" w:hanging="411"/>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76" w:lineRule="exact"/>
        <w:rPr>
          <w:rFonts w:ascii="Arial" w:cs="Arial" w:eastAsia="Arial" w:hAnsi="Arial"/>
          <w:sz w:val="18"/>
          <w:szCs w:val="18"/>
          <w:color w:val="auto"/>
        </w:rPr>
      </w:pPr>
    </w:p>
    <w:p>
      <w:pPr>
        <w:ind w:left="1000" w:hanging="411"/>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76" w:lineRule="exact"/>
        <w:rPr>
          <w:rFonts w:ascii="Arial" w:cs="Arial" w:eastAsia="Arial" w:hAnsi="Arial"/>
          <w:sz w:val="18"/>
          <w:szCs w:val="18"/>
          <w:color w:val="auto"/>
        </w:rPr>
      </w:pPr>
    </w:p>
    <w:p>
      <w:pPr>
        <w:ind w:left="1000" w:hanging="411"/>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76" w:lineRule="exact"/>
        <w:rPr>
          <w:rFonts w:ascii="Arial" w:cs="Arial" w:eastAsia="Arial" w:hAnsi="Arial"/>
          <w:sz w:val="18"/>
          <w:szCs w:val="18"/>
          <w:color w:val="auto"/>
        </w:rPr>
      </w:pPr>
    </w:p>
    <w:p>
      <w:pPr>
        <w:ind w:left="1380" w:hanging="791"/>
        <w:spacing w:after="0" w:line="239" w:lineRule="exact"/>
        <w:tabs>
          <w:tab w:leader="none" w:pos="1002"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21" w:lineRule="exact"/>
        <w:rPr>
          <w:rFonts w:ascii="Arial" w:cs="Arial" w:eastAsia="Arial" w:hAnsi="Arial"/>
          <w:sz w:val="18"/>
          <w:szCs w:val="18"/>
          <w:color w:val="auto"/>
        </w:rPr>
      </w:pPr>
    </w:p>
    <w:p>
      <w:pPr>
        <w:ind w:left="1000" w:hanging="411"/>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1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WEST</w:t>
      </w:r>
    </w:p>
    <w:p>
      <w:pPr>
        <w:sectPr>
          <w:pgSz w:w="11900" w:h="16838" w:orient="portrait"/>
          <w:cols w:equalWidth="0" w:num="1">
            <w:col w:w="11160"/>
          </w:cols>
          <w:pgMar w:left="240" w:top="270" w:right="499" w:bottom="1440" w:gutter="0" w:footer="0" w:header="0"/>
          <w:type w:val="continuous"/>
        </w:sectPr>
      </w:pPr>
    </w:p>
    <w:bookmarkStart w:id="6" w:name="page7"/>
    <w:bookmarkEnd w:id="6"/>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w:t>
      </w:r>
      <w:r>
        <w:rPr>
          <w:sz w:val="20"/>
          <w:szCs w:val="20"/>
          <w:color w:val="auto"/>
        </w:rPr>
        <w:tab/>
      </w:r>
      <w:r>
        <w:rPr>
          <w:rFonts w:ascii="Arial" w:cs="Arial" w:eastAsia="Arial" w:hAnsi="Arial"/>
          <w:sz w:val="18"/>
          <w:szCs w:val="18"/>
          <w:b w:val="1"/>
          <w:bCs w:val="1"/>
          <w:color w:val="auto"/>
        </w:rPr>
        <w:t>4 Ownership.</w:t>
      </w:r>
    </w:p>
    <w:p>
      <w:pPr>
        <w:spacing w:after="0" w:line="135" w:lineRule="exact"/>
        <w:rPr>
          <w:sz w:val="20"/>
          <w:szCs w:val="20"/>
          <w:color w:val="auto"/>
        </w:rPr>
      </w:pPr>
    </w:p>
    <w:p>
      <w:pPr>
        <w:ind w:left="1820" w:hanging="678"/>
        <w:spacing w:after="0" w:line="276"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Reporting Persons are the beneficial owners of 5,088,338 shares of Common Stock held by the Lafitte Accounts. Lafitte may be deemed to beneficially own the shares of Common Stock held by the Lafitte Accounts as a result of being the investment manager of the Lafitte Accounts. Lafitte Capital may be deemed to beneficially own the shares of Common Stock held by the Lafitte Accounts as a result of being the general partner of Lafitte. Bryant Regan may be deemed to beneficially own the shares of Common Stock held by the Lafitte Accounts as a result of being the sole member of Lafitte Capital.</w:t>
      </w:r>
    </w:p>
    <w:p>
      <w:pPr>
        <w:spacing w:after="0" w:line="77" w:lineRule="exact"/>
        <w:rPr>
          <w:rFonts w:ascii="Arial" w:cs="Arial" w:eastAsia="Arial" w:hAnsi="Arial"/>
          <w:sz w:val="17"/>
          <w:szCs w:val="17"/>
          <w:color w:val="auto"/>
        </w:rPr>
      </w:pPr>
    </w:p>
    <w:p>
      <w:pPr>
        <w:ind w:left="1820" w:right="20" w:hanging="678"/>
        <w:spacing w:after="0" w:line="279"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Reporting Persons beneficially own 5,088,338 shares of Common Stock, which represents 9.9% of the shares of Common Stock outstanding. This percentage is determined by dividing the number of shares of Common Stock beneficially held by each of the Reporting Persons by 51,427,832, the number of shares of Common Stock issued and outstanding as of November 10, 2017, as reported in the Issuer’s Form 10-K filed with the Securities and Exchange Commission on November 15, 2017.</w:t>
      </w:r>
    </w:p>
    <w:p>
      <w:pPr>
        <w:spacing w:after="0" w:line="76" w:lineRule="exact"/>
        <w:rPr>
          <w:rFonts w:ascii="Arial" w:cs="Arial" w:eastAsia="Arial" w:hAnsi="Arial"/>
          <w:sz w:val="17"/>
          <w:szCs w:val="17"/>
          <w:color w:val="auto"/>
        </w:rPr>
      </w:pPr>
    </w:p>
    <w:p>
      <w:pPr>
        <w:ind w:left="1820" w:right="200" w:hanging="678"/>
        <w:spacing w:after="0" w:line="27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Reporting Persons have the shared power to direct the vote and disposition of 5,088,338 shares of Common Stock held by the Lafitte Accounts.</w:t>
      </w:r>
    </w:p>
    <w:p>
      <w:pPr>
        <w:sectPr>
          <w:pgSz w:w="11900" w:h="16838" w:orient="portrait"/>
          <w:cols w:equalWidth="0" w:num="1">
            <w:col w:w="11400"/>
          </w:cols>
          <w:pgMar w:left="240" w:top="270" w:right="259" w:bottom="144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144" w:lineRule="exact"/>
        <w:rPr>
          <w:sz w:val="20"/>
          <w:szCs w:val="20"/>
          <w:color w:val="auto"/>
        </w:rPr>
      </w:pPr>
    </w:p>
    <w:p>
      <w:pPr>
        <w:sectPr>
          <w:pgSz w:w="11900" w:h="16838" w:orient="portrait"/>
          <w:cols w:equalWidth="0" w:num="2">
            <w:col w:w="500" w:space="640"/>
            <w:col w:w="10260"/>
          </w:cols>
          <w:pgMar w:left="240" w:top="270" w:right="2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400"/>
          </w:cols>
          <w:pgMar w:left="240" w:top="270" w:right="2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00" w:space="640"/>
            <w:col w:w="10260"/>
          </w:cols>
          <w:pgMar w:left="240" w:top="270" w:right="2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400"/>
          </w:cols>
          <w:pgMar w:left="240" w:top="270" w:right="2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44" w:lineRule="exact"/>
        <w:rPr>
          <w:sz w:val="20"/>
          <w:szCs w:val="20"/>
          <w:color w:val="auto"/>
        </w:rPr>
      </w:pPr>
    </w:p>
    <w:p>
      <w:pPr>
        <w:sectPr>
          <w:pgSz w:w="11900" w:h="16838" w:orient="portrait"/>
          <w:cols w:equalWidth="0" w:num="2">
            <w:col w:w="500" w:space="640"/>
            <w:col w:w="10260"/>
          </w:cols>
          <w:pgMar w:left="240" w:top="270" w:right="2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400"/>
          </w:cols>
          <w:pgMar w:left="240" w:top="270" w:right="2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00" w:space="640"/>
            <w:col w:w="10260"/>
          </w:cols>
          <w:pgMar w:left="240" w:top="270" w:right="2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Inapplicable.</w:t>
      </w:r>
    </w:p>
    <w:p>
      <w:pPr>
        <w:sectPr>
          <w:pgSz w:w="11900" w:h="16838" w:orient="portrait"/>
          <w:cols w:equalWidth="0" w:num="1">
            <w:col w:w="11400"/>
          </w:cols>
          <w:pgMar w:left="240" w:top="270" w:right="2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00" w:space="640"/>
            <w:col w:w="10260"/>
          </w:cols>
          <w:pgMar w:left="240" w:top="270" w:right="25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Inapplicable.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WEST</w:t>
      </w:r>
    </w:p>
    <w:p>
      <w:pPr>
        <w:sectPr>
          <w:pgSz w:w="11900" w:h="16838" w:orient="portrait"/>
          <w:cols w:equalWidth="0" w:num="1">
            <w:col w:w="11400"/>
          </w:cols>
          <w:pgMar w:left="240" w:top="270" w:right="259" w:bottom="1440" w:gutter="0" w:footer="0" w:header="0"/>
          <w:type w:val="continuous"/>
        </w:sectPr>
      </w:pPr>
    </w:p>
    <w:bookmarkStart w:id="7" w:name="page8"/>
    <w:bookmarkEnd w:id="7"/>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WEST</w:t>
      </w:r>
    </w:p>
    <w:p>
      <w:pPr>
        <w:sectPr>
          <w:pgSz w:w="11900" w:h="16838" w:orient="portrait"/>
          <w:cols w:equalWidth="0" w:num="1">
            <w:col w:w="11340"/>
          </w:cols>
          <w:pgMar w:left="240" w:top="27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February 13,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LAFITTE CAPITAL MANAGEMENT LP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Lafitte Capital, LLC, its general partner</w:t>
            </w:r>
          </w:p>
        </w:tc>
      </w:tr>
      <w:tr>
        <w:trPr>
          <w:trHeight w:val="432"/>
        </w:trPr>
        <w:tc>
          <w:tcPr>
            <w:tcW w:w="5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Bryant Regan</w:t>
            </w:r>
          </w:p>
        </w:tc>
      </w:tr>
      <w:tr>
        <w:trPr>
          <w:trHeight w:val="209"/>
        </w:trPr>
        <w:tc>
          <w:tcPr>
            <w:tcW w:w="5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380" w:type="dxa"/>
            <w:vAlign w:val="bottom"/>
          </w:tcPr>
          <w:p>
            <w:pPr>
              <w:spacing w:after="0"/>
              <w:rPr>
                <w:sz w:val="20"/>
                <w:szCs w:val="20"/>
                <w:color w:val="auto"/>
              </w:rPr>
            </w:pPr>
            <w:r>
              <w:rPr>
                <w:rFonts w:ascii="Arial" w:cs="Arial" w:eastAsia="Arial" w:hAnsi="Arial"/>
                <w:sz w:val="18"/>
                <w:szCs w:val="18"/>
                <w:color w:val="auto"/>
              </w:rPr>
              <w:t>Bryant Regan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LAFITTE CAPITAL,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Bryant Regan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Bryant Regan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BRYANT REGAN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Bryant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Bryant Regan</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2020-01-14T08:35:37Z</dcterms:created>
  <dcterms:modified xsi:type="dcterms:W3CDTF">2020-01-14T08:35:37Z</dcterms:modified>
</cp:coreProperties>
</file>