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128270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79375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9" w:lineRule="exact"/>
        <w:rPr>
          <w:sz w:val="24"/>
          <w:szCs w:val="24"/>
          <w:color w:val="auto"/>
        </w:rPr>
      </w:pPr>
    </w:p>
    <w:p>
      <w:pPr>
        <w:ind w:left="3360" w:right="1360" w:hanging="3334"/>
        <w:spacing w:after="0" w:line="409" w:lineRule="auto"/>
        <w:tabs>
          <w:tab w:leader="none" w:pos="611"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2020 or</w:t>
      </w:r>
    </w:p>
    <w:p>
      <w:pPr>
        <w:spacing w:after="0" w:line="5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3"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-3810</wp:posOffset>
            </wp:positionV>
            <wp:extent cx="1567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89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55880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305"/>
        </w:trPr>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3"/>
          </w:tcPr>
          <w:p>
            <w:pPr>
              <w:jc w:val="center"/>
              <w:ind w:left="639"/>
              <w:spacing w:after="0"/>
              <w:rPr>
                <w:sz w:val="20"/>
                <w:szCs w:val="20"/>
                <w:color w:val="auto"/>
              </w:rPr>
            </w:pPr>
            <w:r>
              <w:rPr>
                <w:rFonts w:ascii="Arial" w:cs="Arial" w:eastAsia="Arial" w:hAnsi="Arial"/>
                <w:sz w:val="22"/>
                <w:szCs w:val="22"/>
                <w:b w:val="1"/>
                <w:bCs w:val="1"/>
                <w:color w:val="auto"/>
                <w:w w:val="95"/>
              </w:rPr>
              <w:t>EZCORP, INC.</w:t>
            </w: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400" w:type="dxa"/>
            <w:vAlign w:val="bottom"/>
          </w:tcPr>
          <w:p>
            <w:pPr>
              <w:spacing w:after="0"/>
              <w:rPr>
                <w:sz w:val="21"/>
                <w:szCs w:val="21"/>
                <w:color w:val="auto"/>
              </w:rPr>
            </w:pPr>
          </w:p>
        </w:tc>
        <w:tc>
          <w:tcPr>
            <w:tcW w:w="5840" w:type="dxa"/>
            <w:vAlign w:val="bottom"/>
            <w:gridSpan w:val="8"/>
          </w:tcPr>
          <w:p>
            <w:pPr>
              <w:jc w:val="center"/>
              <w:ind w:right="1308"/>
              <w:spacing w:after="0"/>
              <w:rPr>
                <w:sz w:val="20"/>
                <w:szCs w:val="20"/>
                <w:color w:val="auto"/>
              </w:rPr>
            </w:pPr>
            <w:r>
              <w:rPr>
                <w:rFonts w:ascii="Arial" w:cs="Arial" w:eastAsia="Arial" w:hAnsi="Arial"/>
                <w:sz w:val="18"/>
                <w:szCs w:val="18"/>
                <w:color w:val="auto"/>
                <w:w w:val="99"/>
              </w:rPr>
              <w:t>(Exact name of registrant as specified in its charter)</w:t>
            </w:r>
          </w:p>
        </w:tc>
        <w:tc>
          <w:tcPr>
            <w:tcW w:w="0" w:type="dxa"/>
            <w:vAlign w:val="bottom"/>
          </w:tcPr>
          <w:p>
            <w:pPr>
              <w:spacing w:after="0"/>
              <w:rPr>
                <w:sz w:val="1"/>
                <w:szCs w:val="1"/>
                <w:color w:val="auto"/>
              </w:rPr>
            </w:pPr>
          </w:p>
        </w:tc>
      </w:tr>
      <w:tr>
        <w:trPr>
          <w:trHeight w:val="358"/>
        </w:trPr>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rPr>
              <w:t>Delaware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00" w:type="dxa"/>
            <w:vAlign w:val="bottom"/>
            <w:gridSpan w:val="2"/>
          </w:tcPr>
          <w:p>
            <w:pPr>
              <w:jc w:val="right"/>
              <w:ind w:right="112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64"/>
        </w:trPr>
        <w:tc>
          <w:tcPr>
            <w:tcW w:w="6540" w:type="dxa"/>
            <w:vAlign w:val="bottom"/>
            <w:gridSpan w:val="7"/>
            <w:vMerge w:val="restart"/>
          </w:tcPr>
          <w:p>
            <w:pPr>
              <w:jc w:val="center"/>
              <w:ind w:left="2507"/>
              <w:spacing w:after="0"/>
              <w:rPr>
                <w:sz w:val="20"/>
                <w:szCs w:val="20"/>
                <w:color w:val="auto"/>
              </w:rPr>
            </w:pPr>
            <w:r>
              <w:rPr>
                <w:rFonts w:ascii="Arial" w:cs="Arial" w:eastAsia="Arial" w:hAnsi="Arial"/>
                <w:sz w:val="14"/>
                <w:szCs w:val="14"/>
                <w:color w:val="auto"/>
              </w:rPr>
              <w:t>(State or other jurisdiction of incorporation or organization)</w:t>
            </w:r>
          </w:p>
        </w:tc>
        <w:tc>
          <w:tcPr>
            <w:tcW w:w="2700" w:type="dxa"/>
            <w:vAlign w:val="bottom"/>
            <w:gridSpan w:val="2"/>
          </w:tcPr>
          <w:p>
            <w:pPr>
              <w:jc w:val="center"/>
              <w:ind w:right="36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94"/>
        </w:trPr>
        <w:tc>
          <w:tcPr>
            <w:tcW w:w="6540" w:type="dxa"/>
            <w:vAlign w:val="bottom"/>
            <w:gridSpan w:val="7"/>
            <w:vMerge w:val="continue"/>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tcPr>
          <w:p>
            <w:pPr>
              <w:jc w:val="center"/>
              <w:ind w:right="128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84"/>
        </w:trPr>
        <w:tc>
          <w:tcPr>
            <w:tcW w:w="5280" w:type="dxa"/>
            <w:vAlign w:val="bottom"/>
            <w:gridSpan w:val="5"/>
          </w:tcPr>
          <w:p>
            <w:pPr>
              <w:jc w:val="center"/>
              <w:ind w:left="987"/>
              <w:spacing w:after="0"/>
              <w:rPr>
                <w:sz w:val="20"/>
                <w:szCs w:val="20"/>
                <w:color w:val="auto"/>
              </w:rPr>
            </w:pPr>
            <w:r>
              <w:rPr>
                <w:rFonts w:ascii="Arial" w:cs="Arial" w:eastAsia="Arial" w:hAnsi="Arial"/>
                <w:sz w:val="14"/>
                <w:szCs w:val="14"/>
                <w:b w:val="1"/>
                <w:bCs w:val="1"/>
                <w:color w:val="auto"/>
              </w:rPr>
              <w:t>2500 Bee Cave</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Rollingwood  TX</w:t>
            </w:r>
          </w:p>
        </w:tc>
        <w:tc>
          <w:tcPr>
            <w:tcW w:w="2700" w:type="dxa"/>
            <w:vAlign w:val="bottom"/>
            <w:gridSpan w:val="2"/>
            <w:vMerge w:val="restart"/>
          </w:tcPr>
          <w:p>
            <w:pPr>
              <w:jc w:val="right"/>
              <w:ind w:right="130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76"/>
        </w:trPr>
        <w:tc>
          <w:tcPr>
            <w:tcW w:w="3400" w:type="dxa"/>
            <w:vAlign w:val="bottom"/>
          </w:tcPr>
          <w:p>
            <w:pPr>
              <w:jc w:val="center"/>
              <w:ind w:left="2847"/>
              <w:spacing w:after="0"/>
              <w:rPr>
                <w:sz w:val="20"/>
                <w:szCs w:val="20"/>
                <w:color w:val="auto"/>
              </w:rPr>
            </w:pPr>
            <w:r>
              <w:rPr>
                <w:rFonts w:ascii="Arial" w:cs="Arial" w:eastAsia="Arial" w:hAnsi="Arial"/>
                <w:sz w:val="14"/>
                <w:szCs w:val="14"/>
                <w:b w:val="1"/>
                <w:bCs w:val="1"/>
                <w:color w:val="auto"/>
              </w:rPr>
              <w:t>Road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Bldg One Suite 200</w:t>
            </w:r>
          </w:p>
        </w:tc>
        <w:tc>
          <w:tcPr>
            <w:tcW w:w="1260" w:type="dxa"/>
            <w:vAlign w:val="bottom"/>
            <w:gridSpan w:val="2"/>
            <w:vMerge w:val="continue"/>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540" w:type="dxa"/>
            <w:vAlign w:val="bottom"/>
            <w:gridSpan w:val="7"/>
          </w:tcPr>
          <w:p>
            <w:pPr>
              <w:jc w:val="center"/>
              <w:ind w:left="2527"/>
              <w:spacing w:after="0"/>
              <w:rPr>
                <w:sz w:val="20"/>
                <w:szCs w:val="20"/>
                <w:color w:val="auto"/>
              </w:rPr>
            </w:pPr>
            <w:r>
              <w:rPr>
                <w:rFonts w:ascii="Arial" w:cs="Arial" w:eastAsia="Arial" w:hAnsi="Arial"/>
                <w:sz w:val="14"/>
                <w:szCs w:val="14"/>
                <w:color w:val="auto"/>
              </w:rPr>
              <w:t>(Address of principal executive offices)</w:t>
            </w:r>
          </w:p>
        </w:tc>
        <w:tc>
          <w:tcPr>
            <w:tcW w:w="2700" w:type="dxa"/>
            <w:vAlign w:val="bottom"/>
            <w:gridSpan w:val="2"/>
          </w:tcPr>
          <w:p>
            <w:pPr>
              <w:jc w:val="center"/>
              <w:ind w:right="38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57"/>
        </w:trPr>
        <w:tc>
          <w:tcPr>
            <w:tcW w:w="3400" w:type="dxa"/>
            <w:vAlign w:val="bottom"/>
          </w:tcPr>
          <w:p>
            <w:pPr>
              <w:spacing w:after="0"/>
              <w:rPr>
                <w:sz w:val="24"/>
                <w:szCs w:val="24"/>
                <w:color w:val="auto"/>
              </w:rPr>
            </w:pPr>
          </w:p>
        </w:tc>
        <w:tc>
          <w:tcPr>
            <w:tcW w:w="5840" w:type="dxa"/>
            <w:vAlign w:val="bottom"/>
            <w:gridSpan w:val="8"/>
          </w:tcPr>
          <w:p>
            <w:pPr>
              <w:jc w:val="center"/>
              <w:ind w:right="1308"/>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tc>
        <w:tc>
          <w:tcPr>
            <w:tcW w:w="0" w:type="dxa"/>
            <w:vAlign w:val="bottom"/>
          </w:tcPr>
          <w:p>
            <w:pPr>
              <w:spacing w:after="0"/>
              <w:rPr>
                <w:sz w:val="1"/>
                <w:szCs w:val="1"/>
                <w:color w:val="auto"/>
              </w:rPr>
            </w:pPr>
          </w:p>
        </w:tc>
      </w:tr>
      <w:tr>
        <w:trPr>
          <w:trHeight w:val="150"/>
        </w:trPr>
        <w:tc>
          <w:tcPr>
            <w:tcW w:w="378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0"/>
        </w:trPr>
        <w:tc>
          <w:tcPr>
            <w:tcW w:w="5280" w:type="dxa"/>
            <w:vAlign w:val="bottom"/>
            <w:gridSpan w:val="5"/>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0" w:type="dxa"/>
            <w:vAlign w:val="bottom"/>
            <w:tcBorders>
              <w:bottom w:val="single" w:sz="8" w:color="auto"/>
            </w:tcBorders>
          </w:tcPr>
          <w:p>
            <w:pPr>
              <w:jc w:val="center"/>
              <w:ind w:left="367"/>
              <w:spacing w:after="0"/>
              <w:rPr>
                <w:sz w:val="20"/>
                <w:szCs w:val="20"/>
                <w:color w:val="auto"/>
              </w:rPr>
            </w:pPr>
            <w:r>
              <w:rPr>
                <w:rFonts w:ascii="Arial" w:cs="Arial" w:eastAsia="Arial" w:hAnsi="Arial"/>
                <w:sz w:val="14"/>
                <w:szCs w:val="14"/>
                <w:b w:val="1"/>
                <w:bCs w:val="1"/>
                <w:color w:val="auto"/>
              </w:rPr>
              <w:t>Title of each class</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24"/>
                <w:szCs w:val="24"/>
                <w:color w:val="auto"/>
              </w:rPr>
            </w:pPr>
          </w:p>
        </w:tc>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3"/>
        </w:trPr>
        <w:tc>
          <w:tcPr>
            <w:tcW w:w="5280" w:type="dxa"/>
            <w:vAlign w:val="bottom"/>
            <w:gridSpan w:val="5"/>
          </w:tcPr>
          <w:p>
            <w:pPr>
              <w:jc w:val="center"/>
              <w:ind w:right="1359"/>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700" w:type="dxa"/>
            <w:vAlign w:val="bottom"/>
            <w:gridSpan w:val="2"/>
            <w:vMerge w:val="restart"/>
          </w:tcPr>
          <w:p>
            <w:pPr>
              <w:jc w:val="center"/>
              <w:ind w:right="1028"/>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202"/>
        </w:trPr>
        <w:tc>
          <w:tcPr>
            <w:tcW w:w="3400" w:type="dxa"/>
            <w:vAlign w:val="bottom"/>
          </w:tcPr>
          <w:p>
            <w:pPr>
              <w:jc w:val="center"/>
              <w:ind w:left="367"/>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EZPW</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6260"/>
        <w:spacing w:after="0"/>
        <w:rPr>
          <w:sz w:val="20"/>
          <w:szCs w:val="20"/>
          <w:color w:val="auto"/>
        </w:rPr>
      </w:pPr>
      <w:r>
        <w:rPr>
          <w:rFonts w:ascii="Arial" w:cs="Arial" w:eastAsia="Arial" w:hAnsi="Arial"/>
          <w:sz w:val="14"/>
          <w:szCs w:val="14"/>
          <w:b w:val="1"/>
          <w:bCs w:val="1"/>
          <w:color w:val="auto"/>
        </w:rPr>
        <w:t>(NASDAQ Global Select Market)</w:t>
      </w:r>
    </w:p>
    <w:p>
      <w:pPr>
        <w:spacing w:after="0" w:line="137" w:lineRule="exact"/>
        <w:rPr>
          <w:sz w:val="24"/>
          <w:szCs w:val="24"/>
          <w:color w:val="auto"/>
        </w:rPr>
      </w:pPr>
    </w:p>
    <w:p>
      <w:pPr>
        <w:jc w:val="both"/>
        <w:ind w:right="60"/>
        <w:spacing w:after="0" w:line="25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4" w:lineRule="exact"/>
        <w:rPr>
          <w:sz w:val="24"/>
          <w:szCs w:val="24"/>
          <w:color w:val="auto"/>
        </w:rPr>
      </w:pPr>
    </w:p>
    <w:p>
      <w:pPr>
        <w:jc w:val="both"/>
        <w:ind w:right="60"/>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5" w:lineRule="exact"/>
        <w:rPr>
          <w:sz w:val="24"/>
          <w:szCs w:val="24"/>
          <w:color w:val="auto"/>
        </w:rPr>
      </w:pPr>
    </w:p>
    <w:p>
      <w:pPr>
        <w:jc w:val="both"/>
        <w:ind w:right="54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20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7" w:lineRule="exact"/>
        <w:rPr>
          <w:sz w:val="24"/>
          <w:szCs w:val="24"/>
          <w:color w:val="auto"/>
        </w:rPr>
      </w:pPr>
    </w:p>
    <w:p>
      <w:pPr>
        <w:ind w:right="2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8"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42"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As of January 31, 2021, 52,628,588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4"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20" w:type="dxa"/>
            <w:vAlign w:val="bottom"/>
          </w:tcPr>
          <w:p>
            <w:pPr>
              <w:jc w:val="center"/>
              <w:ind w:right="1970"/>
              <w:spacing w:after="0"/>
              <w:rPr>
                <w:sz w:val="20"/>
                <w:szCs w:val="20"/>
                <w:color w:val="auto"/>
              </w:rPr>
            </w:pPr>
            <w:r>
              <w:rPr>
                <w:rFonts w:ascii="Arial" w:cs="Arial" w:eastAsia="Arial" w:hAnsi="Arial"/>
                <w:sz w:val="18"/>
                <w:szCs w:val="18"/>
                <w:b w:val="1"/>
                <w:bCs w:val="1"/>
                <w:color w:val="auto"/>
                <w:w w:val="98"/>
              </w:rPr>
              <w:t>EZCORP, Inc.</w:t>
            </w:r>
          </w:p>
        </w:tc>
        <w:tc>
          <w:tcPr>
            <w:tcW w:w="1720" w:type="dxa"/>
            <w:vAlign w:val="bottom"/>
          </w:tcPr>
          <w:p>
            <w:pPr>
              <w:spacing w:after="0"/>
              <w:rPr>
                <w:sz w:val="21"/>
                <w:szCs w:val="21"/>
                <w:color w:val="auto"/>
              </w:rPr>
            </w:pPr>
          </w:p>
        </w:tc>
      </w:tr>
      <w:tr>
        <w:trPr>
          <w:trHeight w:val="378"/>
        </w:trPr>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20" w:type="dxa"/>
            <w:vAlign w:val="bottom"/>
          </w:tcPr>
          <w:p>
            <w:pPr>
              <w:jc w:val="center"/>
              <w:ind w:right="1990"/>
              <w:spacing w:after="0"/>
              <w:rPr>
                <w:sz w:val="20"/>
                <w:szCs w:val="20"/>
                <w:color w:val="auto"/>
              </w:rPr>
            </w:pPr>
            <w:r>
              <w:rPr>
                <w:rFonts w:ascii="Arial" w:cs="Arial" w:eastAsia="Arial" w:hAnsi="Arial"/>
                <w:sz w:val="18"/>
                <w:szCs w:val="18"/>
                <w:b w:val="1"/>
                <w:bCs w:val="1"/>
                <w:color w:val="auto"/>
                <w:w w:val="99"/>
              </w:rPr>
              <w:t>INDEX TO FORM 10-Q</w:t>
            </w:r>
          </w:p>
        </w:tc>
        <w:tc>
          <w:tcPr>
            <w:tcW w:w="1720" w:type="dxa"/>
            <w:vAlign w:val="bottom"/>
          </w:tcPr>
          <w:p>
            <w:pPr>
              <w:spacing w:after="0"/>
              <w:rPr>
                <w:sz w:val="24"/>
                <w:szCs w:val="24"/>
                <w:color w:val="auto"/>
              </w:rPr>
            </w:pPr>
          </w:p>
        </w:tc>
      </w:tr>
      <w:tr>
        <w:trPr>
          <w:trHeight w:val="330"/>
        </w:trPr>
        <w:tc>
          <w:tcPr>
            <w:tcW w:w="9520" w:type="dxa"/>
            <w:vAlign w:val="bottom"/>
            <w:gridSpan w:val="10"/>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1720" w:type="dxa"/>
            <w:vAlign w:val="bottom"/>
          </w:tcPr>
          <w:p>
            <w:pPr>
              <w:spacing w:after="0"/>
              <w:rPr>
                <w:sz w:val="24"/>
                <w:szCs w:val="24"/>
                <w:color w:val="auto"/>
              </w:rPr>
            </w:pPr>
          </w:p>
        </w:tc>
      </w:tr>
      <w:tr>
        <w:trPr>
          <w:trHeight w:val="229"/>
        </w:trPr>
        <w:tc>
          <w:tcPr>
            <w:tcW w:w="9520" w:type="dxa"/>
            <w:vAlign w:val="bottom"/>
            <w:gridSpan w:val="10"/>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w:t>
              </w:r>
            </w:hyperlink>
          </w:p>
        </w:tc>
        <w:tc>
          <w:tcPr>
            <w:tcW w:w="1720" w:type="dxa"/>
            <w:vAlign w:val="bottom"/>
          </w:tcPr>
          <w:p>
            <w:pPr>
              <w:spacing w:after="0"/>
              <w:rPr>
                <w:sz w:val="19"/>
                <w:szCs w:val="19"/>
                <w:color w:val="auto"/>
              </w:rPr>
            </w:pPr>
          </w:p>
        </w:tc>
      </w:tr>
      <w:tr>
        <w:trPr>
          <w:trHeight w:val="230"/>
        </w:trPr>
        <w:tc>
          <w:tcPr>
            <w:tcW w:w="9520" w:type="dxa"/>
            <w:vAlign w:val="bottom"/>
            <w:gridSpan w:val="10"/>
          </w:tcPr>
          <w:p>
            <w:pPr>
              <w:ind w:left="6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Interim Condensed Consolidated Financial Statements (Unaudited)</w:t>
              </w:r>
            </w:hyperlink>
          </w:p>
        </w:tc>
        <w:tc>
          <w:tcPr>
            <w:tcW w:w="17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29"/>
        </w:trPr>
        <w:tc>
          <w:tcPr>
            <w:tcW w:w="1120" w:type="dxa"/>
            <w:vAlign w:val="bottom"/>
          </w:tcPr>
          <w:p>
            <w:pPr>
              <w:spacing w:after="0"/>
              <w:rPr>
                <w:sz w:val="19"/>
                <w:szCs w:val="19"/>
                <w:color w:val="auto"/>
              </w:rPr>
            </w:pPr>
          </w:p>
        </w:tc>
        <w:tc>
          <w:tcPr>
            <w:tcW w:w="8400" w:type="dxa"/>
            <w:vAlign w:val="bottom"/>
            <w:gridSpan w:val="9"/>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 1: Organization and Summary of Significant Accounting Policies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r>
      <w:tr>
        <w:trPr>
          <w:trHeight w:val="229"/>
        </w:trPr>
        <w:tc>
          <w:tcPr>
            <w:tcW w:w="1120" w:type="dxa"/>
            <w:vAlign w:val="bottom"/>
          </w:tcPr>
          <w:p>
            <w:pPr>
              <w:spacing w:after="0"/>
              <w:rPr>
                <w:sz w:val="19"/>
                <w:szCs w:val="19"/>
                <w:color w:val="auto"/>
              </w:rPr>
            </w:pPr>
          </w:p>
        </w:tc>
        <w:tc>
          <w:tcPr>
            <w:tcW w:w="8400" w:type="dxa"/>
            <w:vAlign w:val="bottom"/>
            <w:gridSpan w:val="9"/>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 2: Expected Credit Losses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r>
      <w:tr>
        <w:trPr>
          <w:trHeight w:val="198"/>
        </w:trPr>
        <w:tc>
          <w:tcPr>
            <w:tcW w:w="1120" w:type="dxa"/>
            <w:vAlign w:val="bottom"/>
          </w:tcPr>
          <w:p>
            <w:pPr>
              <w:spacing w:after="0"/>
              <w:rPr>
                <w:sz w:val="17"/>
                <w:szCs w:val="17"/>
                <w:color w:val="auto"/>
              </w:rPr>
            </w:pPr>
          </w:p>
        </w:tc>
        <w:tc>
          <w:tcPr>
            <w:tcW w:w="8400" w:type="dxa"/>
            <w:vAlign w:val="bottom"/>
            <w:gridSpan w:val="9"/>
          </w:tcPr>
          <w:p>
            <w:pPr>
              <w:spacing w:after="0" w:line="198" w:lineRule="exact"/>
              <w:rPr>
                <w:rFonts w:ascii="Arial" w:cs="Arial" w:eastAsia="Arial" w:hAnsi="Arial"/>
                <w:sz w:val="18"/>
                <w:szCs w:val="18"/>
                <w:color w:val="0000FF"/>
              </w:rPr>
            </w:pPr>
            <w:hyperlink w:anchor="page9">
              <w:r>
                <w:rPr>
                  <w:rFonts w:ascii="Arial" w:cs="Arial" w:eastAsia="Arial" w:hAnsi="Arial"/>
                  <w:sz w:val="18"/>
                  <w:szCs w:val="18"/>
                  <w:color w:val="0000FF"/>
                </w:rPr>
                <w:t xml:space="preserve">Note 3: </w:t>
              </w:r>
              <w:r>
                <w:rPr>
                  <w:rFonts w:ascii="Arial" w:cs="Arial" w:eastAsia="Arial" w:hAnsi="Arial"/>
                  <w:sz w:val="18"/>
                  <w:szCs w:val="18"/>
                  <w:u w:val="single" w:color="auto"/>
                  <w:color w:val="0000FF"/>
                </w:rPr>
                <w:t>Other Charges</w:t>
              </w:r>
            </w:hyperlink>
          </w:p>
        </w:tc>
        <w:tc>
          <w:tcPr>
            <w:tcW w:w="1720" w:type="dxa"/>
            <w:vAlign w:val="bottom"/>
          </w:tcPr>
          <w:p>
            <w:pPr>
              <w:jc w:val="right"/>
              <w:spacing w:after="0" w:line="198" w:lineRule="exact"/>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8</w:t>
              </w:r>
            </w:hyperlink>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00" w:type="dxa"/>
            <w:vAlign w:val="bottom"/>
            <w:gridSpan w:val="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 xml:space="preserve">Note 4: </w:t>
              </w:r>
              <w:r>
                <w:rPr>
                  <w:rFonts w:ascii="Arial" w:cs="Arial" w:eastAsia="Arial" w:hAnsi="Arial"/>
                  <w:sz w:val="18"/>
                  <w:szCs w:val="18"/>
                  <w:u w:val="single" w:color="auto"/>
                  <w:color w:val="0000FF"/>
                </w:rPr>
                <w:t>Earnings Per Share</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8</w:t>
              </w:r>
            </w:hyperlink>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400" w:type="dxa"/>
            <w:vAlign w:val="bottom"/>
            <w:gridSpan w:val="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5: </w:t>
            </w:r>
            <w:hyperlink w:anchor="page10">
              <w:r>
                <w:rPr>
                  <w:rFonts w:ascii="Arial" w:cs="Arial" w:eastAsia="Arial" w:hAnsi="Arial"/>
                  <w:sz w:val="18"/>
                  <w:szCs w:val="18"/>
                  <w:color w:val="0000FF"/>
                </w:rPr>
                <w:t>Leases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8</w:t>
              </w:r>
            </w:hyperlink>
          </w:p>
        </w:tc>
      </w:tr>
      <w:tr>
        <w:trPr>
          <w:trHeight w:val="20"/>
        </w:trPr>
        <w:tc>
          <w:tcPr>
            <w:tcW w:w="11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00" w:type="dxa"/>
            <w:vAlign w:val="bottom"/>
            <w:gridSpan w:val="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 xml:space="preserve">Note 6: </w:t>
              </w:r>
              <w:r>
                <w:rPr>
                  <w:rFonts w:ascii="Arial" w:cs="Arial" w:eastAsia="Arial" w:hAnsi="Arial"/>
                  <w:sz w:val="18"/>
                  <w:szCs w:val="18"/>
                  <w:u w:val="single" w:color="auto"/>
                  <w:color w:val="0000FF"/>
                </w:rPr>
                <w:t>Strategic Investments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10</w:t>
              </w:r>
            </w:hyperlink>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2680" w:type="dxa"/>
            <w:vAlign w:val="bottom"/>
            <w:tcBorders>
              <w:bottom w:val="single" w:sz="8" w:color="0000FF"/>
            </w:tcBorders>
            <w:gridSpan w:val="8"/>
          </w:tcPr>
          <w:p>
            <w:pPr>
              <w:spacing w:after="0"/>
              <w:rPr>
                <w:rFonts w:ascii="Arial" w:cs="Arial" w:eastAsia="Arial" w:hAnsi="Arial"/>
                <w:sz w:val="18"/>
                <w:szCs w:val="18"/>
                <w:color w:val="0000FF"/>
                <w:w w:val="98"/>
              </w:rPr>
            </w:pPr>
            <w:hyperlink w:anchor="page12">
              <w:r>
                <w:rPr>
                  <w:rFonts w:ascii="Arial" w:cs="Arial" w:eastAsia="Arial" w:hAnsi="Arial"/>
                  <w:sz w:val="18"/>
                  <w:szCs w:val="18"/>
                  <w:color w:val="0000FF"/>
                  <w:w w:val="98"/>
                </w:rPr>
                <w:t xml:space="preserve">Note </w:t>
              </w:r>
            </w:hyperlink>
            <w:r>
              <w:rPr>
                <w:rFonts w:ascii="Arial" w:cs="Arial" w:eastAsia="Arial" w:hAnsi="Arial"/>
                <w:sz w:val="18"/>
                <w:szCs w:val="18"/>
                <w:color w:val="0000FF"/>
                <w:w w:val="98"/>
              </w:rPr>
              <w:t xml:space="preserve">7: </w:t>
            </w:r>
            <w:hyperlink w:anchor="page12">
              <w:r>
                <w:rPr>
                  <w:rFonts w:ascii="Arial" w:cs="Arial" w:eastAsia="Arial" w:hAnsi="Arial"/>
                  <w:sz w:val="18"/>
                  <w:szCs w:val="18"/>
                  <w:color w:val="0000FF"/>
                  <w:w w:val="98"/>
                </w:rPr>
                <w:t>Fair Value Measurements</w:t>
              </w:r>
            </w:hyperlink>
          </w:p>
        </w:tc>
        <w:tc>
          <w:tcPr>
            <w:tcW w:w="5720" w:type="dxa"/>
            <w:vAlign w:val="bottom"/>
          </w:tcPr>
          <w:p>
            <w:pPr>
              <w:spacing w:after="0"/>
              <w:rPr>
                <w:sz w:val="18"/>
                <w:szCs w:val="18"/>
                <w:color w:val="auto"/>
              </w:rPr>
            </w:pPr>
          </w:p>
        </w:tc>
        <w:tc>
          <w:tcPr>
            <w:tcW w:w="172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10</w:t>
              </w:r>
            </w:hyperlink>
          </w:p>
        </w:tc>
      </w:tr>
      <w:tr>
        <w:trPr>
          <w:trHeight w:val="210"/>
        </w:trPr>
        <w:tc>
          <w:tcPr>
            <w:tcW w:w="1120" w:type="dxa"/>
            <w:vAlign w:val="bottom"/>
          </w:tcPr>
          <w:p>
            <w:pPr>
              <w:spacing w:after="0"/>
              <w:rPr>
                <w:sz w:val="18"/>
                <w:szCs w:val="18"/>
                <w:color w:val="auto"/>
              </w:rPr>
            </w:pPr>
          </w:p>
        </w:tc>
        <w:tc>
          <w:tcPr>
            <w:tcW w:w="8400" w:type="dxa"/>
            <w:vAlign w:val="bottom"/>
            <w:gridSpan w:val="9"/>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8: </w:t>
            </w:r>
            <w:hyperlink w:anchor="page14">
              <w:r>
                <w:rPr>
                  <w:rFonts w:ascii="Arial" w:cs="Arial" w:eastAsia="Arial" w:hAnsi="Arial"/>
                  <w:sz w:val="18"/>
                  <w:szCs w:val="18"/>
                  <w:color w:val="0000FF"/>
                </w:rPr>
                <w:t>Debt</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12</w:t>
              </w:r>
            </w:hyperlink>
          </w:p>
        </w:tc>
      </w:tr>
      <w:tr>
        <w:trPr>
          <w:trHeight w:val="20"/>
        </w:trPr>
        <w:tc>
          <w:tcPr>
            <w:tcW w:w="11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00" w:type="dxa"/>
            <w:vAlign w:val="bottom"/>
            <w:gridSpan w:val="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9: </w:t>
            </w:r>
            <w:hyperlink w:anchor="page16">
              <w:r>
                <w:rPr>
                  <w:rFonts w:ascii="Arial" w:cs="Arial" w:eastAsia="Arial" w:hAnsi="Arial"/>
                  <w:sz w:val="18"/>
                  <w:szCs w:val="18"/>
                  <w:color w:val="0000FF"/>
                </w:rPr>
                <w:t xml:space="preserve">Share-Based </w:t>
              </w:r>
              <w:r>
                <w:rPr>
                  <w:rFonts w:ascii="Arial" w:cs="Arial" w:eastAsia="Arial" w:hAnsi="Arial"/>
                  <w:sz w:val="18"/>
                  <w:szCs w:val="18"/>
                  <w:u w:val="single" w:color="auto"/>
                  <w:color w:val="0000FF"/>
                </w:rPr>
                <w:t>Compensation</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14</w:t>
              </w:r>
            </w:hyperlink>
          </w:p>
        </w:tc>
      </w:tr>
      <w:tr>
        <w:trPr>
          <w:trHeight w:val="20"/>
        </w:trPr>
        <w:tc>
          <w:tcPr>
            <w:tcW w:w="11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840" w:type="dxa"/>
            <w:vAlign w:val="bottom"/>
            <w:tcBorders>
              <w:bottom w:val="single" w:sz="8" w:color="0000FF"/>
            </w:tcBorders>
            <w:gridSpan w:val="6"/>
          </w:tcPr>
          <w:p>
            <w:pPr>
              <w:spacing w:after="0"/>
              <w:rPr>
                <w:rFonts w:ascii="Arial" w:cs="Arial" w:eastAsia="Arial" w:hAnsi="Arial"/>
                <w:sz w:val="18"/>
                <w:szCs w:val="18"/>
                <w:color w:val="0000FF"/>
                <w:w w:val="97"/>
              </w:rPr>
            </w:pPr>
            <w:hyperlink w:anchor="page16">
              <w:r>
                <w:rPr>
                  <w:rFonts w:ascii="Arial" w:cs="Arial" w:eastAsia="Arial" w:hAnsi="Arial"/>
                  <w:sz w:val="18"/>
                  <w:szCs w:val="18"/>
                  <w:color w:val="0000FF"/>
                  <w:w w:val="97"/>
                </w:rPr>
                <w:t xml:space="preserve">Note </w:t>
              </w:r>
            </w:hyperlink>
            <w:r>
              <w:rPr>
                <w:rFonts w:ascii="Arial" w:cs="Arial" w:eastAsia="Arial" w:hAnsi="Arial"/>
                <w:sz w:val="18"/>
                <w:szCs w:val="18"/>
                <w:color w:val="0000FF"/>
                <w:w w:val="97"/>
              </w:rPr>
              <w:t xml:space="preserve">10: </w:t>
            </w:r>
            <w:hyperlink w:anchor="page16">
              <w:r>
                <w:rPr>
                  <w:rFonts w:ascii="Arial" w:cs="Arial" w:eastAsia="Arial" w:hAnsi="Arial"/>
                  <w:sz w:val="18"/>
                  <w:szCs w:val="18"/>
                  <w:color w:val="0000FF"/>
                  <w:w w:val="97"/>
                </w:rPr>
                <w:t>Income Taxes</w:t>
              </w:r>
            </w:hyperlink>
          </w:p>
        </w:tc>
        <w:tc>
          <w:tcPr>
            <w:tcW w:w="6560" w:type="dxa"/>
            <w:vAlign w:val="bottom"/>
            <w:gridSpan w:val="3"/>
          </w:tcPr>
          <w:p>
            <w:pPr>
              <w:spacing w:after="0"/>
              <w:rPr>
                <w:sz w:val="18"/>
                <w:szCs w:val="18"/>
                <w:color w:val="auto"/>
              </w:rPr>
            </w:pPr>
          </w:p>
        </w:tc>
        <w:tc>
          <w:tcPr>
            <w:tcW w:w="172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14</w:t>
              </w:r>
            </w:hyperlink>
          </w:p>
        </w:tc>
      </w:tr>
      <w:tr>
        <w:trPr>
          <w:trHeight w:val="209"/>
        </w:trPr>
        <w:tc>
          <w:tcPr>
            <w:tcW w:w="1120" w:type="dxa"/>
            <w:vAlign w:val="bottom"/>
          </w:tcPr>
          <w:p>
            <w:pPr>
              <w:spacing w:after="0"/>
              <w:rPr>
                <w:sz w:val="18"/>
                <w:szCs w:val="18"/>
                <w:color w:val="auto"/>
              </w:rPr>
            </w:pPr>
          </w:p>
        </w:tc>
        <w:tc>
          <w:tcPr>
            <w:tcW w:w="8400" w:type="dxa"/>
            <w:vAlign w:val="bottom"/>
            <w:gridSpan w:val="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11: </w:t>
            </w:r>
            <w:hyperlink w:anchor="page17">
              <w:r>
                <w:rPr>
                  <w:rFonts w:ascii="Arial" w:cs="Arial" w:eastAsia="Arial" w:hAnsi="Arial"/>
                  <w:sz w:val="18"/>
                  <w:szCs w:val="18"/>
                  <w:color w:val="0000FF"/>
                </w:rPr>
                <w:t>Commitments and C</w:t>
              </w:r>
              <w:r>
                <w:rPr>
                  <w:rFonts w:ascii="Arial" w:cs="Arial" w:eastAsia="Arial" w:hAnsi="Arial"/>
                  <w:sz w:val="18"/>
                  <w:szCs w:val="18"/>
                  <w:u w:val="single" w:color="auto"/>
                  <w:color w:val="0000FF"/>
                </w:rPr>
                <w:t>ontingencies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15</w:t>
              </w:r>
            </w:hyperlink>
          </w:p>
        </w:tc>
      </w:tr>
      <w:tr>
        <w:trPr>
          <w:trHeight w:val="20"/>
        </w:trPr>
        <w:tc>
          <w:tcPr>
            <w:tcW w:w="11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00" w:type="dxa"/>
            <w:vAlign w:val="bottom"/>
            <w:gridSpan w:val="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 xml:space="preserve">Note </w:t>
              </w:r>
            </w:hyperlink>
            <w:r>
              <w:rPr>
                <w:rFonts w:ascii="Arial" w:cs="Arial" w:eastAsia="Arial" w:hAnsi="Arial"/>
                <w:sz w:val="18"/>
                <w:szCs w:val="18"/>
                <w:color w:val="0000FF"/>
              </w:rPr>
              <w:t>12</w:t>
            </w:r>
            <w:hyperlink w:anchor="page17">
              <w:r>
                <w:rPr>
                  <w:rFonts w:ascii="Arial" w:cs="Arial" w:eastAsia="Arial" w:hAnsi="Arial"/>
                  <w:sz w:val="18"/>
                  <w:szCs w:val="18"/>
                  <w:color w:val="0000FF"/>
                </w:rPr>
                <w:t xml:space="preserve">: </w:t>
              </w:r>
              <w:r>
                <w:rPr>
                  <w:rFonts w:ascii="Arial" w:cs="Arial" w:eastAsia="Arial" w:hAnsi="Arial"/>
                  <w:sz w:val="18"/>
                  <w:szCs w:val="18"/>
                  <w:u w:val="single" w:color="auto"/>
                  <w:color w:val="0000FF"/>
                </w:rPr>
                <w:t>Segment Information</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15</w:t>
              </w:r>
            </w:hyperlink>
          </w:p>
        </w:tc>
      </w:tr>
      <w:tr>
        <w:trPr>
          <w:trHeight w:val="20"/>
        </w:trPr>
        <w:tc>
          <w:tcPr>
            <w:tcW w:w="11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400" w:type="dxa"/>
            <w:vAlign w:val="bottom"/>
            <w:gridSpan w:val="9"/>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 xml:space="preserve">Note </w:t>
              </w:r>
            </w:hyperlink>
            <w:r>
              <w:rPr>
                <w:rFonts w:ascii="Arial" w:cs="Arial" w:eastAsia="Arial" w:hAnsi="Arial"/>
                <w:sz w:val="18"/>
                <w:szCs w:val="18"/>
                <w:color w:val="0000FF"/>
              </w:rPr>
              <w:t>13</w:t>
            </w:r>
            <w:hyperlink w:anchor="page18">
              <w:r>
                <w:rPr>
                  <w:rFonts w:ascii="Arial" w:cs="Arial" w:eastAsia="Arial" w:hAnsi="Arial"/>
                  <w:sz w:val="18"/>
                  <w:szCs w:val="18"/>
                  <w:color w:val="0000FF"/>
                </w:rPr>
                <w:t xml:space="preserve">: </w:t>
              </w:r>
              <w:r>
                <w:rPr>
                  <w:rFonts w:ascii="Arial" w:cs="Arial" w:eastAsia="Arial" w:hAnsi="Arial"/>
                  <w:sz w:val="18"/>
                  <w:szCs w:val="18"/>
                  <w:u w:val="single" w:color="auto"/>
                  <w:color w:val="0000FF"/>
                </w:rPr>
                <w:t>Supplemental Consolidated Financial Information</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17</w:t>
              </w:r>
            </w:hyperlink>
          </w:p>
        </w:tc>
      </w:tr>
      <w:tr>
        <w:trPr>
          <w:trHeight w:val="20"/>
        </w:trPr>
        <w:tc>
          <w:tcPr>
            <w:tcW w:w="11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1"/>
        </w:trPr>
        <w:tc>
          <w:tcPr>
            <w:tcW w:w="9520" w:type="dxa"/>
            <w:vAlign w:val="bottom"/>
            <w:gridSpan w:val="10"/>
          </w:tcPr>
          <w:p>
            <w:pPr>
              <w:ind w:left="36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2. Management’s Discussion and Analysis of Financial Condition and Results of Operations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18</w:t>
              </w:r>
            </w:hyperlink>
          </w:p>
        </w:tc>
      </w:tr>
      <w:tr>
        <w:trPr>
          <w:trHeight w:val="229"/>
        </w:trPr>
        <w:tc>
          <w:tcPr>
            <w:tcW w:w="9520" w:type="dxa"/>
            <w:vAlign w:val="bottom"/>
            <w:gridSpan w:val="10"/>
          </w:tcPr>
          <w:p>
            <w:pPr>
              <w:ind w:left="3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3. Quantitative and Qualitative Disclosures about Market Risk</w:t>
              </w:r>
            </w:hyperlink>
          </w:p>
        </w:tc>
        <w:tc>
          <w:tcPr>
            <w:tcW w:w="172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26</w:t>
              </w:r>
            </w:hyperlink>
          </w:p>
        </w:tc>
      </w:tr>
      <w:tr>
        <w:trPr>
          <w:trHeight w:val="230"/>
        </w:trPr>
        <w:tc>
          <w:tcPr>
            <w:tcW w:w="9520" w:type="dxa"/>
            <w:vAlign w:val="bottom"/>
            <w:gridSpan w:val="10"/>
          </w:tcPr>
          <w:p>
            <w:pPr>
              <w:ind w:left="3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4. Controls and Procedures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26</w:t>
              </w:r>
            </w:hyperlink>
          </w:p>
        </w:tc>
      </w:tr>
      <w:tr>
        <w:trPr>
          <w:trHeight w:val="229"/>
        </w:trPr>
        <w:tc>
          <w:tcPr>
            <w:tcW w:w="9520" w:type="dxa"/>
            <w:vAlign w:val="bottom"/>
            <w:gridSpan w:val="10"/>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PART II — OTHER INFORMATION</w:t>
              </w:r>
            </w:hyperlink>
          </w:p>
        </w:tc>
        <w:tc>
          <w:tcPr>
            <w:tcW w:w="1720" w:type="dxa"/>
            <w:vAlign w:val="bottom"/>
          </w:tcPr>
          <w:p>
            <w:pPr>
              <w:spacing w:after="0"/>
              <w:rPr>
                <w:sz w:val="19"/>
                <w:szCs w:val="19"/>
                <w:color w:val="auto"/>
              </w:rPr>
            </w:pPr>
          </w:p>
        </w:tc>
      </w:tr>
      <w:tr>
        <w:trPr>
          <w:trHeight w:val="229"/>
        </w:trPr>
        <w:tc>
          <w:tcPr>
            <w:tcW w:w="9520" w:type="dxa"/>
            <w:vAlign w:val="bottom"/>
            <w:gridSpan w:val="10"/>
          </w:tcPr>
          <w:p>
            <w:pPr>
              <w:ind w:left="3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 Legal Proceedings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r>
      <w:tr>
        <w:trPr>
          <w:trHeight w:val="230"/>
        </w:trPr>
        <w:tc>
          <w:tcPr>
            <w:tcW w:w="9520" w:type="dxa"/>
            <w:vAlign w:val="bottom"/>
            <w:gridSpan w:val="10"/>
          </w:tcPr>
          <w:p>
            <w:pPr>
              <w:ind w:left="3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1A. Risk Factors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r>
      <w:tr>
        <w:trPr>
          <w:trHeight w:val="229"/>
        </w:trPr>
        <w:tc>
          <w:tcPr>
            <w:tcW w:w="9520" w:type="dxa"/>
            <w:vAlign w:val="bottom"/>
            <w:gridSpan w:val="10"/>
          </w:tcPr>
          <w:p>
            <w:pPr>
              <w:ind w:left="3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6. Exhibits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28</w:t>
              </w:r>
            </w:hyperlink>
          </w:p>
        </w:tc>
      </w:tr>
      <w:tr>
        <w:trPr>
          <w:trHeight w:val="243"/>
        </w:trPr>
        <w:tc>
          <w:tcPr>
            <w:tcW w:w="9520" w:type="dxa"/>
            <w:vAlign w:val="bottom"/>
            <w:gridSpan w:val="10"/>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SIGNATURES</w:t>
              </w:r>
            </w:hyperlink>
          </w:p>
        </w:tc>
        <w:tc>
          <w:tcPr>
            <w:tcW w:w="172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r>
      <w:tr>
        <w:trPr>
          <w:trHeight w:val="962"/>
        </w:trPr>
        <w:tc>
          <w:tcPr>
            <w:tcW w:w="1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Pr>
          <w:p>
            <w:pPr>
              <w:spacing w:after="0"/>
              <w:rPr>
                <w:sz w:val="16"/>
                <w:szCs w:val="16"/>
                <w:color w:val="auto"/>
              </w:rPr>
            </w:pPr>
          </w:p>
        </w:tc>
        <w:tc>
          <w:tcPr>
            <w:tcW w:w="134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0"/>
        </w:trPr>
        <w:tc>
          <w:tcPr>
            <w:tcW w:w="6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40" w:type="dxa"/>
            <w:vAlign w:val="bottom"/>
            <w:gridSpan w:val="5"/>
            <w:shd w:val="clear" w:color="auto" w:fill="CCEEFF"/>
          </w:tcPr>
          <w:p>
            <w:pPr>
              <w:jc w:val="right"/>
              <w:ind w:right="979"/>
              <w:spacing w:after="0" w:line="169" w:lineRule="exact"/>
              <w:rPr>
                <w:sz w:val="20"/>
                <w:szCs w:val="20"/>
                <w:color w:val="auto"/>
              </w:rPr>
            </w:pPr>
            <w:r>
              <w:rPr>
                <w:rFonts w:ascii="Arial" w:cs="Arial" w:eastAsia="Arial" w:hAnsi="Arial"/>
                <w:sz w:val="16"/>
                <w:szCs w:val="16"/>
                <w:color w:val="auto"/>
              </w:rPr>
              <w:t>(Unaudited)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290,450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143,141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304,542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8,011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147,852</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195,586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131,323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24,825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20,580</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94,980</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187,369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95,891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Notes receivable,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32,824</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36,142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598,942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601,938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593,250</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31,773</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29,272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32,458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55,204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65,246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56,986</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Lease right-of-use asset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177,308</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225,950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183,809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258,453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301,282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58,794</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68,995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58,638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1,156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8,931</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5,534</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1,197,164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1,300,942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67,777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71,504</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9,904</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12,548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11,008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Lease liability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45,351</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48,052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49,742</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123,245</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112,436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132,467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254,322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251,016</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liability</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143,620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153,040</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11,303</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7,226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532,662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549,342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547,896</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11)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52,628,588 as of December 31, 2020; 52,886,122</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526</w:t>
            </w:r>
          </w:p>
        </w:tc>
        <w:tc>
          <w:tcPr>
            <w:tcW w:w="22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as of December 31, 2019; and 52,332,848 as of September 30, 2020</w:t>
            </w: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00" w:type="dxa"/>
            <w:vAlign w:val="bottom"/>
            <w:shd w:val="clear" w:color="auto" w:fill="CCEEFF"/>
          </w:tcPr>
          <w:p>
            <w:pPr>
              <w:ind w:left="480"/>
              <w:spacing w:after="0" w:line="162"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398,269</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407,440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398,475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322,468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389,928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(56,791)</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(46,327)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664,502</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751,600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649,127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1,197,164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1,300,942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34"/>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107,783</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126,728</w:t>
            </w: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6,759</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63,489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84,725</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r>
      <w:tr>
        <w:trPr>
          <w:trHeight w:val="209"/>
        </w:trPr>
        <w:tc>
          <w:tcPr>
            <w:tcW w:w="82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178,135</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222,435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64,543</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84,076</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5,202</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7,754</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09"/>
        </w:trPr>
        <w:tc>
          <w:tcPr>
            <w:tcW w:w="82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108,390</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130,069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79,309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89,275</w:t>
            </w: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12,510</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7,572</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7,733</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0"/>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99,369</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116,591</w:t>
            </w:r>
          </w:p>
        </w:tc>
      </w:tr>
      <w:tr>
        <w:trPr>
          <w:trHeight w:val="20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9,021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5,455</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5,329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(516)</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5,897</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5,502</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2,997</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1,203</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4,299</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w:t>
            </w:r>
          </w:p>
        </w:tc>
      </w:tr>
      <w:tr>
        <w:trPr>
          <w:trHeight w:val="203"/>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55,361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55,666</w:t>
            </w:r>
          </w:p>
        </w:tc>
      </w:tr>
      <w:tr>
        <w:trPr>
          <w:trHeight w:val="219"/>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55,428</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55,687</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15,576</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7,309</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except for balances as of September 30, 2020 and September 30, 2019)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gridSpan w:val="3"/>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76"/>
        </w:trPr>
        <w:tc>
          <w:tcPr>
            <w:tcW w:w="45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55,303</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398,475</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649,127</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6"/>
                <w:szCs w:val="16"/>
                <w:color w:val="auto"/>
              </w:rPr>
              <w:t>Stock compensation</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4,299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December 31, 2020</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55,599</w:t>
            </w: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28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398,269</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322,468</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(56,791)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664,502</w:t>
            </w: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4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3"/>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gridSpan w:val="4"/>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75"/>
        </w:trPr>
        <w:tc>
          <w:tcPr>
            <w:tcW w:w="45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September 30, 2019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55,535</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556</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407,628</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389,163</w:t>
            </w: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744,949</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6"/>
                <w:szCs w:val="16"/>
                <w:color w:val="auto"/>
              </w:rPr>
              <w:t>Stock compensation</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1,695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2"/>
        </w:trPr>
        <w:tc>
          <w:tcPr>
            <w:tcW w:w="452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Taxes paid related to net share settlement of equity</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61"/>
              <w:spacing w:after="0"/>
              <w:rPr>
                <w:sz w:val="20"/>
                <w:szCs w:val="20"/>
                <w:color w:val="auto"/>
              </w:rPr>
            </w:pPr>
            <w:r>
              <w:rPr>
                <w:rFonts w:ascii="Arial" w:cs="Arial" w:eastAsia="Arial" w:hAnsi="Arial"/>
                <w:sz w:val="16"/>
                <w:szCs w:val="16"/>
                <w:color w:val="auto"/>
              </w:rPr>
              <w:t>(1,395)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vMerge w:val="restart"/>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6"/>
                <w:szCs w:val="16"/>
                <w:color w:val="auto"/>
              </w:rPr>
              <w:t>awards</w:t>
            </w: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6,071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w w:val="91"/>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(488)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(473)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17"/>
        </w:trPr>
        <w:tc>
          <w:tcPr>
            <w:tcW w:w="4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Balances as of December 31, 2019</w:t>
            </w: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55,856</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559</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407,440</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389,928</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751,600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4,299</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16"/>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7,572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7,733</w:t>
            </w:r>
          </w:p>
        </w:tc>
      </w:tr>
      <w:tr>
        <w:trPr>
          <w:trHeight w:val="216"/>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3,329</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11,504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11,474</w:t>
            </w:r>
          </w:p>
        </w:tc>
      </w:tr>
      <w:tr>
        <w:trPr>
          <w:trHeight w:val="216"/>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goodwill and intangible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1,298</w:t>
            </w:r>
          </w:p>
        </w:tc>
      </w:tr>
      <w:tr>
        <w:trPr>
          <w:trHeight w:val="216"/>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1,695</w:t>
            </w:r>
          </w:p>
        </w:tc>
      </w:tr>
      <w:tr>
        <w:trPr>
          <w:trHeight w:val="216"/>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1,323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(1,921)</w:t>
            </w:r>
          </w:p>
        </w:tc>
      </w:tr>
      <w:tr>
        <w:trPr>
          <w:trHeight w:val="216"/>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(23,460)</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(29,966)</w:t>
            </w:r>
          </w:p>
        </w:tc>
      </w:tr>
      <w:tr>
        <w:trPr>
          <w:trHeight w:val="216"/>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16"/>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w:t>
            </w:r>
          </w:p>
        </w:tc>
      </w:tr>
      <w:tr>
        <w:trPr>
          <w:trHeight w:val="210"/>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(142,936)</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(187,362)</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77,116</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109,623</w:t>
            </w: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53,981</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76,515</w:t>
            </w:r>
          </w:p>
        </w:tc>
      </w:tr>
      <w:tr>
        <w:trPr>
          <w:trHeight w:val="216"/>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w:t>
            </w:r>
          </w:p>
        </w:tc>
      </w:tr>
      <w:tr>
        <w:trPr>
          <w:trHeight w:val="209"/>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(15,062)</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net of issuance costs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borrowings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(2,934)</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6,266</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(14,092)</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(19,301)</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312,553</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162,442</w:t>
            </w:r>
          </w:p>
        </w:tc>
      </w:tr>
      <w:tr>
        <w:trPr>
          <w:trHeight w:val="262"/>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298,461</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143,141</w:t>
            </w:r>
          </w:p>
        </w:tc>
      </w:tr>
      <w:tr>
        <w:trPr>
          <w:trHeight w:val="216"/>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290,450</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143,141</w:t>
            </w:r>
          </w:p>
        </w:tc>
      </w:tr>
      <w:tr>
        <w:trPr>
          <w:trHeight w:val="216"/>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8,011</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298,461</w:t>
            </w:r>
          </w:p>
        </w:tc>
        <w:tc>
          <w:tcPr>
            <w:tcW w:w="5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143,141</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9"/>
        </w:trPr>
        <w:tc>
          <w:tcPr>
            <w:tcW w:w="8240" w:type="dxa"/>
            <w:vAlign w:val="bottom"/>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50,921</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82,878</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497F"/>
        </w:rPr>
        <w:t>Notes to Interim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6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EZCORP, Inc. (collectively with its subsidiaries, the “Company”, “we”, “us” or “our”) is a leading provider of pawn loans in the United States and Latin America. Pawn loans are non-recourse loans collateralized by tangible property. We also sell merchandise, primarily collateral forfeited from pawn lending operations and pre-owned merchandise purchased from customers.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generally accepted accounting principles for complete financial statements.</w:t>
      </w:r>
    </w:p>
    <w:p>
      <w:pPr>
        <w:spacing w:after="0" w:line="115" w:lineRule="exact"/>
        <w:rPr>
          <w:sz w:val="20"/>
          <w:szCs w:val="20"/>
          <w:color w:val="auto"/>
        </w:rPr>
      </w:pPr>
    </w:p>
    <w:p>
      <w:pPr>
        <w:ind w:right="16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the Company’s </w:t>
      </w:r>
      <w:hyperlink r:id="rId20">
        <w:r>
          <w:rPr>
            <w:rFonts w:ascii="Arial" w:cs="Arial" w:eastAsia="Arial" w:hAnsi="Arial"/>
            <w:sz w:val="18"/>
            <w:szCs w:val="18"/>
            <w:color w:val="auto"/>
          </w:rPr>
          <w:t xml:space="preserve">Annual Report on Form 10-K for the year ended September 30, 2020, </w:t>
        </w:r>
      </w:hyperlink>
      <w:r>
        <w:rPr>
          <w:rFonts w:ascii="Arial" w:cs="Arial" w:eastAsia="Arial" w:hAnsi="Arial"/>
          <w:sz w:val="18"/>
          <w:szCs w:val="18"/>
          <w:color w:val="auto"/>
        </w:rPr>
        <w:t>filed with the SEC on December 14, 2020 (“2020 Annual Report”).</w:t>
      </w:r>
    </w:p>
    <w:p>
      <w:pPr>
        <w:spacing w:after="0" w:line="10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opinion of management, the accompanying Condensed Consolidated Financial Statements include all adjustments, consisting of normal recurring adjustments, considered necessary for a fair presentation. Financial results for the three-month period ended December 31, 2020 are not necessarily indicative of results that may be expected for the fiscal year ending September 30, 2021.</w:t>
      </w:r>
    </w:p>
    <w:p>
      <w:pPr>
        <w:spacing w:after="0" w:line="10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Our business is subject to seasonal variations, and operating results for the three months ended December 31, 2020 and 2019 (the "current quarter" and "prior-year quarter," respectively) are not necessarily indicative of the results of operations for the full fiscal year.</w:t>
      </w:r>
    </w:p>
    <w:p>
      <w:pPr>
        <w:spacing w:after="0" w:line="90" w:lineRule="exact"/>
        <w:rPr>
          <w:sz w:val="20"/>
          <w:szCs w:val="20"/>
          <w:color w:val="auto"/>
        </w:rPr>
      </w:pPr>
    </w:p>
    <w:p>
      <w:pPr>
        <w:ind w:right="200"/>
        <w:spacing w:after="0" w:line="292" w:lineRule="auto"/>
        <w:rPr>
          <w:rFonts w:ascii="Arial" w:cs="Arial" w:eastAsia="Arial" w:hAnsi="Arial"/>
          <w:sz w:val="18"/>
          <w:szCs w:val="18"/>
          <w:color w:val="auto"/>
        </w:rPr>
      </w:pPr>
      <w:hyperlink r:id="rId20">
        <w:r>
          <w:rPr>
            <w:rFonts w:ascii="Arial" w:cs="Arial" w:eastAsia="Arial" w:hAnsi="Arial"/>
            <w:sz w:val="18"/>
            <w:szCs w:val="18"/>
            <w:color w:val="auto"/>
          </w:rPr>
          <w:t>There have been no changes that have had a material impact in significant accounting policies as described in our Annual Report on Form</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10-K for the year ended September 30, 2020.</w:t>
        </w:r>
      </w:hyperlink>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 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reclassified certain amounts in prior-period financial statements to conform to the current periods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revenue recognition,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Actual results may result in actual amounts differing from reported amounts.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COVID-19</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COVID-19 pandemic continues to affect the U.S. and global economies, and as previously disclosed in our 2020 Annual Report, the pandemic also affected our businesses in a variety of ways beginning in the second quarter of fiscal 2020 and continuing into fiscal 2021. We cannot estimate the length or severity of the COVID-19 pandemic or the related financial consequences on our business and operations, including whether and when historic economic and operating conditions will resume or the extent to which the disruption may impact our</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business, financial position, results of operations or cash flows. Our estimates, judgments and assumptions related to COVID-19 could ultimately differ over time.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Policies</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w:t>
      </w:r>
      <w:r>
        <w:rPr>
          <w:rFonts w:ascii="Arial" w:cs="Arial" w:eastAsia="Arial" w:hAnsi="Arial"/>
          <w:sz w:val="18"/>
          <w:szCs w:val="18"/>
          <w:color w:val="auto"/>
        </w:rPr>
        <w:t>(Topic 326) (“ASU 2016-13”). ASU 2016-13 modifies the measurement of expected credit losses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requiring entities to estimate an expected lifetime credit loss on financial assets. The ASU amends the impairment model to utilize an expected loss methodology and replaces the incurred loss methodology for financial instruments including trade receivables. The amendment requires entities to consider other factors, such as historical loss experience, current conditions and reasonable and supportable forecasts. ASU 2016-13 was effective on October 1, 2020.</w:t>
      </w:r>
    </w:p>
    <w:p>
      <w:pPr>
        <w:spacing w:after="0" w:line="12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adopted ASU 2016-13 effective October 1, 2020 using the modified retrospective approach. There was no net cumulative effect adjustment to retained earnings as of October 1, 2020 as a result of this adoption. This amendment did not have a material impact on our balance sheets or cash flows from operations and did not have a significant impact on our operating results.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6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removes certain settlement conditions that are required for equity contracts to qualify for the derivative scope exception and it also simplifies the diluted earnings per share calculation in certain areas. ASU 2020-06 is effective for the Company for fiscal years beginning after December 15, 2023, including interim periods within those fiscal years. Early adoption is permitted, but no earlier than fiscal years beginning after December 15, 2020 and adoption must be as of the beginning of our annual fiscal year. We are currently evaluating the impact of this standard on our consolidated financial statements and related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EXPECTED CREDIT LOSSES</w:t>
      </w:r>
    </w:p>
    <w:p>
      <w:pPr>
        <w:spacing w:after="0" w:line="183"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We adopted ASU 2016-13 effective October 1, 2020. The Company has financing receivables within the scope of ASU 2016-13, specifically pawn loans receivables and related pawn service charges receivables.</w:t>
      </w:r>
    </w:p>
    <w:p>
      <w:pPr>
        <w:spacing w:after="0" w:line="9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pawn loans are short-term in nature, typically 30-120 days for U.S. Pawn loans and 30 days for Latin America Pawn loans. Under our existing accounting policy, if a pawn loan is deemed to be uncollectible, we do not recognize an allowance for doubtful accounts due to the expected recovery of the loan principal amount through the sale of the collateral. We record the forfeited collateral as inventory at the pawn loan principal amount.</w:t>
      </w:r>
    </w:p>
    <w:p>
      <w:pPr>
        <w:spacing w:after="0" w:line="1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Pawn service charges are recorded under the interest method over the term of the related pawn loan. Under our existing accounting policy, we accrue for any earned but unpaid pawn service charges at the end each month. We then apply a reserve to pawn service charges receivable at the end of each month using a pawn loan forfeiture rate derived from a trailing twelve-month average, adjusted for seasonality factors.</w:t>
      </w:r>
    </w:p>
    <w:p>
      <w:pPr>
        <w:spacing w:after="0" w:line="11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evaluated, on a collective basis, our pawn loans receivables and pawn service charges receivables and determined the new credit loss standard will not have a material impact on our consolidated financial statements, as our current polices appropriately capture lifetime expected credit losses.</w:t>
      </w:r>
    </w:p>
    <w:p>
      <w:pPr>
        <w:spacing w:after="0" w:line="109"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presentation of pawn loans and pawn service charges receivable as separate line items on our consolidated balance sheet will remain unchanged under the new credit loss standard.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pawn loans and related pawn service charges receivable, net were $147.9 million and $24.8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OTHER CHARGES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fiscal 2020, we began to implement strategic initiatives to refocus on our core pawn business and optimize our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cost structure in order to improve our bottom line performance and position the Company for sustainable growth. The initiatives focused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workforce reductions, closure of our CASHMAX operations, store closures, write-offs and other miscellaneous charges. We recorded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$20.4 million of such charges for the quarter ended September 30, 2020, and had accrued charges of $10.7 million remaining at September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2020. We had no similar charges for the quarter ended December 31,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880" w:type="dxa"/>
            <w:vAlign w:val="bottom"/>
            <w:gridSpan w:val="3"/>
          </w:tcPr>
          <w:p>
            <w:pPr>
              <w:ind w:left="100"/>
              <w:spacing w:after="0"/>
              <w:rPr>
                <w:sz w:val="20"/>
                <w:szCs w:val="20"/>
                <w:color w:val="auto"/>
              </w:rPr>
            </w:pPr>
            <w:r>
              <w:rPr>
                <w:rFonts w:ascii="Arial" w:cs="Arial" w:eastAsia="Arial" w:hAnsi="Arial"/>
                <w:sz w:val="16"/>
                <w:szCs w:val="16"/>
                <w:b w:val="1"/>
                <w:bCs w:val="1"/>
                <w:color w:val="auto"/>
              </w:rPr>
              <w:t>Accrued Charges at</w:t>
            </w:r>
          </w:p>
        </w:tc>
        <w:tc>
          <w:tcPr>
            <w:tcW w:w="13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Charges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Payments and</w:t>
            </w:r>
          </w:p>
        </w:tc>
        <w:tc>
          <w:tcPr>
            <w:tcW w:w="120" w:type="dxa"/>
            <w:vAlign w:val="bottom"/>
          </w:tcPr>
          <w:p>
            <w:pPr>
              <w:spacing w:after="0"/>
              <w:rPr>
                <w:sz w:val="16"/>
                <w:szCs w:val="16"/>
                <w:color w:val="auto"/>
              </w:rPr>
            </w:pPr>
          </w:p>
        </w:tc>
        <w:tc>
          <w:tcPr>
            <w:tcW w:w="1640" w:type="dxa"/>
            <w:vAlign w:val="bottom"/>
          </w:tcPr>
          <w:p>
            <w:pPr>
              <w:jc w:val="right"/>
              <w:ind w:right="33"/>
              <w:spacing w:after="0"/>
              <w:rPr>
                <w:sz w:val="20"/>
                <w:szCs w:val="20"/>
                <w:color w:val="auto"/>
              </w:rPr>
            </w:pPr>
            <w:r>
              <w:rPr>
                <w:rFonts w:ascii="Arial" w:cs="Arial" w:eastAsia="Arial" w:hAnsi="Arial"/>
                <w:sz w:val="16"/>
                <w:szCs w:val="16"/>
                <w:b w:val="1"/>
                <w:bCs w:val="1"/>
                <w:color w:val="auto"/>
                <w:w w:val="99"/>
              </w:rPr>
              <w:t>Accrued Charges at</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2020</w:t>
            </w:r>
          </w:p>
        </w:tc>
        <w:tc>
          <w:tcPr>
            <w:tcW w:w="13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1640" w:type="dxa"/>
            <w:vAlign w:val="bottom"/>
          </w:tcPr>
          <w:p>
            <w:pPr>
              <w:jc w:val="right"/>
              <w:ind w:right="73"/>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charges: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420"/>
              <w:spacing w:after="0"/>
              <w:rPr>
                <w:sz w:val="20"/>
                <w:szCs w:val="20"/>
                <w:color w:val="auto"/>
              </w:rPr>
            </w:pPr>
            <w:r>
              <w:rPr>
                <w:rFonts w:ascii="Arial" w:cs="Arial" w:eastAsia="Arial" w:hAnsi="Arial"/>
                <w:sz w:val="18"/>
                <w:szCs w:val="18"/>
                <w:color w:val="auto"/>
              </w:rPr>
              <w:t>Labor reduction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360" w:type="dxa"/>
            <w:vAlign w:val="bottom"/>
          </w:tcPr>
          <w:p>
            <w:pPr>
              <w:jc w:val="right"/>
              <w:ind w:right="1153"/>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CASHMAX shutdown costs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500" w:type="dxa"/>
            <w:vAlign w:val="bottom"/>
          </w:tcPr>
          <w:p>
            <w:pPr>
              <w:ind w:left="420"/>
              <w:spacing w:after="0"/>
              <w:rPr>
                <w:sz w:val="20"/>
                <w:szCs w:val="20"/>
                <w:color w:val="auto"/>
              </w:rPr>
            </w:pPr>
            <w:r>
              <w:rPr>
                <w:rFonts w:ascii="Arial" w:cs="Arial" w:eastAsia="Arial" w:hAnsi="Arial"/>
                <w:sz w:val="18"/>
                <w:szCs w:val="18"/>
                <w:color w:val="auto"/>
              </w:rPr>
              <w:t>Store closure costs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EARNINGS PER SHARE</w:t>
      </w:r>
    </w:p>
    <w:p>
      <w:pPr>
        <w:spacing w:after="0" w:line="18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70"/>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619"/>
              <w:spacing w:after="0" w:line="170" w:lineRule="exact"/>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Average common share outstanding (denominator)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55,361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55,666</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03"/>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Average common share outstanding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55,361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55,666</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Dilutive effect of restricted stock and convertible notes*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 average common shares outstanding (denominator)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55,687</w:t>
            </w:r>
          </w:p>
        </w:tc>
      </w:tr>
      <w:tr>
        <w:trPr>
          <w:trHeight w:val="203"/>
        </w:trPr>
        <w:tc>
          <w:tcPr>
            <w:tcW w:w="8240" w:type="dxa"/>
            <w:vAlign w:val="bottom"/>
            <w:tcBorders>
              <w:bottom w:val="single" w:sz="8" w:color="929292"/>
            </w:tcBorders>
            <w:shd w:val="clear" w:color="auto" w:fill="CCEEFF"/>
          </w:tcPr>
          <w:p>
            <w:pPr>
              <w:spacing w:after="0"/>
              <w:rPr>
                <w:sz w:val="17"/>
                <w:szCs w:val="17"/>
                <w:color w:val="auto"/>
              </w:rPr>
            </w:pPr>
          </w:p>
        </w:tc>
        <w:tc>
          <w:tcPr>
            <w:tcW w:w="320" w:type="dxa"/>
            <w:vAlign w:val="bottom"/>
            <w:tcBorders>
              <w:bottom w:val="single" w:sz="8" w:color="929292"/>
            </w:tcBorders>
            <w:shd w:val="clear" w:color="auto" w:fill="CCEEFF"/>
          </w:tcPr>
          <w:p>
            <w:pPr>
              <w:spacing w:after="0"/>
              <w:rPr>
                <w:sz w:val="17"/>
                <w:szCs w:val="17"/>
                <w:color w:val="auto"/>
              </w:rPr>
            </w:pPr>
          </w:p>
        </w:tc>
        <w:tc>
          <w:tcPr>
            <w:tcW w:w="1120" w:type="dxa"/>
            <w:vAlign w:val="bottom"/>
            <w:tcBorders>
              <w:bottom w:val="single" w:sz="8" w:color="929292"/>
            </w:tcBorders>
            <w:shd w:val="clear" w:color="auto" w:fill="CCEEFF"/>
          </w:tcPr>
          <w:p>
            <w:pPr>
              <w:spacing w:after="0"/>
              <w:rPr>
                <w:sz w:val="17"/>
                <w:szCs w:val="17"/>
                <w:color w:val="auto"/>
              </w:rPr>
            </w:pPr>
          </w:p>
        </w:tc>
        <w:tc>
          <w:tcPr>
            <w:tcW w:w="120" w:type="dxa"/>
            <w:vAlign w:val="bottom"/>
            <w:tcBorders>
              <w:bottom w:val="single" w:sz="8" w:color="929292"/>
            </w:tcBorders>
            <w:shd w:val="clear" w:color="auto" w:fill="CCEEFF"/>
          </w:tcPr>
          <w:p>
            <w:pPr>
              <w:spacing w:after="0"/>
              <w:rPr>
                <w:sz w:val="17"/>
                <w:szCs w:val="17"/>
                <w:color w:val="auto"/>
              </w:rPr>
            </w:pPr>
          </w:p>
        </w:tc>
        <w:tc>
          <w:tcPr>
            <w:tcW w:w="500" w:type="dxa"/>
            <w:vAlign w:val="bottom"/>
            <w:tcBorders>
              <w:bottom w:val="single" w:sz="8" w:color="929292"/>
            </w:tcBorders>
            <w:shd w:val="clear" w:color="auto" w:fill="CCEEFF"/>
          </w:tcPr>
          <w:p>
            <w:pPr>
              <w:spacing w:after="0"/>
              <w:rPr>
                <w:sz w:val="17"/>
                <w:szCs w:val="17"/>
                <w:color w:val="auto"/>
              </w:rPr>
            </w:pPr>
          </w:p>
        </w:tc>
        <w:tc>
          <w:tcPr>
            <w:tcW w:w="940" w:type="dxa"/>
            <w:vAlign w:val="bottom"/>
            <w:tcBorders>
              <w:bottom w:val="single" w:sz="8" w:color="929292"/>
            </w:tcBorders>
            <w:shd w:val="clear" w:color="auto" w:fill="CCEEFF"/>
          </w:tcPr>
          <w:p>
            <w:pPr>
              <w:spacing w:after="0"/>
              <w:rPr>
                <w:sz w:val="17"/>
                <w:szCs w:val="17"/>
                <w:color w:val="auto"/>
              </w:rPr>
            </w:pP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95"/>
        </w:trPr>
        <w:tc>
          <w:tcPr>
            <w:tcW w:w="82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Potential common shares excluded from the calculation of diluted earnings per share above*: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r>
    </w:tbl>
    <w:p>
      <w:pPr>
        <w:spacing w:after="0" w:line="81" w:lineRule="exact"/>
        <w:rPr>
          <w:sz w:val="20"/>
          <w:szCs w:val="20"/>
          <w:color w:val="auto"/>
        </w:rPr>
      </w:pPr>
    </w:p>
    <w:p>
      <w:pPr>
        <w:ind w:left="340" w:right="40" w:hanging="332"/>
        <w:spacing w:after="0" w:line="254" w:lineRule="auto"/>
        <w:tabs>
          <w:tab w:leader="none" w:pos="232"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time-based share-based awards and Convertible Notes. See Note 8 for discussion of the terms and conditions of the potential impact of the 2024 Convertible Notes and 2025 Convertible Notes.</w:t>
      </w:r>
    </w:p>
    <w:p>
      <w:pPr>
        <w:spacing w:after="0" w:line="1" w:lineRule="exact"/>
        <w:rPr>
          <w:sz w:val="20"/>
          <w:szCs w:val="20"/>
          <w:color w:val="auto"/>
        </w:rPr>
      </w:pPr>
    </w:p>
    <w:p>
      <w:pPr>
        <w:ind w:left="340" w:right="80" w:hanging="332"/>
        <w:spacing w:after="0" w:line="264" w:lineRule="auto"/>
        <w:tabs>
          <w:tab w:leader="none" w:pos="28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LEASES</w:t>
      </w:r>
    </w:p>
    <w:p>
      <w:pPr>
        <w:spacing w:after="0" w:line="18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w:t>
      </w:r>
    </w:p>
    <w:p>
      <w:pPr>
        <w:spacing w:after="0" w:line="90"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information below provides a summary of our leasing activities. See Note 12 in our 2020 Annual Report for additional information about our leasing activities.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balances of our operating leases: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177,308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225,950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183,809</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49,742</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liability, non-current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186,352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153,040</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188,971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234,404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202,782</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composition of our lease costs: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16,526</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3,045</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18,244</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19,333</w:t>
            </w:r>
          </w:p>
        </w:tc>
      </w:tr>
    </w:tbl>
    <w:p>
      <w:pPr>
        <w:spacing w:after="0" w:line="28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includes the following for our operating leases:</w:t>
      </w:r>
    </w:p>
    <w:p>
      <w:pPr>
        <w:spacing w:after="0" w:line="52"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Three Months Ended</w:t>
      </w:r>
    </w:p>
    <w:p>
      <w:pPr>
        <w:jc w:val="center"/>
        <w:ind w:left="7740"/>
        <w:spacing w:after="0"/>
        <w:rPr>
          <w:sz w:val="20"/>
          <w:szCs w:val="20"/>
          <w:color w:val="auto"/>
        </w:rPr>
      </w:pPr>
      <w:r>
        <w:rPr>
          <w:rFonts w:ascii="Arial" w:cs="Arial" w:eastAsia="Arial" w:hAnsi="Arial"/>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34"/>
        </w:trPr>
        <w:tc>
          <w:tcPr>
            <w:tcW w:w="7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6"/>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Weighted-average remaining contractual lease term </w:t>
            </w:r>
            <w:r>
              <w:rPr>
                <w:rFonts w:ascii="Arial" w:cs="Arial" w:eastAsia="Arial" w:hAnsi="Arial"/>
                <w:sz w:val="16"/>
                <w:szCs w:val="16"/>
                <w:i w:val="1"/>
                <w:iCs w:val="1"/>
                <w:color w:val="auto"/>
              </w:rPr>
              <w:t>(years)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19"/>
        </w:trPr>
        <w:tc>
          <w:tcPr>
            <w:tcW w:w="8860" w:type="dxa"/>
            <w:vAlign w:val="bottom"/>
            <w:gridSpan w:val="2"/>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580" w:type="dxa"/>
            <w:vAlign w:val="bottom"/>
          </w:tcPr>
          <w:p>
            <w:pPr>
              <w:jc w:val="right"/>
              <w:spacing w:after="0"/>
              <w:rPr>
                <w:sz w:val="20"/>
                <w:szCs w:val="20"/>
                <w:color w:val="auto"/>
              </w:rPr>
            </w:pPr>
            <w:r>
              <w:rPr>
                <w:rFonts w:ascii="Arial" w:cs="Arial" w:eastAsia="Arial" w:hAnsi="Arial"/>
                <w:sz w:val="16"/>
                <w:szCs w:val="16"/>
                <w:color w:val="auto"/>
              </w:rPr>
              <w:t>7.85 %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8.44 %</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2020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2021</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45,013</w:t>
            </w:r>
          </w:p>
        </w:tc>
      </w:tr>
      <w:tr>
        <w:trPr>
          <w:trHeight w:val="216"/>
        </w:trPr>
        <w:tc>
          <w:tcPr>
            <w:tcW w:w="634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52,541</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3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40,417</w:t>
            </w:r>
          </w:p>
        </w:tc>
      </w:tr>
      <w:tr>
        <w:trPr>
          <w:trHeight w:val="216"/>
        </w:trPr>
        <w:tc>
          <w:tcPr>
            <w:tcW w:w="634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29,425</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3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20,329</w:t>
            </w:r>
          </w:p>
        </w:tc>
      </w:tr>
      <w:tr>
        <w:trPr>
          <w:trHeight w:val="216"/>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42,260</w:t>
            </w:r>
          </w:p>
        </w:tc>
      </w:tr>
      <w:tr>
        <w:trPr>
          <w:trHeight w:val="210"/>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payments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229,985</w:t>
            </w:r>
          </w:p>
        </w:tc>
      </w:tr>
      <w:tr>
        <w:trPr>
          <w:trHeight w:val="216"/>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interest</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41,014</w:t>
            </w: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188,971</w:t>
            </w:r>
          </w:p>
        </w:tc>
      </w:tr>
      <w:tr>
        <w:trPr>
          <w:trHeight w:val="216"/>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Current portion</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45,351</w:t>
            </w:r>
          </w:p>
        </w:tc>
      </w:tr>
      <w:tr>
        <w:trPr>
          <w:trHeight w:val="217"/>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portion</w:t>
            </w:r>
          </w:p>
        </w:tc>
        <w:tc>
          <w:tcPr>
            <w:tcW w:w="3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143,620</w:t>
            </w:r>
          </w:p>
        </w:tc>
      </w:tr>
    </w:tbl>
    <w:p>
      <w:pPr>
        <w:spacing w:after="0" w:line="220" w:lineRule="exact"/>
        <w:rPr>
          <w:sz w:val="20"/>
          <w:szCs w:val="20"/>
          <w:color w:val="auto"/>
        </w:rPr>
      </w:pPr>
    </w:p>
    <w:p>
      <w:pPr>
        <w:ind w:right="780"/>
        <w:spacing w:after="0" w:line="292" w:lineRule="auto"/>
        <w:rPr>
          <w:sz w:val="20"/>
          <w:szCs w:val="20"/>
          <w:color w:val="auto"/>
        </w:rPr>
      </w:pPr>
      <w:r>
        <w:rPr>
          <w:rFonts w:ascii="Arial" w:cs="Arial" w:eastAsia="Arial" w:hAnsi="Arial"/>
          <w:sz w:val="18"/>
          <w:szCs w:val="18"/>
          <w:color w:val="auto"/>
        </w:rPr>
        <w:t>We recorded $ 1.6 million and $0.8 million in non-cash additions to our right of use assets and lease liabilities for the quarters ended December 31, 2020 and December 31, 2019, respectively.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STRATEGIC INVESTMENTS</w:t>
      </w:r>
    </w:p>
    <w:p>
      <w:pPr>
        <w:spacing w:after="0" w:line="183"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As of December 31, 2020, we owned 214,183,714 shares, or approximately 34.75%, of Cash Converters International Limited ("Cash Converters International"). The following tables present summary financial information for Cash Converters International’s most recently reported results at June 30, 2020 after translation to U.S. dollars:</w:t>
      </w: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173,826</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172,833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152,483</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330,016</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326,309</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77,434</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26,163</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210,713</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222,712</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330,016</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326,309</w:t>
            </w: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Fiscal Year Ended June 30,</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4"/>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201,365</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112,511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111,932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12529"/>
        </w:rPr>
        <w:t>See Note 7 for the fair value and carrying value of our investment in Cash Converters International.</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FAIR VALUE MEASUREMENTS</w:t>
      </w:r>
    </w:p>
    <w:p>
      <w:pPr>
        <w:spacing w:after="0" w:line="1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1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 on a Recurring Basis</w:t>
      </w:r>
    </w:p>
    <w:p>
      <w:pPr>
        <w:spacing w:after="0" w:line="173"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As of December 31, 2020 and September 30, 2020, we did not have any financial assets or liabilities measured at fair value on a recurring basis.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9"/>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4"/>
        </w:trPr>
        <w:tc>
          <w:tcPr>
            <w:tcW w:w="46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7,677</w:t>
            </w:r>
          </w:p>
        </w:tc>
      </w:tr>
      <w:tr>
        <w:trPr>
          <w:trHeight w:val="216"/>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liabilities: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118,736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134,838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134,838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tcPr>
          <w:p>
            <w:pPr>
              <w:ind w:left="220"/>
              <w:spacing w:after="0"/>
              <w:rPr>
                <w:sz w:val="20"/>
                <w:szCs w:val="20"/>
                <w:color w:val="auto"/>
              </w:rPr>
            </w:pPr>
            <w:r>
              <w:rPr>
                <w:rFonts w:ascii="Arial" w:cs="Arial" w:eastAsia="Arial" w:hAnsi="Arial"/>
                <w:sz w:val="16"/>
                <w:szCs w:val="16"/>
                <w:color w:val="auto"/>
              </w:rPr>
              <w:t>8.5% unsecured debt due 2024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816</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9"/>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4"/>
        </w:trPr>
        <w:tc>
          <w:tcPr>
            <w:tcW w:w="46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Notes receivable from Grupo Finmart, net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7,729</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42,460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7,905</w:t>
            </w: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136,965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136,965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8.5% unsecured debt due 2024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r>
      <w:tr>
        <w:trPr>
          <w:trHeight w:val="219"/>
        </w:trPr>
        <w:tc>
          <w:tcPr>
            <w:tcW w:w="4620" w:type="dxa"/>
            <w:vAlign w:val="bottom"/>
          </w:tcPr>
          <w:p>
            <w:pPr>
              <w:ind w:left="220"/>
              <w:spacing w:after="0"/>
              <w:rPr>
                <w:sz w:val="20"/>
                <w:szCs w:val="20"/>
                <w:color w:val="auto"/>
              </w:rPr>
            </w:pPr>
            <w:r>
              <w:rPr>
                <w:rFonts w:ascii="Arial" w:cs="Arial" w:eastAsia="Arial" w:hAnsi="Arial"/>
                <w:sz w:val="16"/>
                <w:szCs w:val="16"/>
                <w:color w:val="auto"/>
              </w:rPr>
              <w:t>CASHMAX secured borrowing facility</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404</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4"/>
        </w:trPr>
        <w:tc>
          <w:tcPr>
            <w:tcW w:w="4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liabilities: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117,193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129,979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129,979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tcPr>
          <w:p>
            <w:pPr>
              <w:ind w:left="220"/>
              <w:spacing w:after="0"/>
              <w:rPr>
                <w:sz w:val="20"/>
                <w:szCs w:val="20"/>
                <w:color w:val="auto"/>
              </w:rPr>
            </w:pPr>
            <w:r>
              <w:rPr>
                <w:rFonts w:ascii="Arial" w:cs="Arial" w:eastAsia="Arial" w:hAnsi="Arial"/>
                <w:sz w:val="16"/>
                <w:szCs w:val="16"/>
                <w:color w:val="auto"/>
              </w:rPr>
              <w:t>8.5% unsecured debt due 2024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872</w:t>
            </w:r>
          </w:p>
        </w:tc>
      </w:tr>
    </w:tbl>
    <w:p>
      <w:pPr>
        <w:spacing w:after="0" w:line="19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Due to the short-term nature of cash and cash equivalents, pawn loans, pawn service charges receivable and other debt, we estimate that the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2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note approximated its carrying value as of December 31, 2020.</w:t>
      </w:r>
    </w:p>
    <w:p>
      <w:pPr>
        <w:spacing w:after="0" w:line="16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use the equity method of accounting to account for our 34.75% ownership in Cash Converters International. The inputs used to generate the fair value of the investment were considered Level 1 inputs. These inputs are comprised of (a) the quoted stock price on the Australian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9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use the equity method of accounting to account for our 13.14% ownership in Rich Data Corporation, a previously consolidated variable interest entity for which we no longer have the power to direct the activities that most significantly affect its economic performance. We believe its fair value approximates carrying value although such fair value is highly variable and includes significant unobservable inputs.</w:t>
      </w:r>
    </w:p>
    <w:p>
      <w:pPr>
        <w:spacing w:after="0" w:line="10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0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 September 2020, we received the final payment from AlphaCredit on the notes receivable related to the sale of Grupo Finmart and recorded the amount under “Restricted cash” in our consolidated balance sheet as of December 31, 2020. In August 2019, AlphaCredit notified us of an indemnity claim for certain pre-closing taxes, but the nature, extent and validity of such claim has yet to be determined.</w:t>
      </w:r>
    </w:p>
    <w:p>
      <w:pPr>
        <w:spacing w:after="0" w:line="9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9"/>
                <w:szCs w:val="19"/>
                <w:color w:val="auto"/>
              </w:rPr>
            </w:pPr>
          </w:p>
        </w:tc>
        <w:tc>
          <w:tcPr>
            <w:tcW w:w="29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19"/>
                <w:szCs w:val="19"/>
                <w:color w:val="auto"/>
              </w:rPr>
            </w:pPr>
          </w:p>
        </w:tc>
        <w:tc>
          <w:tcPr>
            <w:tcW w:w="282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Debt</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and</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and</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and</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117,193</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133,164</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8.5% unsecured debt due</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Arial" w:cs="Arial" w:eastAsia="Arial" w:hAnsi="Arial"/>
                <w:sz w:val="16"/>
                <w:szCs w:val="16"/>
                <w:color w:val="auto"/>
              </w:rPr>
              <w:t>CASHMAX secured borrowing</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facility*</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251,229</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316,853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(62,531)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254,322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317,481</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(76,272)</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241,209</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316,909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(65,893)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251,016</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 Amount translated from Guatemalan quetzals and Canadian dollars as of applicable period end. Certain disclosures omitted due to materiality considerations.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December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6"/>
                <w:szCs w:val="16"/>
                <w:b w:val="1"/>
                <w:bCs w:val="1"/>
                <w:color w:val="auto"/>
              </w:rPr>
              <w:t>Schedule of Contractual Maturities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Less Than 1 Year</w:t>
            </w:r>
          </w:p>
        </w:tc>
        <w:tc>
          <w:tcPr>
            <w:tcW w:w="20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9"/>
              </w:rPr>
              <w:t>1 - 3 Years</w:t>
            </w:r>
          </w:p>
        </w:tc>
        <w:tc>
          <w:tcPr>
            <w:tcW w:w="2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3 - 5 Years</w:t>
            </w:r>
          </w:p>
        </w:tc>
        <w:tc>
          <w:tcPr>
            <w:tcW w:w="180" w:type="dxa"/>
            <w:vAlign w:val="bottom"/>
          </w:tcPr>
          <w:p>
            <w:pPr>
              <w:spacing w:after="0"/>
              <w:rPr>
                <w:sz w:val="13"/>
                <w:szCs w:val="13"/>
                <w:color w:val="auto"/>
              </w:rPr>
            </w:pPr>
          </w:p>
        </w:tc>
        <w:tc>
          <w:tcPr>
            <w:tcW w:w="1260" w:type="dxa"/>
            <w:vAlign w:val="bottom"/>
          </w:tcPr>
          <w:p>
            <w:pPr>
              <w:ind w:left="60"/>
              <w:spacing w:after="0" w:line="155"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ind w:left="32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8.5% unsecured debt due 2024</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317,066</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316,428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 Excludes the potential impact of embedded derivatives as discussed below.</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months ended December 31, 2020 and 2019:</w:t>
      </w:r>
    </w:p>
    <w:tbl>
      <w:tblPr>
        <w:tblLayout w:type="fixed"/>
        <w:tblInd w:w="0" w:type="dxa"/>
        <w:tblCellMar>
          <w:top w:w="0" w:type="dxa"/>
          <w:left w:w="0" w:type="dxa"/>
          <w:bottom w:w="0" w:type="dxa"/>
          <w:right w:w="0" w:type="dxa"/>
        </w:tblCellMar>
      </w:tblPr>
      <w:tr>
        <w:trPr>
          <w:trHeight w:val="170"/>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ind w:left="380"/>
              <w:spacing w:after="0" w:line="170" w:lineRule="exact"/>
              <w:rPr>
                <w:sz w:val="20"/>
                <w:szCs w:val="20"/>
                <w:color w:val="auto"/>
              </w:rPr>
            </w:pPr>
            <w:r>
              <w:rPr>
                <w:rFonts w:ascii="Arial" w:cs="Arial" w:eastAsia="Arial" w:hAnsi="Arial"/>
                <w:sz w:val="16"/>
                <w:szCs w:val="16"/>
                <w:b w:val="1"/>
                <w:bCs w:val="1"/>
                <w:color w:val="auto"/>
              </w:rPr>
              <w:t>Three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ind w:left="660"/>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1,033</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1,542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17"/>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2,575</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w:t>
            </w:r>
          </w:p>
        </w:tc>
      </w:tr>
      <w:tr>
        <w:trPr>
          <w:trHeight w:val="203"/>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ind w:left="66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1,024</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1,819</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w:t>
            </w:r>
          </w:p>
        </w:tc>
      </w:tr>
      <w:tr>
        <w:trPr>
          <w:trHeight w:val="216"/>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2,843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2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carrying amount of the 2024 Convertible Notes as a separate equity-classified instrument (the “2024 Convertible Notes Embedded Derivative”) included in “Additional paid-in capital” in our condensed consolidated balance sheets as of December 31,</w:t>
      </w:r>
    </w:p>
    <w:p>
      <w:pPr>
        <w:ind w:right="400"/>
        <w:spacing w:after="0" w:line="258" w:lineRule="auto"/>
        <w:rPr>
          <w:sz w:val="20"/>
          <w:szCs w:val="20"/>
          <w:color w:val="auto"/>
        </w:rPr>
      </w:pPr>
      <w:r>
        <w:rPr>
          <w:rFonts w:ascii="Arial" w:cs="Arial" w:eastAsia="Arial" w:hAnsi="Arial"/>
          <w:sz w:val="18"/>
          <w:szCs w:val="18"/>
          <w:color w:val="auto"/>
        </w:rPr>
        <w:t>2020 was $39.8 million, ($25.3 million, net of tax). The effective interest rate for the three months ended December 31, 2020 was approximately 9%. As of December 31, 2020, the remaining unamortized debt discount and issuance costs will be amortized through the 2024 Maturity Date assuming no early conversion.</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 per $1,000 principal amount of 2024 Convertible Notes (equivalent to an initial conversion price of $10.00 per share of Class A Common Stock). We account for the Class A Common Stock issuable upon conversion under the treasury stock method. To the extent the average share price is over $10.00 per share for any fiscal quarter, we are required to recognize incremental dilution of our earnings per share.</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If, among other triggers described in the 2017 Indenture, the market price of the Class A Common Stock meets the threshold based on at least 20 of the final 30 trading days of the quarter for the 2024 Convertible Notes to become convertible at the option 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December 31, 2020. As of December 31, 2020, the if-converted value of the 2024 Convertible Notes did not exceed the principal amount.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The carrying amount of the 2025 Convertible Notes as a separate equity-classified instrument (the “2025 Convertible Notes Embedded Derivative”) included in “Additional paid-in capital” in our condensed consolidated balance sheets as of December 31, 2020 was $49.6 million, ($39.1 million, net of tax). The effective interest rate for the three months ended December 31, 2020 was approximately 9%. As of December 31, 2020, the remaining unamortized debt discount and issuance costs will be amortized through the 2025 Maturity Date assuming no early conversion.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2025 Convertible Notes are convertible into cash or shares of Class A Common Stock, or any combination thereof, at our option subject to satisfaction of certain conditions and during the periods described in the 2018 Indenture, based on an initial conversion rate</w:t>
      </w:r>
    </w:p>
    <w:p>
      <w:pPr>
        <w:ind w:right="40"/>
        <w:spacing w:after="0" w:line="255" w:lineRule="auto"/>
        <w:rPr>
          <w:sz w:val="20"/>
          <w:szCs w:val="20"/>
          <w:color w:val="auto"/>
        </w:rPr>
      </w:pPr>
      <w:r>
        <w:rPr>
          <w:rFonts w:ascii="Arial" w:cs="Arial" w:eastAsia="Arial" w:hAnsi="Arial"/>
          <w:sz w:val="18"/>
          <w:szCs w:val="18"/>
          <w:color w:val="auto"/>
        </w:rPr>
        <w:t>of 62.8931 shares of Class A Common Stock per $1,000 principal amount of 2025 Convertible Notes (equivalent to an initial conversion price of $15.90 per share of Class A Common Stock). We account for the Class A Common Stock issuable upon conversion under the treasury stock method. To the extent the average share price is over $15.90 per share for any fiscal quarter or year-to-date period, we are required to recognize incremental dilution of our earnings per share.</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If, among other triggers described in the 2018 Indenture, the market price of the Class A Common Stock meets the threshold based on at least 20 of the final 30 trading days of the quarter for the 2025 Convertible Notes to become convertible at the option of the holders during the subsequent quarter, we may be required to classify the 2025 Convertible Notes as current on our condensed consolidated balance sheets for each quarter in which such triggers are met. The stock trading price condition and other triggers are measured on a quarter-by-quarter basis and were not met as of December 31, 2020. As of December 31, 2020, the if-converted value of the 2025 Convertible Notes did not exceed the principal amount.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CASHMA</w:t>
      </w:r>
      <w:r>
        <w:rPr>
          <w:rFonts w:ascii="Arial" w:cs="Arial" w:eastAsia="Arial" w:hAnsi="Arial"/>
          <w:sz w:val="18"/>
          <w:szCs w:val="18"/>
          <w:b w:val="1"/>
          <w:bCs w:val="1"/>
          <w:i w:val="1"/>
          <w:iCs w:val="1"/>
          <w:color w:val="auto"/>
        </w:rPr>
        <w:t>X</w:t>
      </w:r>
      <w:r>
        <w:rPr>
          <w:rFonts w:ascii="Arial" w:cs="Arial" w:eastAsia="Arial" w:hAnsi="Arial"/>
          <w:sz w:val="18"/>
          <w:szCs w:val="18"/>
          <w:b w:val="1"/>
          <w:bCs w:val="1"/>
          <w:color w:val="auto"/>
        </w:rPr>
        <w:t xml:space="preserve"> Secured Borrowing Facility</w:t>
      </w:r>
    </w:p>
    <w:p>
      <w:pPr>
        <w:spacing w:after="0" w:line="17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November 2018, we entered into a receivable's securitization facility with a third-party lender to provide funding for installment loan originations in our Canadian CASHMAX business. We terminated this facility in September 2020 as part of the closure of the operations of our CASHMAX business. See our 2020 Annual Report for additional information regarding the closure of our Canadian operations.</w:t>
      </w:r>
    </w:p>
    <w:p>
      <w:pPr>
        <w:spacing w:after="0" w:line="1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Prior to the termination of the facility, a variable interest entity (the "trust") had the right, subject to various conditions, to borrow up to CAD $25 million from the lender (the "third-party loan") and use the proceeds to purchase interests in installment loan receivables generated by CASHMAX. The trust used collections on the transferred receivables to pay various amounts in accordance with an agreed priority arrangement, including expenses, its obligations under the third-party loan and, to the extent available, amounts owned to CASHMAX with respect to the purchase price of the transferred receivables and CASHMAX's retained interest in the receivables. CASHMAX had no obligation with respect to the third-party loan or the transferred receivables except to (a) service the underlying installment loans on behalf of the trust and (b) pay amounts owed under or repurchase the underlying installment loans in the event of a breach by CASHMAX or in certain other limited circumstances. The facility was nonrecourse to EZCORP (subject to certain limited guaranty obligations), allowed borrowing through November 2019, and was to fully mature in November 2021.</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SHARE-BASED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7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December 2019, the Company's Board of Directors (the "Board") authorized the repurchase of up to $60.0 million of our Class A Common Stock over three years. Repurchases under the program were suspended in March 2020 in order to preserve liquidity as a result of uncertainties related to the COVID-19 pandemic. No share repurchases under the program were made during the first quarter of fiscal 2021. During fiscal 2020, we repurchased and retired 943,149 shares of our Class A Common Stock for $5.2 million, which was allocated between "Additional paid-in capital" and "Retained earnings" in our condensed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7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23"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During the first quarter of fiscal 2021, we granted a total of 143,145 restricted stock awards to our non-employee directors. These awards vest on March 31, 2021 and are subject only to service conditions. The number of long-term incentive award shares and units granted are generally determined based on our share price as of the beginning of the fiscal year, which was $5.03 for fiscal 2021 awards.</w:t>
      </w:r>
    </w:p>
    <w:p>
      <w:pPr>
        <w:spacing w:after="0" w:line="109"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During the first quarter of fiscal 2020, we granted a total of 222,912 shares of restricted stock awards to non-employee directors based on a share price of $6.46. These awards vested on September 30, 2020.</w:t>
      </w: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INCOME TAXES</w:t>
      </w:r>
    </w:p>
    <w:p>
      <w:pPr>
        <w:spacing w:after="0" w:line="1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March 27, 2020, the Coronavirus Aid, Relief, and Economic Security (CARES) Act was signed into law and includes certain income tax provisions relevant to businesses. We recognized the effect on the consolidated financial statements in the period ended March 31, 2020. For the period ended December 31, 2020, the CARES Act has not had a material impact on our consolidated financial statements. At this time,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we do not expect the impact of the CARES Act to have a material impact on our consolidated financial statements for the year ending September 30, 2021.</w:t>
      </w: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COMMITMENTS AND CONTINGENCIES</w:t>
      </w:r>
    </w:p>
    <w:p>
      <w:pPr>
        <w:spacing w:after="0" w:line="183"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The amount of resulting loss may differ from these estimates.</w:t>
      </w:r>
    </w:p>
    <w:p>
      <w:pPr>
        <w:spacing w:after="0" w:line="10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While we are unable to determine the ultimate outcome of any current litigation or regulatory actions, we do not believe the resolution of any particular matter will have a material adverse effect on our financial condition, results of operations or liquidity.</w:t>
      </w: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SEGMENT INFORMATION</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(CODM) evaluates performance for purposes of allocating resources and assessing performance. During the first quarter of fiscal 2021, the financial information of our Lana business activities were no longer reviewed by the CODM for evaluating performance since Lana no longer has business activities. Rather, Lana offers support activities to U.S. Pawn. As a result, Lana is no longer an operating or reportable segment. Our historical segment results have been recast to conform to current presentation.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International — primarily our equity interest in the net income of Cash Converters International and Rich Data Corporation.</w:t>
      </w:r>
    </w:p>
    <w:p>
      <w:pPr>
        <w:spacing w:after="0" w:line="171"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90"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2020</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82,253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25,530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107,783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107,783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63,489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63,489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41,561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178,135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79,309</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12,510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7,572</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Loss (gain) on sale or disposal of assets and</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December 31, 2019</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0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95,354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31,374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126,728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126,728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9,528</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64,090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84,725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84,725</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165,597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222,435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222,435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84,076</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99,478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29,734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130,069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130,069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89,275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89,275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18,839</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7,733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30,205</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(27,208)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13: SUPPLEMENTAL CONSOLIDATED FINANCIAL INFORMATION</w:t>
      </w:r>
    </w:p>
    <w:p>
      <w:pPr>
        <w:spacing w:after="0" w:line="183"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 and condensed consolidated statements of cash flows: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27,259</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32,250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20,580</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108,205</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94,980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187,369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95,891</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10,614</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6,991</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receivable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274,071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270,335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267,509</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(218,867)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(205,089)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(210,523)</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65,246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56,986</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17,169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12,534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19,114</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expenses and other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50,608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52,390</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67,777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680"/>
        <w:spacing w:after="0" w:line="306"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35" w:lineRule="exact"/>
        <w:rPr>
          <w:sz w:val="20"/>
          <w:szCs w:val="20"/>
          <w:color w:val="auto"/>
        </w:rPr>
      </w:pPr>
    </w:p>
    <w:p>
      <w:pPr>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0">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ended September 30, 2020,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183"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EZCORP is a Delaware corporation headquartered in Austin, Texas. We are a leading provider of pawn loans in the United States and Latin America. Pawn loans are non-recourse loans collateralized by personal property. We also sell merchandise, primarily collateral forfeited from unpaid loans or goods purchased directly from customers.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208915</wp:posOffset>
            </wp:positionV>
            <wp:extent cx="5760720" cy="694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60720" cy="694055"/>
                    </a:xfrm>
                    <a:prstGeom prst="rect">
                      <a:avLst/>
                    </a:prstGeom>
                    <a:noFill/>
                  </pic:spPr>
                </pic:pic>
              </a:graphicData>
            </a:graphic>
          </wp:anchor>
        </w:drawing>
      </w:r>
    </w:p>
    <w:p>
      <w:pPr>
        <w:spacing w:after="0" w:line="309"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480" w:type="dxa"/>
            <w:vAlign w:val="bottom"/>
            <w:shd w:val="clear" w:color="auto" w:fill="026DCE"/>
          </w:tcPr>
          <w:p>
            <w:pPr>
              <w:ind w:left="40"/>
              <w:spacing w:after="0"/>
              <w:rPr>
                <w:sz w:val="20"/>
                <w:szCs w:val="20"/>
                <w:color w:val="auto"/>
              </w:rPr>
            </w:pPr>
            <w:r>
              <w:rPr>
                <w:rFonts w:ascii="Arial" w:cs="Arial" w:eastAsia="Arial" w:hAnsi="Arial"/>
                <w:sz w:val="18"/>
                <w:szCs w:val="18"/>
                <w:b w:val="1"/>
                <w:bCs w:val="1"/>
                <w:color w:val="FFFFFF"/>
              </w:rPr>
              <w:t>Strengthen the Core</w:t>
            </w:r>
          </w:p>
        </w:tc>
        <w:tc>
          <w:tcPr>
            <w:tcW w:w="658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Renewed focus on the unique and essential elements of our pawn business</w:t>
            </w:r>
          </w:p>
        </w:tc>
        <w:tc>
          <w:tcPr>
            <w:tcW w:w="0" w:type="dxa"/>
            <w:vAlign w:val="bottom"/>
          </w:tcPr>
          <w:p>
            <w:pPr>
              <w:spacing w:after="0"/>
              <w:rPr>
                <w:sz w:val="1"/>
                <w:szCs w:val="1"/>
                <w:color w:val="auto"/>
              </w:rPr>
            </w:pPr>
          </w:p>
        </w:tc>
      </w:tr>
      <w:tr>
        <w:trPr>
          <w:trHeight w:val="187"/>
        </w:trPr>
        <w:tc>
          <w:tcPr>
            <w:tcW w:w="2480" w:type="dxa"/>
            <w:vAlign w:val="bottom"/>
            <w:shd w:val="clear" w:color="auto" w:fill="026DCE"/>
          </w:tcPr>
          <w:p>
            <w:pPr>
              <w:ind w:left="40"/>
              <w:spacing w:after="0" w:line="187" w:lineRule="exact"/>
              <w:rPr>
                <w:sz w:val="20"/>
                <w:szCs w:val="20"/>
                <w:color w:val="auto"/>
              </w:rPr>
            </w:pPr>
            <w:r>
              <w:rPr>
                <w:rFonts w:ascii="Arial" w:cs="Arial" w:eastAsia="Arial" w:hAnsi="Arial"/>
                <w:sz w:val="18"/>
                <w:szCs w:val="18"/>
                <w:b w:val="1"/>
                <w:bCs w:val="1"/>
                <w:color w:val="FFFFFF"/>
              </w:rPr>
              <w:t>Cost Reduction and</w:t>
            </w:r>
          </w:p>
        </w:tc>
        <w:tc>
          <w:tcPr>
            <w:tcW w:w="6580" w:type="dxa"/>
            <w:vAlign w:val="bottom"/>
            <w:shd w:val="clear" w:color="auto" w:fill="80C9FF"/>
          </w:tcPr>
          <w:p>
            <w:pPr>
              <w:ind w:left="40"/>
              <w:spacing w:after="0" w:line="187" w:lineRule="exact"/>
              <w:rPr>
                <w:sz w:val="20"/>
                <w:szCs w:val="20"/>
                <w:color w:val="auto"/>
              </w:rPr>
            </w:pPr>
            <w:r>
              <w:rPr>
                <w:rFonts w:ascii="Arial" w:cs="Arial" w:eastAsia="Arial" w:hAnsi="Arial"/>
                <w:sz w:val="18"/>
                <w:szCs w:val="18"/>
                <w:b w:val="1"/>
                <w:bCs w:val="1"/>
                <w:color w:val="FFFFFF"/>
              </w:rPr>
              <w:t>Significant and sustained adjustment of cost base through ongoing</w:t>
            </w:r>
          </w:p>
        </w:tc>
        <w:tc>
          <w:tcPr>
            <w:tcW w:w="0" w:type="dxa"/>
            <w:vAlign w:val="bottom"/>
          </w:tcPr>
          <w:p>
            <w:pPr>
              <w:spacing w:after="0"/>
              <w:rPr>
                <w:sz w:val="1"/>
                <w:szCs w:val="1"/>
                <w:color w:val="auto"/>
              </w:rPr>
            </w:pPr>
          </w:p>
        </w:tc>
      </w:tr>
      <w:tr>
        <w:trPr>
          <w:trHeight w:val="232"/>
        </w:trPr>
        <w:tc>
          <w:tcPr>
            <w:tcW w:w="2480" w:type="dxa"/>
            <w:vAlign w:val="bottom"/>
            <w:shd w:val="clear" w:color="auto" w:fill="026DCE"/>
          </w:tcPr>
          <w:p>
            <w:pPr>
              <w:ind w:left="40"/>
              <w:spacing w:after="0"/>
              <w:rPr>
                <w:sz w:val="20"/>
                <w:szCs w:val="20"/>
                <w:color w:val="auto"/>
              </w:rPr>
            </w:pPr>
            <w:r>
              <w:rPr>
                <w:rFonts w:ascii="Arial" w:cs="Arial" w:eastAsia="Arial" w:hAnsi="Arial"/>
                <w:sz w:val="18"/>
                <w:szCs w:val="18"/>
                <w:b w:val="1"/>
                <w:bCs w:val="1"/>
                <w:color w:val="FFFFFF"/>
              </w:rPr>
              <w:t>Simplification</w:t>
            </w:r>
          </w:p>
        </w:tc>
        <w:tc>
          <w:tcPr>
            <w:tcW w:w="658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simplification</w:t>
            </w:r>
          </w:p>
        </w:tc>
        <w:tc>
          <w:tcPr>
            <w:tcW w:w="0" w:type="dxa"/>
            <w:vAlign w:val="bottom"/>
          </w:tcPr>
          <w:p>
            <w:pPr>
              <w:spacing w:after="0"/>
              <w:rPr>
                <w:sz w:val="1"/>
                <w:szCs w:val="1"/>
                <w:color w:val="auto"/>
              </w:rPr>
            </w:pPr>
          </w:p>
        </w:tc>
      </w:tr>
      <w:tr>
        <w:trPr>
          <w:trHeight w:val="187"/>
        </w:trPr>
        <w:tc>
          <w:tcPr>
            <w:tcW w:w="2480" w:type="dxa"/>
            <w:vAlign w:val="bottom"/>
            <w:vMerge w:val="restart"/>
            <w:shd w:val="clear" w:color="auto" w:fill="026DCE"/>
          </w:tcPr>
          <w:p>
            <w:pPr>
              <w:ind w:left="40"/>
              <w:spacing w:after="0"/>
              <w:rPr>
                <w:sz w:val="20"/>
                <w:szCs w:val="20"/>
                <w:color w:val="auto"/>
              </w:rPr>
            </w:pPr>
            <w:r>
              <w:rPr>
                <w:rFonts w:ascii="Arial" w:cs="Arial" w:eastAsia="Arial" w:hAnsi="Arial"/>
                <w:sz w:val="18"/>
                <w:szCs w:val="18"/>
                <w:b w:val="1"/>
                <w:bCs w:val="1"/>
                <w:color w:val="FFFFFF"/>
              </w:rPr>
              <w:t>Innovate and Grow</w:t>
            </w:r>
          </w:p>
        </w:tc>
        <w:tc>
          <w:tcPr>
            <w:tcW w:w="6580" w:type="dxa"/>
            <w:vAlign w:val="bottom"/>
            <w:shd w:val="clear" w:color="auto" w:fill="80C9FF"/>
          </w:tcPr>
          <w:p>
            <w:pPr>
              <w:ind w:left="40"/>
              <w:spacing w:after="0" w:line="187" w:lineRule="exact"/>
              <w:rPr>
                <w:sz w:val="20"/>
                <w:szCs w:val="20"/>
                <w:color w:val="auto"/>
              </w:rPr>
            </w:pPr>
            <w:r>
              <w:rPr>
                <w:rFonts w:ascii="Arial" w:cs="Arial" w:eastAsia="Arial" w:hAnsi="Arial"/>
                <w:sz w:val="18"/>
                <w:szCs w:val="18"/>
                <w:b w:val="1"/>
                <w:bCs w:val="1"/>
                <w:color w:val="FFFFFF"/>
              </w:rPr>
              <w:t>Broaden customer engagement to service more customers more frequently</w:t>
            </w:r>
          </w:p>
        </w:tc>
        <w:tc>
          <w:tcPr>
            <w:tcW w:w="0" w:type="dxa"/>
            <w:vAlign w:val="bottom"/>
          </w:tcPr>
          <w:p>
            <w:pPr>
              <w:spacing w:after="0"/>
              <w:rPr>
                <w:sz w:val="1"/>
                <w:szCs w:val="1"/>
                <w:color w:val="auto"/>
              </w:rPr>
            </w:pPr>
          </w:p>
        </w:tc>
      </w:tr>
      <w:tr>
        <w:trPr>
          <w:trHeight w:val="147"/>
        </w:trPr>
        <w:tc>
          <w:tcPr>
            <w:tcW w:w="2480" w:type="dxa"/>
            <w:vAlign w:val="bottom"/>
            <w:vMerge w:val="continue"/>
            <w:shd w:val="clear" w:color="auto" w:fill="026DCE"/>
          </w:tcPr>
          <w:p>
            <w:pPr>
              <w:spacing w:after="0"/>
              <w:rPr>
                <w:sz w:val="12"/>
                <w:szCs w:val="12"/>
                <w:color w:val="auto"/>
              </w:rPr>
            </w:pPr>
          </w:p>
        </w:tc>
        <w:tc>
          <w:tcPr>
            <w:tcW w:w="6580" w:type="dxa"/>
            <w:vAlign w:val="bottom"/>
            <w:vMerge w:val="restart"/>
            <w:shd w:val="clear" w:color="auto" w:fill="80C9FF"/>
          </w:tcPr>
          <w:p>
            <w:pPr>
              <w:ind w:left="40"/>
              <w:spacing w:after="0"/>
              <w:rPr>
                <w:sz w:val="20"/>
                <w:szCs w:val="20"/>
                <w:color w:val="auto"/>
              </w:rPr>
            </w:pPr>
            <w:r>
              <w:rPr>
                <w:rFonts w:ascii="Arial" w:cs="Arial" w:eastAsia="Arial" w:hAnsi="Arial"/>
                <w:sz w:val="18"/>
                <w:szCs w:val="18"/>
                <w:b w:val="1"/>
                <w:bCs w:val="1"/>
                <w:color w:val="FFFFFF"/>
              </w:rPr>
              <w:t>in more locations</w:t>
            </w:r>
          </w:p>
        </w:tc>
        <w:tc>
          <w:tcPr>
            <w:tcW w:w="0" w:type="dxa"/>
            <w:vAlign w:val="bottom"/>
          </w:tcPr>
          <w:p>
            <w:pPr>
              <w:spacing w:after="0"/>
              <w:rPr>
                <w:sz w:val="1"/>
                <w:szCs w:val="1"/>
                <w:color w:val="auto"/>
              </w:rPr>
            </w:pPr>
          </w:p>
        </w:tc>
      </w:tr>
      <w:tr>
        <w:trPr>
          <w:trHeight w:val="83"/>
        </w:trPr>
        <w:tc>
          <w:tcPr>
            <w:tcW w:w="2480" w:type="dxa"/>
            <w:vAlign w:val="bottom"/>
            <w:shd w:val="clear" w:color="auto" w:fill="026DCE"/>
          </w:tcPr>
          <w:p>
            <w:pPr>
              <w:spacing w:after="0"/>
              <w:rPr>
                <w:sz w:val="7"/>
                <w:szCs w:val="7"/>
                <w:color w:val="auto"/>
              </w:rPr>
            </w:pPr>
          </w:p>
        </w:tc>
        <w:tc>
          <w:tcPr>
            <w:tcW w:w="658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collateralized personal property and the perceived probability of the loans' redemption.</w:t>
      </w:r>
    </w:p>
    <w:p>
      <w:pPr>
        <w:spacing w:after="0" w:line="1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ability to offer quality pre-owned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and our ability to sell that merchandise in a timely manner. As a significant portion of our inventory and sales involve gold and jewelry, our results can be influenced by the market price of gold and diamonds.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6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We see opportunity for further expansion through acquisitions and de novo openings in Latin America and acquisitions in the United States.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United States, pawn service charges are historically highest in our fourth fiscal quarter (July through September) due to a higher average loan balance during the summer lending season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fiscal quarter (April through June). These historical trends have been impacted by COVID-19. However, we expect these historical trends to return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pawn service charges (“PSC”). The following chart presents sources of net revenues, including PSC, merchandise sales gross profit ("Merchandise sales GP") and jewelry scrapping gross profit ("Jewelry Scrapping GP") for the three months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49530</wp:posOffset>
            </wp:positionV>
            <wp:extent cx="3214370" cy="2785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21437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sources of net revenues by geographic disbursement for the three months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88900</wp:posOffset>
            </wp:positionV>
            <wp:extent cx="3214370" cy="2785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21437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Business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w:t>
      </w:r>
    </w:p>
    <w:p>
      <w:pPr>
        <w:spacing w:after="0" w:line="166"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COVID-19 pandemic continues to affect the U.S. and global economies, and as disclosed in our 2020 Annual Report on Form 10-K, the pandemic also affected our business in a variety of ways beginning in the second quarter of fiscal 2020 and continuing into fiscal 2021.</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business was negatively impacted by COVID-19 during the current quarter largely due to volume declines as compared to the prior year in pawn loan originations and associated loan balances in both the U.S. and Latin America, as a result of a change in customer borrowing behaviors. Additionally, the impact of sustained lower pawn portfolios has led to reduced inventory available for sale. As a result, our net revenues for the three months ended December 31, 2020 were down $21.7 million as compared to the prior year.</w:t>
      </w:r>
    </w:p>
    <w:p>
      <w:pPr>
        <w:spacing w:after="0" w:line="11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full extent and duration of the COVID-19 impact on the global economy generally, and on our business specifically, is currently unknown. We expect the impact of the pandemic, and the recovery therefrom, will continue to adversely affect net revenues and earnings in fiscal 2021. A prolonged pandemic and recovery may have an adverse effect on our results of operations, financial position and liquidity in future periods.</w:t>
      </w:r>
    </w:p>
    <w:p>
      <w:pPr>
        <w:spacing w:after="0" w:line="104"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Financial Information</w:t>
      </w:r>
    </w:p>
    <w:p>
      <w:pPr>
        <w:spacing w:after="0" w:line="16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We use constant currency results to evaluate our Latin America Pawn operations, which are denominated primarily in Mexican pesos, Guatemalan quetzals and other Latin American currencies. We believe presentation of constant currency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months ended December 31, 2020 and 2019 and September 30, 2020 and 2019 were as follows:</w:t>
      </w: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2240" w:type="dxa"/>
            <w:vAlign w:val="bottom"/>
            <w:gridSpan w:val="4"/>
            <w:vMerge w:val="restart"/>
          </w:tcPr>
          <w:p>
            <w:pPr>
              <w:ind w:left="540"/>
              <w:spacing w:after="0"/>
              <w:rPr>
                <w:sz w:val="20"/>
                <w:szCs w:val="20"/>
                <w:color w:val="auto"/>
              </w:rPr>
            </w:pPr>
            <w:r>
              <w:rPr>
                <w:rFonts w:ascii="Arial" w:cs="Arial" w:eastAsia="Arial" w:hAnsi="Arial"/>
                <w:sz w:val="16"/>
                <w:szCs w:val="16"/>
                <w:b w:val="1"/>
                <w:bCs w:val="1"/>
                <w:color w:val="auto"/>
              </w:rPr>
              <w:t>December 31,</w:t>
            </w:r>
          </w:p>
        </w:tc>
        <w:tc>
          <w:tcPr>
            <w:tcW w:w="2240" w:type="dxa"/>
            <w:vAlign w:val="bottom"/>
            <w:gridSpan w:val="3"/>
          </w:tcPr>
          <w:p>
            <w:pPr>
              <w:jc w:val="center"/>
              <w:ind w:right="80"/>
              <w:spacing w:after="0" w:line="174" w:lineRule="exact"/>
              <w:rPr>
                <w:sz w:val="20"/>
                <w:szCs w:val="20"/>
                <w:color w:val="auto"/>
              </w:rPr>
            </w:pPr>
            <w:r>
              <w:rPr>
                <w:rFonts w:ascii="Arial" w:cs="Arial" w:eastAsia="Arial" w:hAnsi="Arial"/>
                <w:sz w:val="16"/>
                <w:szCs w:val="16"/>
                <w:b w:val="1"/>
                <w:bCs w:val="1"/>
                <w:color w:val="auto"/>
              </w:rPr>
              <w:t>Three Months Ended</w:t>
            </w:r>
          </w:p>
        </w:tc>
        <w:tc>
          <w:tcPr>
            <w:tcW w:w="2260" w:type="dxa"/>
            <w:vAlign w:val="bottom"/>
            <w:gridSpan w:val="4"/>
            <w:vMerge w:val="restart"/>
          </w:tcPr>
          <w:p>
            <w:pPr>
              <w:ind w:left="520"/>
              <w:spacing w:after="0"/>
              <w:rPr>
                <w:sz w:val="20"/>
                <w:szCs w:val="20"/>
                <w:color w:val="auto"/>
              </w:rPr>
            </w:pPr>
            <w:r>
              <w:rPr>
                <w:rFonts w:ascii="Arial" w:cs="Arial" w:eastAsia="Arial" w:hAnsi="Arial"/>
                <w:sz w:val="16"/>
                <w:szCs w:val="16"/>
                <w:b w:val="1"/>
                <w:bCs w:val="1"/>
                <w:color w:val="auto"/>
              </w:rPr>
              <w:t>September 30,</w:t>
            </w:r>
          </w:p>
        </w:tc>
        <w:tc>
          <w:tcPr>
            <w:tcW w:w="2160" w:type="dxa"/>
            <w:vAlign w:val="bottom"/>
            <w:gridSpan w:val="3"/>
          </w:tcPr>
          <w:p>
            <w:pPr>
              <w:jc w:val="right"/>
              <w:ind w:right="199"/>
              <w:spacing w:after="0" w:line="174" w:lineRule="exact"/>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40" w:type="dxa"/>
            <w:vAlign w:val="bottom"/>
            <w:gridSpan w:val="4"/>
            <w:vMerge w:val="continue"/>
          </w:tcPr>
          <w:p>
            <w:pPr>
              <w:spacing w:after="0"/>
              <w:rPr>
                <w:sz w:val="18"/>
                <w:szCs w:val="18"/>
                <w:color w:val="auto"/>
              </w:rPr>
            </w:pPr>
          </w:p>
        </w:tc>
        <w:tc>
          <w:tcPr>
            <w:tcW w:w="2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December 31,</w:t>
            </w:r>
          </w:p>
        </w:tc>
        <w:tc>
          <w:tcPr>
            <w:tcW w:w="2260" w:type="dxa"/>
            <w:vAlign w:val="bottom"/>
            <w:gridSpan w:val="4"/>
            <w:vMerge w:val="continue"/>
          </w:tcPr>
          <w:p>
            <w:pPr>
              <w:spacing w:after="0"/>
              <w:rPr>
                <w:sz w:val="18"/>
                <w:szCs w:val="18"/>
                <w:color w:val="auto"/>
              </w:rPr>
            </w:pPr>
          </w:p>
        </w:tc>
        <w:tc>
          <w:tcPr>
            <w:tcW w:w="21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4"/>
        </w:trPr>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7.6</w:t>
            </w: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9"/>
        </w:trPr>
        <w:tc>
          <w:tcPr>
            <w:tcW w:w="2300" w:type="dxa"/>
            <w:vAlign w:val="bottom"/>
          </w:tcPr>
          <w:p>
            <w:pPr>
              <w:ind w:left="20"/>
              <w:spacing w:after="0"/>
              <w:rPr>
                <w:sz w:val="20"/>
                <w:szCs w:val="20"/>
                <w:color w:val="auto"/>
              </w:rPr>
            </w:pPr>
            <w:r>
              <w:rPr>
                <w:rFonts w:ascii="Arial" w:cs="Arial" w:eastAsia="Arial" w:hAnsi="Arial"/>
                <w:sz w:val="16"/>
                <w:szCs w:val="16"/>
                <w:color w:val="auto"/>
              </w:rPr>
              <w:t>Peruvian sol</w:t>
            </w: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3.6</w:t>
            </w: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operating segments;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40" w:hanging="328"/>
        <w:spacing w:after="0" w:line="27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International — Represents our equity interest in the net income of Cash Converters International and Rich Data Corporation and our financial services stores in Canada, operating under the CASHMAX brand. In the fourth quarter of fiscal 2020, we closed our stores in Canada, and operating activities related to CASHMAX are not material.</w:t>
      </w:r>
    </w:p>
    <w:p>
      <w:pPr>
        <w:spacing w:after="0" w:line="10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See Note 12 – Segment Information, for information regarding changes in reportable segments. Our historical segment results have been recast to conform to current presentation.</w:t>
      </w:r>
    </w:p>
    <w:p>
      <w:pPr>
        <w:spacing w:after="0" w:line="90" w:lineRule="exact"/>
        <w:rPr>
          <w:sz w:val="20"/>
          <w:szCs w:val="20"/>
          <w:color w:val="auto"/>
        </w:rPr>
      </w:pPr>
    </w:p>
    <w:p>
      <w:pPr>
        <w:ind w:right="3980"/>
        <w:spacing w:after="0" w:line="369" w:lineRule="auto"/>
        <w:rPr>
          <w:sz w:val="20"/>
          <w:szCs w:val="20"/>
          <w:color w:val="auto"/>
        </w:rPr>
      </w:pPr>
      <w:r>
        <w:rPr>
          <w:rFonts w:ascii="Arial" w:cs="Arial" w:eastAsia="Arial" w:hAnsi="Arial"/>
          <w:sz w:val="18"/>
          <w:szCs w:val="18"/>
          <w:b w:val="1"/>
          <w:bCs w:val="1"/>
          <w:i w:val="1"/>
          <w:iCs w:val="1"/>
          <w:color w:val="auto"/>
        </w:rPr>
        <w:t xml:space="preserve">Three Months Ended December 31, 2020 vs. Three Months Ended December 31, 2019 </w:t>
      </w:r>
      <w:r>
        <w:rPr>
          <w:rFonts w:ascii="Arial" w:cs="Arial" w:eastAsia="Arial" w:hAnsi="Arial"/>
          <w:sz w:val="18"/>
          <w:szCs w:val="18"/>
          <w:b w:val="1"/>
          <w:bCs w:val="1"/>
          <w:color w:val="auto"/>
        </w:rPr>
        <w:t>Store Data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19"/>
                <w:szCs w:val="19"/>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2020</w:t>
            </w: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sold, combined or closed</w:t>
            </w:r>
          </w:p>
        </w:tc>
        <w:tc>
          <w:tcPr>
            <w:tcW w:w="15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bl>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December 31, 2019</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52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Other</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International</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2019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sold, combined or closed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 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50,220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64,090</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(22)%</w:t>
            </w:r>
          </w:p>
        </w:tc>
      </w:tr>
      <w:tr>
        <w:trPr>
          <w:trHeight w:val="216"/>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82,253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95,354</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(14)%</w:t>
            </w:r>
          </w:p>
        </w:tc>
      </w:tr>
      <w:tr>
        <w:trPr>
          <w:trHeight w:val="20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34,194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33,990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r>
      <w:tr>
        <w:trPr>
          <w:trHeight w:val="216"/>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600bps</w:t>
            </w:r>
          </w:p>
        </w:tc>
      </w:tr>
      <w:tr>
        <w:trPr>
          <w:trHeight w:val="216"/>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4,004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6,117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(35)%</w:t>
            </w:r>
          </w:p>
        </w:tc>
      </w:tr>
      <w:tr>
        <w:trPr>
          <w:trHeight w:val="20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(15)%</w:t>
            </w:r>
          </w:p>
        </w:tc>
      </w:tr>
      <w:tr>
        <w:trPr>
          <w:trHeight w:val="216"/>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700bps</w:t>
            </w:r>
          </w:p>
        </w:tc>
      </w:tr>
      <w:tr>
        <w:trPr>
          <w:trHeight w:val="216"/>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(39)%</w:t>
            </w:r>
          </w:p>
        </w:tc>
      </w:tr>
      <w:tr>
        <w:trPr>
          <w:trHeight w:val="209"/>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85,596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99,478</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(14)%</w:t>
            </w:r>
          </w:p>
        </w:tc>
      </w:tr>
      <w:tr>
        <w:trPr>
          <w:trHeight w:val="216"/>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62,092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68,059</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(9)%</w:t>
            </w:r>
          </w:p>
        </w:tc>
      </w:tr>
      <w:tr>
        <w:trPr>
          <w:trHeight w:val="216"/>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2,736</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2,865</w:t>
            </w:r>
          </w:p>
        </w:tc>
        <w:tc>
          <w:tcPr>
            <w:tcW w:w="152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r>
      <w:tr>
        <w:trPr>
          <w:trHeight w:val="209"/>
        </w:trPr>
        <w:tc>
          <w:tcPr>
            <w:tcW w:w="6520" w:type="dxa"/>
            <w:vAlign w:val="bottom"/>
          </w:tcPr>
          <w:p>
            <w:pPr>
              <w:ind w:left="460"/>
              <w:spacing w:after="0"/>
              <w:rPr>
                <w:sz w:val="20"/>
                <w:szCs w:val="20"/>
                <w:color w:val="auto"/>
              </w:rPr>
            </w:pPr>
            <w:r>
              <w:rPr>
                <w:rFonts w:ascii="Arial" w:cs="Arial" w:eastAsia="Arial" w:hAnsi="Arial"/>
                <w:sz w:val="16"/>
                <w:szCs w:val="16"/>
                <w:color w:val="auto"/>
              </w:rPr>
              <w:t>Segment operating contribution</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20,768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28,554</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(27)%</w:t>
            </w:r>
          </w:p>
        </w:tc>
      </w:tr>
      <w:tr>
        <w:trPr>
          <w:trHeight w:val="216"/>
        </w:trPr>
        <w:tc>
          <w:tcPr>
            <w:tcW w:w="6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income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17"/>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20,741</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28,554</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(27)%</w:t>
            </w:r>
          </w:p>
        </w:tc>
      </w:tr>
      <w:tr>
        <w:trPr>
          <w:trHeight w:val="203"/>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199,569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305,336</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(35)%</w:t>
            </w: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44%</w:t>
            </w:r>
          </w:p>
        </w:tc>
      </w:tr>
      <w:tr>
        <w:trPr>
          <w:trHeight w:val="216"/>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301</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(23)%</w:t>
            </w: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r>
      <w:tr>
        <w:trPr>
          <w:trHeight w:val="219"/>
        </w:trPr>
        <w:tc>
          <w:tcPr>
            <w:tcW w:w="6520" w:type="dxa"/>
            <w:vAlign w:val="bottom"/>
          </w:tcPr>
          <w:p>
            <w:pPr>
              <w:ind w:left="220"/>
              <w:spacing w:after="0"/>
              <w:rPr>
                <w:sz w:val="20"/>
                <w:szCs w:val="20"/>
                <w:color w:val="auto"/>
              </w:rPr>
            </w:pPr>
            <w:r>
              <w:rPr>
                <w:rFonts w:ascii="Arial" w:cs="Arial" w:eastAsia="Arial" w:hAnsi="Arial"/>
                <w:sz w:val="16"/>
                <w:szCs w:val="16"/>
                <w:color w:val="auto"/>
              </w:rPr>
              <w:t>Pawn loan redemption rate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bl>
    <w:p>
      <w:pPr>
        <w:spacing w:after="0" w:line="227" w:lineRule="exact"/>
        <w:rPr>
          <w:sz w:val="20"/>
          <w:szCs w:val="20"/>
          <w:color w:val="auto"/>
        </w:rPr>
      </w:pPr>
    </w:p>
    <w:p>
      <w:pPr>
        <w:ind w:left="360" w:hanging="334"/>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33" w:lineRule="exact"/>
        <w:rPr>
          <w:sz w:val="20"/>
          <w:szCs w:val="20"/>
          <w:color w:val="auto"/>
        </w:rPr>
      </w:pPr>
    </w:p>
    <w:p>
      <w:pPr>
        <w:ind w:left="360" w:hanging="334"/>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decreased by 22% due to a decrease in pawn loans outstanding resulting from the effects of the COVID-19 pandemic.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Same stores pawn service charges also decreased by 22%.</w:t>
      </w:r>
    </w:p>
    <w:p>
      <w:pPr>
        <w:spacing w:after="0" w:line="14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Merchandise sales decreased 14%, but merchandise sales gross profit increased 1% to $34.2 million driven by lower inventory levels and a 600 bps improvement in merchandise sales gross profit margin, primarily driven by reduced aged inventory levels and improved inventory turnover. Same stores merchandise sales also decreased by 14%.</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9% driven by a reduction in labor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decreased $7.8 million primarily due to the changes in revenue and store expenses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7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7"/>
          </w:tcPr>
          <w:p>
            <w:pPr>
              <w:ind w:left="580"/>
              <w:spacing w:after="0"/>
              <w:rPr>
                <w:sz w:val="20"/>
                <w:szCs w:val="20"/>
                <w:color w:val="auto"/>
              </w:rPr>
            </w:pPr>
            <w:r>
              <w:rPr>
                <w:rFonts w:ascii="Arial" w:cs="Arial" w:eastAsia="Arial" w:hAnsi="Arial"/>
                <w:sz w:val="16"/>
                <w:szCs w:val="16"/>
                <w:b w:val="1"/>
                <w:bCs w:val="1"/>
                <w:color w:val="auto"/>
              </w:rPr>
              <w:t>Three Months Ended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2020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2019 (GAAP)</w:t>
            </w: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2020 (Constant</w:t>
            </w: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13,269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20,635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13,949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25,530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31,374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26,784</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8,662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9,446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700bps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700bps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2,755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3,411</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2,855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200bps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300bps</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(72)%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29,734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23,820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19,983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18,097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1,889</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1,956</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240" w:type="dxa"/>
            <w:vAlign w:val="bottom"/>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3,642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7,862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3,767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 income (a)</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383%</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4,962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8,127</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5,048</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Net earning assets (b)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43,263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77,619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45,009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0" w:type="dxa"/>
            <w:vAlign w:val="bottom"/>
          </w:tcPr>
          <w:p>
            <w:pPr>
              <w:spacing w:after="0"/>
              <w:rPr>
                <w:sz w:val="1"/>
                <w:szCs w:val="1"/>
                <w:color w:val="auto"/>
              </w:rPr>
            </w:pPr>
          </w:p>
        </w:tc>
      </w:tr>
      <w:tr>
        <w:trPr>
          <w:trHeight w:val="162"/>
        </w:trPr>
        <w:tc>
          <w:tcPr>
            <w:tcW w:w="4240" w:type="dxa"/>
            <w:vAlign w:val="bottom"/>
          </w:tcPr>
          <w:p>
            <w:pPr>
              <w:ind w:left="220"/>
              <w:spacing w:after="0" w:line="162"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8"/>
              </w:rPr>
              <w:t>(55)%</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12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6"/>
                <w:szCs w:val="16"/>
                <w:color w:val="auto"/>
              </w:rPr>
              <w:t>(c)</w:t>
            </w:r>
          </w:p>
        </w:tc>
        <w:tc>
          <w:tcPr>
            <w:tcW w:w="1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100bps</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Arial" w:cs="Arial" w:eastAsia="Arial" w:hAnsi="Arial"/>
                <w:sz w:val="16"/>
                <w:szCs w:val="16"/>
                <w:color w:val="auto"/>
              </w:rPr>
              <w:t>Pawn loan redemption rate (d)</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400bps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400bps</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360" w:right="160" w:hanging="334"/>
        <w:spacing w:after="0" w:line="245"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2021 constant currency amount excludes net GAAP basis foreign currency transaction adjustment of $0.1 million resulting from movement in exchange rates. The net foreign currency transaction gains for fiscal 2020 were nominal and are included in the above results.</w:t>
      </w: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the current quarter, our Latin America pawn segment opened two de novo stores.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Pawn service charges decreased 36% (32% on a constant currency basis). Same stores pawn service charges also decreased by 36%. The average ending monthly pawn loan balance outstanding during the current quarter was down 55% (53% on a constant currency basis). We have experienced a substantial decline in new loans activity and associated loan balances as a result of a change in customer borrowing behaviors due to COVID-19.</w:t>
      </w:r>
    </w:p>
    <w:p>
      <w:pPr>
        <w:spacing w:after="0" w:line="1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Merchandise sales decreased 19% (15% on a constant currency basis). Same stores merchandise sales decreased by 20%. This decrease in merchandise sales was offset by an increase in merchandise sales gross profit of 4% to $ 9.0 million (9% to $9.4 million on a constant currency basis) driven by a 700 basis points improvement in merchandise sales gross profit margin primarily due to reduced aged inventory levels and improved inventory turnover.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14% (9% on a constant currency basis) driven by a reduction in labor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decreased $3.2 million primarily due to the changes in revenue and store expenses described above.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International</w:t>
      </w:r>
    </w:p>
    <w:p>
      <w:pPr>
        <w:spacing w:after="0" w:line="17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The following table presents selected financial data for our Other International segment after translation to U.S. dollars from its functional currency of primarily Australian and Canadian dollars: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4"/>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6"/>
                <w:szCs w:val="16"/>
                <w:color w:val="auto"/>
              </w:rPr>
              <w:t>Consumer loan fees, interest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1,393</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(95)%</w:t>
            </w:r>
          </w:p>
        </w:tc>
      </w:tr>
      <w:tr>
        <w:trPr>
          <w:trHeight w:val="216"/>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Consumer loan debt</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09"/>
        </w:trPr>
        <w:tc>
          <w:tcPr>
            <w:tcW w:w="6720" w:type="dxa"/>
            <w:vAlign w:val="bottom"/>
          </w:tcPr>
          <w:p>
            <w:pPr>
              <w:ind w:left="4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857</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(91)%</w:t>
            </w:r>
          </w:p>
        </w:tc>
      </w:tr>
      <w:tr>
        <w:trPr>
          <w:trHeight w:val="216"/>
        </w:trPr>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720" w:type="dxa"/>
            <w:vAlign w:val="bottom"/>
          </w:tcPr>
          <w:p>
            <w:pPr>
              <w:ind w:left="20"/>
              <w:spacing w:after="0"/>
              <w:rPr>
                <w:sz w:val="20"/>
                <w:szCs w:val="20"/>
                <w:color w:val="auto"/>
              </w:rPr>
            </w:pPr>
            <w:r>
              <w:rPr>
                <w:rFonts w:ascii="Arial" w:cs="Arial" w:eastAsia="Arial" w:hAnsi="Arial"/>
                <w:sz w:val="16"/>
                <w:szCs w:val="16"/>
                <w:color w:val="auto"/>
              </w:rPr>
              <w:t>Segment operating expenses: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Operations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16"/>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loss on unconsolidated affiliates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5,897</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(109)%</w:t>
            </w:r>
          </w:p>
        </w:tc>
      </w:tr>
      <w:tr>
        <w:trPr>
          <w:trHeight w:val="209"/>
        </w:trPr>
        <w:tc>
          <w:tcPr>
            <w:tcW w:w="6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(109)%</w:t>
            </w:r>
          </w:p>
        </w:tc>
      </w:tr>
      <w:tr>
        <w:trPr>
          <w:trHeight w:val="216"/>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expense</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(203)%</w:t>
            </w:r>
          </w:p>
        </w:tc>
      </w:tr>
      <w:tr>
        <w:trPr>
          <w:trHeight w:val="216"/>
        </w:trPr>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(6,476)</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(112)%</w:t>
            </w:r>
          </w:p>
        </w:tc>
      </w:tr>
    </w:tbl>
    <w:p>
      <w:pPr>
        <w:spacing w:after="0" w:line="19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Segment contribution was $0.8 million, an increase of $7.3 million from the prior-year quarter primarily due to a $7.1 million charge, ($10.1 million, net of a $3.0 million tax benefit) in the first quarter of fiscal 2020 for our share of the Cash Converters International settlement of a Queensland, Australia class action lawsuit.</w:t>
      </w:r>
    </w:p>
    <w:p>
      <w:pPr>
        <w:spacing w:after="0" w:line="10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We operated 22 financial services stores in Canada under the CASHMAX brand during fiscal year 2020. During the fourth quarter of fiscal year 2020, we closed our CASHMAX business and are no longer operating stores in Canada.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3"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(12)%</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(34)%</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2,945</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sale or disposal of assets and other</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(93)%</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5,131</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6"/>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(87)%</w:t>
            </w:r>
          </w:p>
        </w:tc>
      </w:tr>
      <w:tr>
        <w:trPr>
          <w:trHeight w:val="216"/>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09"/>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84%</w:t>
            </w:r>
          </w:p>
        </w:tc>
      </w:tr>
      <w:tr>
        <w:trPr>
          <w:trHeight w:val="21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(32)%</w:t>
            </w: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247%</w:t>
            </w:r>
          </w:p>
        </w:tc>
      </w:tr>
    </w:tbl>
    <w:p>
      <w:pPr>
        <w:spacing w:after="0" w:line="230"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67" w:lineRule="exact"/>
        <w:rPr>
          <w:sz w:val="20"/>
          <w:szCs w:val="20"/>
          <w:color w:val="auto"/>
        </w:rPr>
      </w:pPr>
    </w:p>
    <w:p>
      <w:pPr>
        <w:jc w:val="both"/>
        <w:ind w:right="580"/>
        <w:spacing w:after="0" w:line="271" w:lineRule="auto"/>
        <w:rPr>
          <w:sz w:val="20"/>
          <w:szCs w:val="20"/>
          <w:color w:val="auto"/>
        </w:rPr>
      </w:pPr>
      <w:r>
        <w:rPr>
          <w:rFonts w:ascii="Arial" w:cs="Arial" w:eastAsia="Arial" w:hAnsi="Arial"/>
          <w:sz w:val="18"/>
          <w:szCs w:val="18"/>
          <w:color w:val="auto"/>
        </w:rPr>
        <w:t>Segment contribution decreased $3.7 million or 12% over the prior-year quarter primarily due to reduced pawn service charges from a decline in new loans activity and associated loan balances as a result of a change in customer borrowing behaviors due to COVID-19, partially offset by increased merchandise sales gross profit and decreased store expenses.</w:t>
      </w:r>
    </w:p>
    <w:p>
      <w:pPr>
        <w:spacing w:after="0" w:line="109"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General and administrative expenses decreased $6.3 million or 34% due to strategic initiatives implemented in the fourth quarter of fiscal year 2020 to optimize our cost structure at the corporate level.</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183"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We currently believe that, based on available capital resources and projected operating cash flow, we have adequate capital resources to fund working capital needs, currently anticipated capital expenditures, currently anticipated business growth and expansion, tax payments, and current and projected debt service requirements.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cash and equivalents balance was $290.5 million at December 31, 2020 compared to $304.5 million at September 30, 2020. At December 31, 2020, our cash and equivalents were held in cash depository accounts with major banks or invested in high quality, short-term liquid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(10,918)</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59%</w:t>
            </w:r>
          </w:p>
        </w:tc>
      </w:tr>
      <w:tr>
        <w:trPr>
          <w:trHeight w:val="216"/>
        </w:trPr>
        <w:tc>
          <w:tcPr>
            <w:tcW w:w="700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(6,798)</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rPr>
              <w:t>(122)%</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73%</w:t>
            </w: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6,266</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12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364%</w:t>
            </w:r>
          </w:p>
        </w:tc>
      </w:tr>
      <w:tr>
        <w:trPr>
          <w:trHeight w:val="217"/>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(19,301)</w:t>
            </w:r>
          </w:p>
        </w:tc>
        <w:tc>
          <w:tcPr>
            <w:tcW w:w="12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27%</w:t>
            </w:r>
          </w:p>
        </w:tc>
      </w:tr>
    </w:tbl>
    <w:p>
      <w:pPr>
        <w:spacing w:after="0" w:line="355"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Net cash used in operating activities decreased $ 6.4 million, or 59%, year-over-year due to a net decrease of $12.1 million in non-cash adjustments to reconcile net income to operating cash flows, offset by an increase of $15.4 million in working capital and a $3.1 million increase in net income.</w:t>
      </w:r>
    </w:p>
    <w:p>
      <w:pPr>
        <w:spacing w:after="0" w:line="10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Net cash used in investing activities increased $ 8.3 million, or 122%, year-over-year primarily due to a $22.5 million decrease in the sale of forfeited collateral, offset by an $11.9 million net decrease in customer loan growth, l.</w:t>
      </w:r>
    </w:p>
    <w:p>
      <w:pPr>
        <w:spacing w:after="0" w:line="90"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Net cash used in financing activities decreased $2.2 million, or 73%, year-over-year primarily due to a $1.0 million decrease in the repurchase of common stock and $0.7 million decrease in taxes paid related to the net settlement of equity awards.</w:t>
      </w:r>
    </w:p>
    <w:p>
      <w:pPr>
        <w:spacing w:after="0" w:line="90"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The net effect of cash flows was a $14.1 million decrease in cash on hand during the current year-to-date period, resulting in a $298.5 million ending cash and restricted cash balance.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December 2019, our Board of Directors authorized a stock repurchase program that will allow us to repurchase up to $60 million of our Class A Non-voting Common Stock over three years. On March 20, 2020, we suspended the repurchase of shares under the program in order to preserve current liquidity given the uncertainty of the impact of the COVID-19 pandemic to our operations. The resumption of our stock repurchase program and the amount and timing of purchases will be dependent on a variety of factors, such as the return to normal business conditions, stock price, trading volume, general market conditions, legal and regulatory requirements, cash flow levels, and corporate considerations determined by management and the Board, such as liquidity and capital needs and the availability of attractive alternative investment opportunities. The Board of Directors has reserved the right to modify, suspend or terminate the program at any time. During the three months ended December 30, 2020, there were no stock repurchases. As of September 30, 2020, we had repurchased and retired 943,149 shares of our Class A Common Stock for $5.2 million.</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our contractual obligations, planned de novo store growth, capital expenditures and working capital requirements through fiscal 2021.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Given the current uncertainty related to the COVID-19 pandemic, we may adjust our capital or other expenditures.</w:t>
      </w:r>
      <w:r>
        <w:rPr>
          <w:rFonts w:ascii="Arial" w:cs="Arial" w:eastAsia="Arial" w:hAnsi="Arial"/>
          <w:sz w:val="18"/>
          <w:szCs w:val="18"/>
          <w:color w:val="auto"/>
        </w:rPr>
        <w:t xml:space="preserve"> </w:t>
      </w:r>
      <w:r>
        <w:rPr>
          <w:rFonts w:ascii="Arial" w:cs="Arial" w:eastAsia="Arial" w:hAnsi="Arial"/>
          <w:sz w:val="18"/>
          <w:szCs w:val="18"/>
          <w:color w:val="212529"/>
        </w:rPr>
        <w:t>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66" w:lineRule="exact"/>
        <w:rPr>
          <w:sz w:val="20"/>
          <w:szCs w:val="20"/>
          <w:color w:val="auto"/>
        </w:rPr>
      </w:pPr>
    </w:p>
    <w:p>
      <w:pPr>
        <w:ind w:right="40"/>
        <w:spacing w:after="0" w:line="260" w:lineRule="auto"/>
        <w:rPr>
          <w:rFonts w:ascii="Arial" w:cs="Arial" w:eastAsia="Arial" w:hAnsi="Arial"/>
          <w:sz w:val="18"/>
          <w:szCs w:val="18"/>
          <w:color w:val="auto"/>
        </w:rPr>
      </w:pPr>
      <w:hyperlink r:id="rId20">
        <w:r>
          <w:rPr>
            <w:rFonts w:ascii="Arial" w:cs="Arial" w:eastAsia="Arial" w:hAnsi="Arial"/>
            <w:sz w:val="18"/>
            <w:szCs w:val="18"/>
            <w:color w:val="auto"/>
          </w:rPr>
          <w:t>In "Part II, Item 7 — Management's Discussion and Analysis of Financial Condition and Results of Operations" of our Annual Report on Form</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10-K for the year ended September 30, 2020, we reported that we had $ 604.6 million in total contractual obligations as of September 30,</w:t>
        </w:r>
      </w:hyperlink>
      <w:r>
        <w:rPr>
          <w:rFonts w:ascii="Arial" w:cs="Arial" w:eastAsia="Arial" w:hAnsi="Arial"/>
          <w:sz w:val="18"/>
          <w:szCs w:val="18"/>
          <w:color w:val="auto"/>
        </w:rPr>
        <w:t xml:space="preserve"> 2020. There have been no material changes to this total obligation since September 30, 2020, other than changes as the result of adoption of accounting standards as further discussed in Note 1 of Notes to Interim Condensed Consolidated Financial Statements included in "Part I, Item 1 — Financial Statements."</w:t>
      </w:r>
    </w:p>
    <w:p>
      <w:pPr>
        <w:spacing w:after="0" w:line="121"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2020, these collectively amounted to $6.2 million.</w:t>
      </w: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183" w:lineRule="exact"/>
        <w:rPr>
          <w:sz w:val="20"/>
          <w:szCs w:val="20"/>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0">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 xml:space="preserve">Item 1A — Risk Factors" of our Annual Report on Form 10-K for the year ended September 30, 2020 and "Part II, Item 1A — Risk Factors" </w:t>
        </w:r>
      </w:hyperlink>
      <w:r>
        <w:rPr>
          <w:rFonts w:ascii="Arial" w:cs="Arial" w:eastAsia="Arial" w:hAnsi="Arial"/>
          <w:sz w:val="18"/>
          <w:szCs w:val="18"/>
          <w:color w:val="auto"/>
        </w:rPr>
        <w:t>of this Report.</w:t>
      </w:r>
    </w:p>
    <w:p>
      <w:pPr>
        <w:spacing w:after="0" w:line="131"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18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2020. With the exception of the impacts of COVID-19, which are discussed elsewhere in this Report, there have been no material changes in our reported market risks or risk management policies since the filing of our Annual Report on Form 10-K for the year ended September 30, 2020.</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18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This report includes the certifications of our Chief Executive Officer and Interim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Interim Chief Financial Officer, to allow timely decisions regarding required disclosures.</w:t>
      </w:r>
    </w:p>
    <w:p>
      <w:pPr>
        <w:spacing w:after="0" w:line="121"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Under the supervision and with the participation of our Chief Executive Officer and Interim Chief Financial Officer, our management evaluated the effectiveness of the design and operation of our disclosure controls and procedures as of December 31, 2020. Our principal executive officer and principal financial officer have concluded that as of December 31, 2020, our disclosure controls and procedures were effective to</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3"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2020 that have materially affected, or are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Chief Executive Officer and Interim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15" w:lineRule="exact"/>
        <w:rPr>
          <w:sz w:val="20"/>
          <w:szCs w:val="20"/>
          <w:color w:val="auto"/>
        </w:rPr>
      </w:pPr>
    </w:p>
    <w:p>
      <w:pPr>
        <w:ind w:right="3480" w:firstLine="3627"/>
        <w:spacing w:after="0" w:line="388"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rPr>
          <w:sz w:val="20"/>
          <w:szCs w:val="20"/>
          <w:color w:val="auto"/>
        </w:rPr>
      </w:pPr>
      <w:r>
        <w:rPr>
          <w:rFonts w:ascii="Arial" w:cs="Arial" w:eastAsia="Arial" w:hAnsi="Arial"/>
          <w:sz w:val="18"/>
          <w:szCs w:val="18"/>
          <w:color w:val="auto"/>
        </w:rPr>
        <w:t>See Note 11 of Notes to Interim Condensed Consolidated Financial Statements included in "Part I, Item 1 — Financial Statements."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183" w:lineRule="exact"/>
        <w:rPr>
          <w:sz w:val="20"/>
          <w:szCs w:val="20"/>
          <w:color w:val="auto"/>
        </w:rPr>
      </w:pPr>
    </w:p>
    <w:p>
      <w:pPr>
        <w:spacing w:after="0" w:line="323" w:lineRule="auto"/>
        <w:rPr>
          <w:rFonts w:ascii="Arial" w:cs="Arial" w:eastAsia="Arial" w:hAnsi="Arial"/>
          <w:sz w:val="17"/>
          <w:szCs w:val="17"/>
          <w:color w:val="auto"/>
        </w:rPr>
      </w:pPr>
      <w:r>
        <w:rPr>
          <w:rFonts w:ascii="Arial" w:cs="Arial" w:eastAsia="Arial" w:hAnsi="Arial"/>
          <w:sz w:val="17"/>
          <w:szCs w:val="17"/>
          <w:color w:val="auto"/>
        </w:rPr>
        <w:t xml:space="preserve">Important risk factors that could affect our operations and financial performance, or that could cause results or events to differ from current expectations, are described in </w:t>
      </w:r>
      <w:hyperlink r:id="rId20">
        <w:r>
          <w:rPr>
            <w:rFonts w:ascii="Arial" w:cs="Arial" w:eastAsia="Arial" w:hAnsi="Arial"/>
            <w:sz w:val="17"/>
            <w:szCs w:val="17"/>
            <w:color w:val="auto"/>
          </w:rPr>
          <w:t xml:space="preserve">"Part I, Item 1A — Risk Factors" of our Annual Report on Form 10-K for the year ended September 30, </w:t>
        </w:r>
      </w:hyperlink>
      <w:r>
        <w:rPr>
          <w:rFonts w:ascii="Arial" w:cs="Arial" w:eastAsia="Arial" w:hAnsi="Arial"/>
          <w:sz w:val="17"/>
          <w:szCs w:val="17"/>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52"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2726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471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32">
        <w:r>
          <w:rPr>
            <w:rFonts w:ascii="Arial" w:cs="Arial" w:eastAsia="Arial" w:hAnsi="Arial"/>
            <w:sz w:val="16"/>
            <w:szCs w:val="16"/>
            <w:u w:val="single" w:color="auto"/>
            <w:color w:val="0000FF"/>
          </w:rPr>
          <w:t>Certification of Principal Executive Officer, pursuant to Rule 13a-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14(a) under the Securities Exchange Act of 1934</w:t>
        </w:r>
      </w:hyperlink>
    </w:p>
    <w:p>
      <w:pPr>
        <w:spacing w:after="0" w:line="10"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33">
        <w:r>
          <w:rPr>
            <w:rFonts w:ascii="Arial" w:cs="Arial" w:eastAsia="Arial" w:hAnsi="Arial"/>
            <w:sz w:val="16"/>
            <w:szCs w:val="16"/>
            <w:u w:val="single" w:color="auto"/>
            <w:color w:val="0000FF"/>
          </w:rPr>
          <w:t>Certification of Principal Financial Officer, pursuant to Rule 13a-14(a)</w:t>
        </w:r>
      </w:hyperlink>
    </w:p>
    <w:p>
      <w:pPr>
        <w:ind w:left="800"/>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under the Securities Exchange Act of 1934</w:t>
        </w:r>
      </w:hyperlink>
    </w:p>
    <w:p>
      <w:pPr>
        <w:spacing w:after="0" w:line="10" w:lineRule="exact"/>
        <w:rPr>
          <w:sz w:val="20"/>
          <w:szCs w:val="20"/>
          <w:color w:val="auto"/>
        </w:rPr>
      </w:pPr>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34">
        <w:r>
          <w:rPr>
            <w:rFonts w:ascii="Arial" w:cs="Arial" w:eastAsia="Arial" w:hAnsi="Arial"/>
            <w:sz w:val="16"/>
            <w:szCs w:val="16"/>
            <w:u w:val="single" w:color="auto"/>
            <w:color w:val="0000FF"/>
          </w:rPr>
          <w:t>Certifications of Principal Executive Officer, pursuant to 18 U.S.C.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0"/>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Section 1350</w:t>
        </w:r>
      </w:hyperlink>
    </w:p>
    <w:p>
      <w:pPr>
        <w:spacing w:after="0" w:line="10" w:lineRule="exact"/>
        <w:rPr>
          <w:sz w:val="20"/>
          <w:szCs w:val="20"/>
          <w:color w:val="auto"/>
        </w:rPr>
      </w:pPr>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32.2†</w:t>
      </w:r>
      <w:r>
        <w:rPr>
          <w:sz w:val="20"/>
          <w:szCs w:val="20"/>
          <w:color w:val="auto"/>
        </w:rPr>
        <w:tab/>
      </w:r>
      <w:hyperlink w:anchor="page35">
        <w:r>
          <w:rPr>
            <w:rFonts w:ascii="Arial" w:cs="Arial" w:eastAsia="Arial" w:hAnsi="Arial"/>
            <w:sz w:val="16"/>
            <w:szCs w:val="16"/>
            <w:u w:val="single" w:color="auto"/>
            <w:color w:val="0000FF"/>
          </w:rPr>
          <w:t>Certifications of Principal Financial Officer, pursuant to 18 U.S.C.</w:t>
        </w:r>
      </w:hyperlink>
    </w:p>
    <w:p>
      <w:pPr>
        <w:ind w:left="800"/>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Section 1350</w:t>
        </w:r>
      </w:hyperlink>
    </w:p>
    <w:p>
      <w:pPr>
        <w:spacing w:after="0" w:line="15" w:lineRule="exact"/>
        <w:rPr>
          <w:sz w:val="20"/>
          <w:szCs w:val="20"/>
          <w:color w:val="auto"/>
        </w:rPr>
      </w:pPr>
    </w:p>
    <w:p>
      <w:pPr>
        <w:ind w:left="800" w:right="4280" w:hanging="694"/>
        <w:spacing w:after="0" w:line="234"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32" w:lineRule="exact"/>
        <w:rPr>
          <w:sz w:val="20"/>
          <w:szCs w:val="20"/>
          <w:color w:val="auto"/>
        </w:rPr>
      </w:pPr>
    </w:p>
    <w:p>
      <w:pPr>
        <w:ind w:left="800" w:right="4080" w:hanging="542"/>
        <w:spacing w:after="0" w:line="253"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Filed</w:t>
      </w:r>
    </w:p>
    <w:p>
      <w:pPr>
        <w:jc w:val="center"/>
        <w:ind w:right="80"/>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487" w:lineRule="exact"/>
        <w:rPr>
          <w:sz w:val="20"/>
          <w:szCs w:val="20"/>
          <w:color w:val="auto"/>
        </w:rPr>
      </w:pPr>
    </w:p>
    <w:p>
      <w:pPr>
        <w:sectPr>
          <w:pgSz w:w="11900" w:h="16838" w:orient="portrait"/>
          <w:cols w:equalWidth="0" w:num="2">
            <w:col w:w="9760" w:space="680"/>
            <w:col w:w="760"/>
          </w:cols>
          <w:pgMar w:left="320" w:top="126"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9" w:lineRule="exact"/>
        <w:rPr>
          <w:sz w:val="20"/>
          <w:szCs w:val="20"/>
          <w:color w:val="auto"/>
        </w:rPr>
      </w:pPr>
    </w:p>
    <w:p>
      <w:pPr>
        <w:ind w:left="800" w:hanging="774"/>
        <w:spacing w:after="0" w:line="229"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February 3, 2021</w:t>
      </w:r>
      <w:r>
        <w:rPr>
          <w:sz w:val="20"/>
          <w:szCs w:val="20"/>
          <w:color w:val="auto"/>
        </w:rPr>
        <w:tab/>
      </w:r>
      <w:r>
        <w:rPr>
          <w:rFonts w:ascii="Arial" w:cs="Arial" w:eastAsia="Arial" w:hAnsi="Arial"/>
          <w:sz w:val="17"/>
          <w:szCs w:val="17"/>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20320</wp:posOffset>
            </wp:positionV>
            <wp:extent cx="33343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Jason A. Kulas,</w:t>
      </w:r>
    </w:p>
    <w:p>
      <w:pPr>
        <w:ind w:left="5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126" w:right="4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Jason A. Kulas, Chief Executive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A. Kulas, certify that:</w:t>
      </w:r>
    </w:p>
    <w:p>
      <w:pPr>
        <w:spacing w:after="0" w:line="6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18415</wp:posOffset>
            </wp:positionV>
            <wp:extent cx="3600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Jason A. Kulas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258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Jason A. Kulas, Chief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undersigned officer of EZCORP, Inc. hereby certifies that (a) EZCORP’s Quarterly Report on Form 10-Q for the quarter ended December 31, 2020,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Jason A. Kulas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Timothy K. Jugmans,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undersigned officer of EZCORP, Inc. hereby certifies that (a) EZCORP’s Quarterly Report on Form 10-Q for the quarter ended December 31, 2020,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20" Type="http://schemas.openxmlformats.org/officeDocument/2006/relationships/hyperlink" Target="http://www.sec.gov/ix?doc=/Archives/edgar/data/876523/000087652320000059/ezpw-2020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2021-02-03T15:23:28Z</dcterms:created>
  <dcterms:modified xsi:type="dcterms:W3CDTF">2021-02-03T15:23:28Z</dcterms:modified>
</cp:coreProperties>
</file>