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April 7, 2016</w:t>
      </w:r>
    </w:p>
    <w:p>
      <w:pPr>
        <w:spacing w:after="0" w:line="12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EZCORP,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368"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5060" w:type="dxa"/>
            <w:vAlign w:val="bottom"/>
          </w:tcPr>
          <w:p>
            <w:pPr>
              <w:jc w:val="center"/>
              <w:ind w:right="1539"/>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right"/>
              <w:ind w:right="49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5060" w:type="dxa"/>
            <w:vAlign w:val="bottom"/>
          </w:tcPr>
          <w:p>
            <w:pPr>
              <w:jc w:val="center"/>
              <w:ind w:right="15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40" w:type="dxa"/>
            <w:vAlign w:val="bottom"/>
          </w:tcPr>
          <w:p>
            <w:pPr>
              <w:jc w:val="center"/>
              <w:ind w:left="1519"/>
              <w:spacing w:after="0"/>
              <w:rPr>
                <w:sz w:val="20"/>
                <w:szCs w:val="20"/>
                <w:color w:val="auto"/>
              </w:rPr>
            </w:pPr>
            <w:r>
              <w:rPr>
                <w:rFonts w:ascii="Arial" w:cs="Arial" w:eastAsia="Arial" w:hAnsi="Arial"/>
                <w:sz w:val="14"/>
                <w:szCs w:val="14"/>
                <w:color w:val="auto"/>
                <w:w w:val="96"/>
              </w:rPr>
              <w:t>(I.R.S. Employer identification no.)</w:t>
            </w:r>
          </w:p>
        </w:tc>
      </w:tr>
      <w:tr>
        <w:trPr>
          <w:trHeight w:val="606"/>
        </w:trPr>
        <w:tc>
          <w:tcPr>
            <w:tcW w:w="5060" w:type="dxa"/>
            <w:vAlign w:val="bottom"/>
          </w:tcPr>
          <w:p>
            <w:pPr>
              <w:jc w:val="center"/>
              <w:ind w:right="1499"/>
              <w:spacing w:after="0"/>
              <w:rPr>
                <w:sz w:val="20"/>
                <w:szCs w:val="20"/>
                <w:color w:val="auto"/>
              </w:rPr>
            </w:pPr>
            <w:r>
              <w:rPr>
                <w:rFonts w:ascii="Arial" w:cs="Arial" w:eastAsia="Arial" w:hAnsi="Arial"/>
                <w:sz w:val="18"/>
                <w:szCs w:val="18"/>
                <w:b w:val="1"/>
                <w:bCs w:val="1"/>
                <w:color w:val="auto"/>
                <w:w w:val="88"/>
              </w:rPr>
              <w:t>2500 Bee Cave Road, Rollingwood, Texas</w:t>
            </w:r>
          </w:p>
        </w:tc>
        <w:tc>
          <w:tcPr>
            <w:tcW w:w="3640" w:type="dxa"/>
            <w:vAlign w:val="bottom"/>
          </w:tcPr>
          <w:p>
            <w:pPr>
              <w:jc w:val="right"/>
              <w:ind w:right="679"/>
              <w:spacing w:after="0"/>
              <w:rPr>
                <w:sz w:val="20"/>
                <w:szCs w:val="20"/>
                <w:color w:val="auto"/>
              </w:rPr>
            </w:pPr>
            <w:r>
              <w:rPr>
                <w:rFonts w:ascii="Arial" w:cs="Arial" w:eastAsia="Arial" w:hAnsi="Arial"/>
                <w:sz w:val="18"/>
                <w:szCs w:val="18"/>
                <w:b w:val="1"/>
                <w:bCs w:val="1"/>
                <w:color w:val="auto"/>
              </w:rPr>
              <w:t>78746</w:t>
            </w:r>
          </w:p>
        </w:tc>
      </w:tr>
      <w:tr>
        <w:trPr>
          <w:trHeight w:val="218"/>
        </w:trPr>
        <w:tc>
          <w:tcPr>
            <w:tcW w:w="5060" w:type="dxa"/>
            <w:vAlign w:val="bottom"/>
          </w:tcPr>
          <w:p>
            <w:pPr>
              <w:jc w:val="center"/>
              <w:ind w:right="1479"/>
              <w:spacing w:after="0"/>
              <w:rPr>
                <w:sz w:val="20"/>
                <w:szCs w:val="20"/>
                <w:color w:val="auto"/>
              </w:rPr>
            </w:pPr>
            <w:r>
              <w:rPr>
                <w:rFonts w:ascii="Arial" w:cs="Arial" w:eastAsia="Arial" w:hAnsi="Arial"/>
                <w:sz w:val="14"/>
                <w:szCs w:val="14"/>
                <w:color w:val="auto"/>
                <w:w w:val="95"/>
              </w:rPr>
              <w:t>(Address of principal executive offices)</w:t>
            </w:r>
          </w:p>
        </w:tc>
        <w:tc>
          <w:tcPr>
            <w:tcW w:w="3640" w:type="dxa"/>
            <w:vAlign w:val="bottom"/>
          </w:tcPr>
          <w:p>
            <w:pPr>
              <w:jc w:val="center"/>
              <w:ind w:left="1579"/>
              <w:spacing w:after="0"/>
              <w:rPr>
                <w:sz w:val="20"/>
                <w:szCs w:val="20"/>
                <w:color w:val="auto"/>
              </w:rPr>
            </w:pPr>
            <w:r>
              <w:rPr>
                <w:rFonts w:ascii="Arial" w:cs="Arial" w:eastAsia="Arial" w:hAnsi="Arial"/>
                <w:sz w:val="14"/>
                <w:szCs w:val="14"/>
                <w:color w:val="auto"/>
                <w:w w:val="98"/>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EZCORP, INC. 2010 LONG-TERM INCENTIVE PLAN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2500 Bee Cave Road, Building One, Suite 200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Rollingwood, Texas 78746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(512) 314-3400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1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2600" w:type="dxa"/>
            <w:vAlign w:val="bottom"/>
          </w:tcPr>
          <w:p>
            <w:pPr>
              <w:ind w:left="640"/>
              <w:spacing w:after="0"/>
              <w:rPr>
                <w:sz w:val="20"/>
                <w:szCs w:val="20"/>
                <w:color w:val="auto"/>
              </w:rPr>
            </w:pPr>
            <w:r>
              <w:rPr>
                <w:rFonts w:ascii="Arial" w:cs="Arial" w:eastAsia="Arial" w:hAnsi="Arial"/>
                <w:sz w:val="16"/>
                <w:szCs w:val="16"/>
                <w:color w:val="auto"/>
              </w:rPr>
              <w:t>Large accelerated filer o</w:t>
            </w:r>
          </w:p>
        </w:tc>
        <w:tc>
          <w:tcPr>
            <w:tcW w:w="1880" w:type="dxa"/>
            <w:vAlign w:val="bottom"/>
          </w:tcPr>
          <w:p>
            <w:pPr>
              <w:ind w:left="4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Non-accelerated filer o</w:t>
            </w:r>
          </w:p>
        </w:tc>
        <w:tc>
          <w:tcPr>
            <w:tcW w:w="3320" w:type="dxa"/>
            <w:vAlign w:val="bottom"/>
            <w:gridSpan w:val="2"/>
          </w:tcPr>
          <w:p>
            <w:pPr>
              <w:ind w:left="880"/>
              <w:spacing w:after="0"/>
              <w:rPr>
                <w:sz w:val="20"/>
                <w:szCs w:val="20"/>
                <w:color w:val="auto"/>
              </w:rPr>
            </w:pPr>
            <w:r>
              <w:rPr>
                <w:rFonts w:ascii="Arial" w:cs="Arial" w:eastAsia="Arial" w:hAnsi="Arial"/>
                <w:sz w:val="16"/>
                <w:szCs w:val="16"/>
                <w:color w:val="auto"/>
              </w:rPr>
              <w:t>Smaller reporting company o</w:t>
            </w:r>
          </w:p>
        </w:tc>
        <w:tc>
          <w:tcPr>
            <w:tcW w:w="0" w:type="dxa"/>
            <w:vAlign w:val="bottom"/>
          </w:tcPr>
          <w:p>
            <w:pPr>
              <w:spacing w:after="0"/>
              <w:rPr>
                <w:sz w:val="1"/>
                <w:szCs w:val="1"/>
                <w:color w:val="auto"/>
              </w:rPr>
            </w:pPr>
          </w:p>
        </w:tc>
      </w:tr>
      <w:tr>
        <w:trPr>
          <w:trHeight w:val="239"/>
        </w:trPr>
        <w:tc>
          <w:tcPr>
            <w:tcW w:w="2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(Do not check if a smaller reporting company)</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00" w:type="dxa"/>
            <w:vAlign w:val="bottom"/>
          </w:tcPr>
          <w:p>
            <w:pPr>
              <w:spacing w:after="0"/>
              <w:rPr>
                <w:sz w:val="24"/>
                <w:szCs w:val="24"/>
                <w:color w:val="auto"/>
              </w:rPr>
            </w:pPr>
          </w:p>
        </w:tc>
        <w:tc>
          <w:tcPr>
            <w:tcW w:w="5520" w:type="dxa"/>
            <w:vAlign w:val="bottom"/>
            <w:gridSpan w:val="4"/>
          </w:tcPr>
          <w:p>
            <w:pPr>
              <w:ind w:left="1560"/>
              <w:spacing w:after="0"/>
              <w:rPr>
                <w:sz w:val="20"/>
                <w:szCs w:val="20"/>
                <w:color w:val="auto"/>
              </w:rPr>
            </w:pPr>
            <w:r>
              <w:rPr>
                <w:rFonts w:ascii="Arial" w:cs="Arial" w:eastAsia="Arial" w:hAnsi="Arial"/>
                <w:sz w:val="16"/>
                <w:szCs w:val="16"/>
                <w:b w:val="1"/>
                <w:bCs w:val="1"/>
                <w:color w:val="auto"/>
              </w:rPr>
              <w:t>CALCULATION OF REGISTRATION FEE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Title of securities to be registered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to be registered</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24"/>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149"/>
        </w:trPr>
        <w:tc>
          <w:tcPr>
            <w:tcW w:w="4480" w:type="dxa"/>
            <w:vAlign w:val="bottom"/>
            <w:tcBorders>
              <w:left w:val="single" w:sz="8" w:color="auto"/>
              <w:right w:val="single" w:sz="8" w:color="auto"/>
            </w:tcBorders>
            <w:gridSpan w:val="2"/>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 share</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aggregate offering price</w:t>
            </w:r>
          </w:p>
        </w:tc>
        <w:tc>
          <w:tcPr>
            <w:tcW w:w="1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left w:val="single" w:sz="8" w:color="auto"/>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Class A Non-Voting Common Stock,</w:t>
            </w:r>
          </w:p>
        </w:tc>
        <w:tc>
          <w:tcPr>
            <w:tcW w:w="1840" w:type="dxa"/>
            <w:vAlign w:val="bottom"/>
            <w:tcBorders>
              <w:right w:val="single" w:sz="8" w:color="auto"/>
            </w:tcBorders>
            <w:vMerge w:val="restart"/>
          </w:tcPr>
          <w:p>
            <w:pPr>
              <w:jc w:val="right"/>
              <w:ind w:right="481"/>
              <w:spacing w:after="0"/>
              <w:rPr>
                <w:sz w:val="20"/>
                <w:szCs w:val="20"/>
                <w:color w:val="auto"/>
              </w:rPr>
            </w:pPr>
            <w:r>
              <w:rPr>
                <w:rFonts w:ascii="Arial" w:cs="Arial" w:eastAsia="Arial" w:hAnsi="Arial"/>
                <w:sz w:val="16"/>
                <w:szCs w:val="16"/>
                <w:color w:val="auto"/>
              </w:rPr>
              <w:t>185,026 (2)</w:t>
            </w:r>
          </w:p>
        </w:tc>
        <w:tc>
          <w:tcPr>
            <w:tcW w:w="1720" w:type="dxa"/>
            <w:vAlign w:val="bottom"/>
            <w:tcBorders>
              <w:right w:val="single" w:sz="8" w:color="auto"/>
            </w:tcBorders>
            <w:vMerge w:val="restart"/>
          </w:tcPr>
          <w:p>
            <w:pPr>
              <w:jc w:val="right"/>
              <w:ind w:right="626"/>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9"/>
                <w:szCs w:val="19"/>
                <w:color w:val="auto"/>
              </w:rPr>
            </w:pPr>
          </w:p>
        </w:tc>
        <w:tc>
          <w:tcPr>
            <w:tcW w:w="1620" w:type="dxa"/>
            <w:vAlign w:val="bottom"/>
            <w:tcBorders>
              <w:right w:val="single" w:sz="8" w:color="auto"/>
            </w:tcBorders>
            <w:vMerge w:val="restart"/>
          </w:tcPr>
          <w:p>
            <w:pPr>
              <w:jc w:val="right"/>
              <w:ind w:right="484"/>
              <w:spacing w:after="0"/>
              <w:rPr>
                <w:sz w:val="20"/>
                <w:szCs w:val="20"/>
                <w:color w:val="auto"/>
              </w:rPr>
            </w:pPr>
            <w:r>
              <w:rPr>
                <w:rFonts w:ascii="Arial" w:cs="Arial" w:eastAsia="Arial" w:hAnsi="Arial"/>
                <w:sz w:val="16"/>
                <w:szCs w:val="16"/>
                <w:color w:val="auto"/>
              </w:rPr>
              <w:t>$551,377</w:t>
            </w:r>
          </w:p>
        </w:tc>
        <w:tc>
          <w:tcPr>
            <w:tcW w:w="1700" w:type="dxa"/>
            <w:vAlign w:val="bottom"/>
            <w:tcBorders>
              <w:right w:val="single" w:sz="8" w:color="auto"/>
            </w:tcBorders>
            <w:vMerge w:val="restart"/>
          </w:tcPr>
          <w:p>
            <w:pPr>
              <w:jc w:val="right"/>
              <w:ind w:right="663"/>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52"/>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89"/>
              </w:rPr>
              <w:t>par value, $0.01 per share</w:t>
            </w:r>
          </w:p>
        </w:tc>
        <w:tc>
          <w:tcPr>
            <w:tcW w:w="184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80" w:type="dxa"/>
            <w:vAlign w:val="bottom"/>
            <w:tcBorders>
              <w:left w:val="single" w:sz="8" w:color="auto"/>
              <w:right w:val="single" w:sz="8" w:color="auto"/>
            </w:tcBorders>
            <w:gridSpan w:val="2"/>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00" w:type="dxa"/>
            <w:vAlign w:val="bottom"/>
            <w:tcBorders>
              <w:left w:val="single" w:sz="8" w:color="auto"/>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500" w:right="220" w:hanging="492"/>
        <w:spacing w:after="0" w:line="312"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April 1, 2016.</w:t>
      </w:r>
    </w:p>
    <w:p>
      <w:pPr>
        <w:spacing w:after="0" w:line="83" w:lineRule="exact"/>
        <w:rPr>
          <w:rFonts w:ascii="Arial" w:cs="Arial" w:eastAsia="Arial" w:hAnsi="Arial"/>
          <w:sz w:val="13"/>
          <w:szCs w:val="13"/>
          <w:color w:val="auto"/>
        </w:rPr>
      </w:pPr>
    </w:p>
    <w:p>
      <w:pPr>
        <w:ind w:left="500" w:right="160" w:hanging="492"/>
        <w:spacing w:after="0" w:line="353" w:lineRule="auto"/>
        <w:tabs>
          <w:tab w:leader="none" w:pos="36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this Registration Statement shall be deemed to cover such additional shares of Class A Non-Voting Common Stock as may become issuable pursuant to the antidilution provisions of the EZCORP, Inc. 2010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139700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53975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34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17"/>
                <w:szCs w:val="17"/>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legal counsel</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legal counsel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Amended and Restated EZCORP, Inc. 2010 Long-Term Incentive Plan, effective March 21, 2016 (incorporated by</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reference to Exhibit 10.1 to the Company's Current Report on Form 8-K dated March 16, 2016 and filed March 22,</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2016, Commission File No. 0-19424)</w:t>
            </w:r>
          </w:p>
        </w:tc>
      </w:tr>
    </w:tbl>
    <w:p>
      <w:pPr>
        <w:sectPr>
          <w:pgSz w:w="11900" w:h="16838" w:orient="portrait"/>
          <w:cols w:equalWidth="0" w:num="1">
            <w:col w:w="11400"/>
          </w:cols>
          <w:pgMar w:left="240" w:top="58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Austin, State of Texas, on April 7, 2016.</w:t>
      </w:r>
    </w:p>
    <w:p>
      <w:pPr>
        <w:spacing w:after="0" w:line="12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I. Grimshaw,</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560" w:type="dxa"/>
            <w:vAlign w:val="bottom"/>
            <w:gridSpan w:val="2"/>
          </w:tcPr>
          <w:p>
            <w:pPr>
              <w:ind w:left="2580"/>
              <w:spacing w:after="0"/>
              <w:rPr>
                <w:sz w:val="20"/>
                <w:szCs w:val="20"/>
                <w:color w:val="auto"/>
              </w:rPr>
            </w:pPr>
            <w:r>
              <w:rPr>
                <w:rFonts w:ascii="Arial" w:cs="Arial" w:eastAsia="Arial" w:hAnsi="Arial"/>
                <w:sz w:val="14"/>
                <w:szCs w:val="14"/>
                <w:b w:val="1"/>
                <w:bCs w:val="1"/>
                <w:color w:val="auto"/>
              </w:rPr>
              <w:t>Title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74"/>
        </w:trPr>
        <w:tc>
          <w:tcPr>
            <w:tcW w:w="36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Stuart I. Grimshaw</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Mark Ashby</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Mark S. Ashby</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3640" w:type="dxa"/>
            <w:vAlign w:val="bottom"/>
          </w:tcPr>
          <w:p>
            <w:pPr>
              <w:jc w:val="center"/>
              <w:spacing w:after="0"/>
              <w:rPr>
                <w:sz w:val="20"/>
                <w:szCs w:val="20"/>
                <w:color w:val="auto"/>
              </w:rPr>
            </w:pPr>
            <w:r>
              <w:rPr>
                <w:rFonts w:ascii="Arial" w:cs="Arial" w:eastAsia="Arial" w:hAnsi="Arial"/>
                <w:sz w:val="18"/>
                <w:szCs w:val="18"/>
                <w:color w:val="auto"/>
                <w:w w:val="95"/>
              </w:rPr>
              <w:t>/s/ David McGuire</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4"/>
              </w:rPr>
              <w:t>David McGuire</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Lachlan P. Given</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Matthew W. Appel</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Santiago Creel Miranda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Peter Cumins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Pablo Lagos Espinosa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Thomas C. Roberts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Joseph L. Rotunda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President, North American Pawn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April 7,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24"/>
                <w:szCs w:val="24"/>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legal counsel</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legal counsel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Amended and Restated EZCORP, Inc. 2010 Long-Term Incentive Plan, effective March 21, 2016 (incorporated by</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reference to Exhibit 10.1 to the Company's Current Report on Form 8-K dated March 16, 2016 and filed March 22,</w:t>
            </w:r>
          </w:p>
        </w:tc>
      </w:tr>
    </w:tbl>
    <w:p>
      <w:pPr>
        <w:ind w:left="2100"/>
        <w:spacing w:after="0"/>
        <w:rPr>
          <w:sz w:val="20"/>
          <w:szCs w:val="20"/>
          <w:color w:val="auto"/>
        </w:rPr>
      </w:pPr>
      <w:r>
        <w:rPr>
          <w:rFonts w:ascii="Arial" w:cs="Arial" w:eastAsia="Arial" w:hAnsi="Arial"/>
          <w:sz w:val="18"/>
          <w:szCs w:val="18"/>
          <w:color w:val="auto"/>
        </w:rPr>
        <w:t>2016, Commission File No. 0-19424)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520"/>
          </w:cols>
          <w:pgMar w:left="660" w:top="580" w:right="719" w:bottom="1440" w:gutter="0" w:footer="0" w:header="0"/>
        </w:sectPr>
      </w:pPr>
    </w:p>
    <w:bookmarkStart w:id="4" w:name="page5"/>
    <w:bookmarkEnd w:id="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2627630</wp:posOffset>
            </wp:positionH>
            <wp:positionV relativeFrom="page">
              <wp:posOffset>380365</wp:posOffset>
            </wp:positionV>
            <wp:extent cx="230695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06955" cy="3943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April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 78746</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Senior Vice President, General Counsel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an additional 185,026 shares of the Company's Class A Non-Voting Common Stock, par value $.01 per share (the “Shares”), that may be issued from time to time pursuant to awards granted under the EZCORP 2010 Long-Term Incentive Plan (the “Plan”).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reaching the opinion set forth herein, I have examined such agreements, certificates of public officials and officers of the Company, records, documents and matters of law as I deemed relevant.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opinion expressed above is limited to the laws of the State of Texas, the Delaware General Corporation Law and the federal laws of the United States of America. I am not admitted to the practice of law in the State of Delaware.</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3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420"/>
          </w:cols>
          <w:pgMar w:left="240" w:top="101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hereby consent to the incorporation by reference in this Registration Statement of our reports dated December 23, 2015, relating to the consolidated financial statements, and the effectiveness of EZCORP, Inc.'s internal control over financial reporting appearing in the Company's Annual Report on Form 10-K for the year ended September 30, 2015. Our report on the effectiveness of internal control over financial reporting expressed an adverse opinion on the effectiveness of the Company's internal control over financial reporting as of September 30, 2015.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relating to the consolidated financial statements of EZCORP, Inc. and subsidiaries dated November 26, 2014, November 9, 2015 as to the effects of the restatement discussed in Note 25; December 23, 2015 as to Notes 2 and 19 (which report expresses an unqualified opinion and includes an explanatory paragraph related to the restatement of the 2014 and 2013 consolidated financial statements) appearing in the Annual Report on Form 10-K of EZCORP, Inc. for the year ended September 30,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2020-01-20T00:47:44Z</dcterms:created>
  <dcterms:modified xsi:type="dcterms:W3CDTF">2020-01-20T00:47:44Z</dcterms:modified>
</cp:coreProperties>
</file>