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305217d8k.htm"/>
      <w:bookmarkStart w:id="1" w:name="ksd305217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February 17,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0-19424</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74-2540145</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240" w:hRule="atLeast"/>
        </w:trPr>
        <w:tc>
          <w:tcPr>
            <w:tcW w:w="6837" w:type="dxa"/>
            <w:gridSpan w:val="3"/>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6837" w:type="dxa"/>
            <w:gridSpan w:val="3"/>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1901 Capital Parkway, Austin, Texas</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78746</w:t>
            </w:r>
          </w:p>
        </w:tc>
      </w:tr>
      <w:tr>
        <w:trPr/>
        <w:tc>
          <w:tcPr>
            <w:tcW w:w="6837" w:type="dxa"/>
            <w:gridSpan w:val="3"/>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(512) 314-3400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Item 5.07  Submission of Matters to a Vote of Security Holders </w:t>
      </w:r>
    </w:p>
    <w:p>
      <w:pPr>
        <w:pStyle w:val="TextBody"/>
        <w:spacing w:before="90" w:after="0"/>
        <w:rPr>
          <w:rFonts w:ascii="Times New Roman" w:hAnsi="Times New Roman"/>
          <w:sz w:val="20"/>
        </w:rPr>
      </w:pPr>
      <w:r>
        <w:rPr>
          <w:rFonts w:ascii="Times New Roman" w:hAnsi="Times New Roman"/>
          <w:sz w:val="20"/>
        </w:rPr>
        <w:t xml:space="preserve">On February 17, 2012, the sole holder of the companys Class B Voting Common Stock re-elected the following persons to serve on the companys Board of Directors: Joseph J. Beal, Sterling B. Brinkley, Pablo Lagos Espinosa, John Farrell, William C. Love, Thomas C. Roberts and Paul E. Rothamel. Each of such persons was previously serving on the Board of Directors, and as a result of his re-election, each shall serve an additional one-year term until the next annual meeting of stockholders (or, if earlier, until his death, removal or resignation). </w:t>
      </w:r>
    </w:p>
    <w:p>
      <w:pPr>
        <w:pStyle w:val="TextBody"/>
        <w:spacing w:before="180" w:after="0"/>
        <w:rPr>
          <w:rFonts w:ascii="Times New Roman" w:hAnsi="Times New Roman"/>
          <w:sz w:val="20"/>
        </w:rPr>
      </w:pPr>
      <w:r>
        <w:rPr>
          <w:rFonts w:ascii="Times New Roman" w:hAnsi="Times New Roman"/>
          <w:sz w:val="20"/>
        </w:rPr>
        <w:t xml:space="preserve">On February 17, 2012, there were 2,970,171 shares of the companys Class B Voting Common Stock outstanding, all of which are held by MS Pawn Limited Partnership. </w:t>
      </w:r>
    </w:p>
    <w:p>
      <w:pPr>
        <w:pStyle w:val="TextBody"/>
        <w:spacing w:before="270" w:after="0"/>
        <w:rPr>
          <w:rFonts w:ascii="Times New Roman" w:hAnsi="Times New Roman"/>
          <w:b/>
          <w:sz w:val="20"/>
        </w:rPr>
      </w:pPr>
      <w:r>
        <w:rPr>
          <w:rFonts w:ascii="Times New Roman" w:hAnsi="Times New Roman"/>
          <w:b/>
          <w:sz w:val="20"/>
        </w:rPr>
        <w:t xml:space="preserve">Item 7.01  Regulation FD Disclosure </w:t>
      </w:r>
    </w:p>
    <w:p>
      <w:pPr>
        <w:pStyle w:val="TextBody"/>
        <w:spacing w:before="90" w:after="0"/>
        <w:rPr>
          <w:rFonts w:ascii="Times New Roman" w:hAnsi="Times New Roman"/>
          <w:sz w:val="20"/>
        </w:rPr>
      </w:pPr>
      <w:r>
        <w:rPr>
          <w:rFonts w:ascii="Times New Roman" w:hAnsi="Times New Roman"/>
          <w:sz w:val="20"/>
        </w:rPr>
        <w:t xml:space="preserve">On February 17, 2012, the company held its Annual Meeting of Stockholders. The companys publicly-traded Class A Non-Voting Common Stock is not entitled to vote on any matters, and thus, no proposals or other matters were presented for voting at the meeting. Management did, however, review the companys financial and operating results and discussed plans and initiatives for the future. A copy of the presentation materials is posted in the Investor Relations section of the companys website at www.ezcorp.com. </w:t>
      </w:r>
    </w:p>
    <w:p>
      <w:pPr>
        <w:pStyle w:val="TextBody"/>
        <w:spacing w:before="180" w:after="0"/>
        <w:rPr>
          <w:rFonts w:ascii="Times New Roman" w:hAnsi="Times New Roman"/>
          <w:sz w:val="20"/>
        </w:rPr>
      </w:pPr>
      <w:r>
        <w:rPr>
          <w:rFonts w:ascii="Times New Roman" w:hAnsi="Times New Roman"/>
          <w:sz w:val="20"/>
        </w:rPr>
        <w:t xml:space="preserve">The information set forth, or referred to, in this Item 7.01 shall not be deemed to be incorporated by reference into any registration statement or other document pursuant to the Securities Act of 1933, as amended, unless such subsequent filing specifically references this Item 7.01 of this Current Report on Form 8-K.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534"/>
        <w:gridCol w:w="112"/>
        <w:gridCol w:w="389"/>
        <w:gridCol w:w="112"/>
        <w:gridCol w:w="267"/>
        <w:gridCol w:w="112"/>
        <w:gridCol w:w="4679"/>
      </w:tblGrid>
      <w:tr>
        <w:trPr/>
        <w:tc>
          <w:tcPr>
            <w:tcW w:w="453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4679" w:type="dxa"/>
            <w:tcBorders/>
            <w:shd w:fill="auto" w:val="clear"/>
            <w:vAlign w:val="center"/>
          </w:tcPr>
          <w:p>
            <w:pPr>
              <w:pStyle w:val="TableContents"/>
              <w:spacing w:before="0" w:after="283"/>
              <w:rPr>
                <w:sz w:val="4"/>
                <w:szCs w:val="4"/>
              </w:rPr>
            </w:pPr>
            <w:r>
              <w:rPr>
                <w:sz w:val="4"/>
                <w:szCs w:val="4"/>
              </w:rPr>
            </w:r>
          </w:p>
        </w:tc>
      </w:tr>
      <w:tr>
        <w:trPr/>
        <w:tc>
          <w:tcPr>
            <w:tcW w:w="4534"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8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505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EZCORP, INC.</w:t>
            </w:r>
          </w:p>
        </w:tc>
      </w:tr>
      <w:tr>
        <w:trPr>
          <w:trHeight w:val="240" w:hRule="atLeast"/>
        </w:trPr>
        <w:tc>
          <w:tcPr>
            <w:tcW w:w="4534"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379" w:type="dxa"/>
            <w:gridSpan w:val="2"/>
            <w:tcBorders/>
            <w:shd w:fill="auto" w:val="clear"/>
            <w:vAlign w:val="center"/>
          </w:tcPr>
          <w:p>
            <w:pPr>
              <w:pStyle w:val="TableContents"/>
              <w:spacing w:before="0" w:after="283"/>
              <w:rPr>
                <w:sz w:val="4"/>
                <w:szCs w:val="4"/>
              </w:rPr>
            </w:pPr>
            <w:r>
              <w:rPr>
                <w:sz w:val="4"/>
                <w:szCs w:val="4"/>
              </w:rPr>
            </w:r>
          </w:p>
        </w:tc>
        <w:tc>
          <w:tcPr>
            <w:tcW w:w="4791" w:type="dxa"/>
            <w:gridSpan w:val="2"/>
            <w:tcBorders/>
            <w:shd w:fill="auto" w:val="clear"/>
            <w:vAlign w:val="center"/>
          </w:tcPr>
          <w:p>
            <w:pPr>
              <w:pStyle w:val="TableContents"/>
              <w:spacing w:before="0" w:after="283"/>
              <w:rPr>
                <w:sz w:val="4"/>
                <w:szCs w:val="4"/>
              </w:rPr>
            </w:pPr>
            <w:r>
              <w:rPr>
                <w:sz w:val="4"/>
                <w:szCs w:val="4"/>
              </w:rPr>
            </w:r>
          </w:p>
        </w:tc>
      </w:tr>
      <w:tr>
        <w:trPr/>
        <w:tc>
          <w:tcPr>
            <w:tcW w:w="4534" w:type="dxa"/>
            <w:tcBorders/>
            <w:shd w:fill="auto" w:val="clear"/>
          </w:tcPr>
          <w:p>
            <w:pPr>
              <w:pStyle w:val="TableContents"/>
              <w:spacing w:before="0" w:after="283"/>
              <w:rPr>
                <w:rFonts w:ascii="Times New Roman" w:hAnsi="Times New Roman"/>
                <w:sz w:val="20"/>
              </w:rPr>
            </w:pPr>
            <w:r>
              <w:rPr>
                <w:rFonts w:ascii="Times New Roman" w:hAnsi="Times New Roman"/>
                <w:sz w:val="20"/>
              </w:rPr>
              <w:t>Date: February 21, 2012</w:t>
            </w:r>
          </w:p>
        </w:tc>
        <w:tc>
          <w:tcPr>
            <w:tcW w:w="112" w:type="dxa"/>
            <w:tcBorders/>
            <w:shd w:fill="auto" w:val="clear"/>
            <w:vAlign w:val="bottom"/>
          </w:tcPr>
          <w:p>
            <w:pPr>
              <w:pStyle w:val="TableContents"/>
              <w:spacing w:before="0" w:after="283"/>
              <w:rPr/>
            </w:pPr>
            <w:r>
              <w:rPr/>
              <w:t> </w:t>
            </w:r>
          </w:p>
        </w:tc>
        <w:tc>
          <w:tcPr>
            <w:tcW w:w="38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2" w:type="dxa"/>
            <w:tcBorders/>
            <w:shd w:fill="auto" w:val="clear"/>
            <w:vAlign w:val="bottom"/>
          </w:tcPr>
          <w:p>
            <w:pPr>
              <w:pStyle w:val="TableContents"/>
              <w:spacing w:before="0" w:after="283"/>
              <w:rPr/>
            </w:pPr>
            <w:r>
              <w:rPr/>
              <w:t> </w:t>
            </w:r>
          </w:p>
        </w:tc>
        <w:tc>
          <w:tcPr>
            <w:tcW w:w="4679"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Thomas H. Welch, Jr.</w:t>
            </w:r>
          </w:p>
        </w:tc>
      </w:tr>
      <w:tr>
        <w:trPr/>
        <w:tc>
          <w:tcPr>
            <w:tcW w:w="4534"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8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7"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679" w:type="dxa"/>
            <w:tcBorders/>
            <w:shd w:fill="auto" w:val="clear"/>
          </w:tcPr>
          <w:p>
            <w:pPr>
              <w:pStyle w:val="TableContents"/>
              <w:spacing w:before="0" w:after="283"/>
              <w:rPr>
                <w:rFonts w:ascii="Times New Roman" w:hAnsi="Times New Roman"/>
                <w:sz w:val="20"/>
              </w:rPr>
            </w:pPr>
            <w:r>
              <w:rPr>
                <w:rFonts w:ascii="Times New Roman" w:hAnsi="Times New Roman"/>
                <w:sz w:val="20"/>
              </w:rPr>
              <w:t>Thomas H. Welch, Jr.</w:t>
            </w:r>
          </w:p>
        </w:tc>
      </w:tr>
      <w:tr>
        <w:trPr/>
        <w:tc>
          <w:tcPr>
            <w:tcW w:w="4534"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7"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6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Senior Vice President,</w:t>
            </w:r>
          </w:p>
        </w:tc>
      </w:tr>
      <w:tr>
        <w:trPr/>
        <w:tc>
          <w:tcPr>
            <w:tcW w:w="4534"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7"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679" w:type="dxa"/>
            <w:tcBorders/>
            <w:shd w:fill="auto" w:val="clear"/>
            <w:vAlign w:val="bottom"/>
          </w:tcPr>
          <w:p>
            <w:pPr>
              <w:pStyle w:val="TableContents"/>
              <w:spacing w:before="0" w:after="283"/>
              <w:rPr/>
            </w:pPr>
            <w:r>
              <w:rPr/>
              <w:t>          </w:t>
            </w:r>
            <w:r>
              <w:rPr>
                <w:rFonts w:ascii="Times New Roman" w:hAnsi="Times New Roman"/>
                <w:sz w:val="20"/>
              </w:rPr>
              <w:t>General Counsel and Secretary</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502</Words>
  <CharactersWithSpaces>3166</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