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1066800</wp:posOffset>
            </wp:positionV>
            <wp:extent cx="2006600" cy="3517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35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May 11, 2017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U.S. 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Division of Corporate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100 F. Street, 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Attention - Scott Anderegg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S-3 (File No. 333-202626)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Request for Acceleration of Effectiveness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Ladies and Gentlemen: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Rule 461 promulgated under the Securities Act of 1933, we hereby request that the effective time of the above-reference Registration Statement be accelerated so that such Registration Statement will become effective at 9:00 a.m., Eastern time, on May 16, 2017, or as soon thereafter as practicable.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If you need additional information, please contact Robert L. Kimball of Vinson &amp; Elkins L.L.P. at (214) 220-7860.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Sincerely,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EZCORP,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30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31750</wp:posOffset>
            </wp:positionV>
            <wp:extent cx="34048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Thomas H. Welch, Jr.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General Counsel and Secretary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EZCORP, Inc.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2500 Bee Cave Road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Building One, Suite 200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Rollingwood, Texas 78746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(512) 314-3400</w:t>
      </w:r>
    </w:p>
    <w:sectPr>
      <w:pgSz w:w="11900" w:h="16838" w:orient="portrait"/>
      <w:cols w:equalWidth="0" w:num="1">
        <w:col w:w="11380"/>
      </w:cols>
      <w:pgMar w:left="240" w:top="1440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2020-01-17T08:31:45Z</dcterms:created>
  <dcterms:modified xsi:type="dcterms:W3CDTF">2020-01-17T08:31:45Z</dcterms:modified>
</cp:coreProperties>
</file>