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40" w:right="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-228600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4"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-570230</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19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-616585</wp:posOffset>
            </wp:positionV>
            <wp:extent cx="57785" cy="629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920"/>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-616585</wp:posOffset>
            </wp:positionV>
            <wp:extent cx="57785" cy="629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9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730250</wp:posOffset>
            </wp:positionV>
            <wp:extent cx="6995795" cy="54082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5408295"/>
                    </a:xfrm>
                    <a:prstGeom prst="rect">
                      <a:avLst/>
                    </a:prstGeom>
                    <a:noFill/>
                  </pic:spPr>
                </pic:pic>
              </a:graphicData>
            </a:graphic>
          </wp:anchor>
        </w:drawing>
      </w:r>
    </w:p>
    <w:p>
      <w:pPr>
        <w:spacing w:after="0" w:line="1203" w:lineRule="exact"/>
        <w:rPr>
          <w:sz w:val="24"/>
          <w:szCs w:val="24"/>
          <w:color w:val="auto"/>
        </w:rPr>
      </w:pPr>
    </w:p>
    <w:p>
      <w:pPr>
        <w:sectPr>
          <w:pgSz w:w="11900" w:h="16838" w:orient="portrait"/>
          <w:cols w:equalWidth="0" w:num="2">
            <w:col w:w="2280" w:space="340"/>
            <w:col w:w="8460"/>
          </w:cols>
          <w:pgMar w:left="460" w:top="216" w:right="359" w:bottom="1440" w:gutter="0" w:footer="0" w:header="0"/>
        </w:sectPr>
      </w:pPr>
    </w:p>
    <w:p>
      <w:pPr>
        <w:spacing w:after="0" w:line="1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Jugmans Timothy</w:t>
        </w:r>
      </w:hyperlink>
    </w:p>
    <w:p>
      <w:pPr>
        <w:spacing w:after="0" w:line="29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2500 BEE CAVE RD, BLDG. 1, SUITE 200</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EZCORP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EZPW</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11/19/2025</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2" w:right="660" w:firstLine="2"/>
        <w:spacing w:after="0" w:line="251"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5" w:lineRule="exact"/>
        <w:rPr>
          <w:sz w:val="24"/>
          <w:szCs w:val="24"/>
          <w:color w:val="auto"/>
        </w:rPr>
      </w:pPr>
    </w:p>
    <w:p>
      <w:pPr>
        <w:ind w:left="518"/>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18"/>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818"/>
        <w:spacing w:after="0"/>
        <w:rPr>
          <w:sz w:val="20"/>
          <w:szCs w:val="20"/>
          <w:color w:val="auto"/>
        </w:rPr>
      </w:pPr>
      <w:r>
        <w:rPr>
          <w:rFonts w:ascii="Times New Roman" w:cs="Times New Roman" w:eastAsia="Times New Roman" w:hAnsi="Times New Roman"/>
          <w:sz w:val="16"/>
          <w:szCs w:val="16"/>
          <w:color w:val="0000FF"/>
        </w:rPr>
        <w:t>Chief Financial Officer</w:t>
      </w:r>
    </w:p>
    <w:p>
      <w:pPr>
        <w:spacing w:after="0" w:line="313" w:lineRule="exact"/>
        <w:rPr>
          <w:sz w:val="24"/>
          <w:szCs w:val="24"/>
          <w:color w:val="auto"/>
        </w:rPr>
      </w:pPr>
    </w:p>
    <w:p>
      <w:pPr>
        <w:sectPr>
          <w:pgSz w:w="11900" w:h="16838" w:orient="portrait"/>
          <w:cols w:equalWidth="0" w:num="3">
            <w:col w:w="3200" w:space="720"/>
            <w:col w:w="3102" w:space="720"/>
            <w:col w:w="3338"/>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3740" w:type="dxa"/>
            <w:vAlign w:val="bottom"/>
            <w:gridSpan w:val="6"/>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580" w:type="dxa"/>
            <w:vAlign w:val="bottom"/>
            <w:gridSpan w:val="10"/>
            <w:vMerge w:val="restart"/>
          </w:tcPr>
          <w:p>
            <w:pPr>
              <w:ind w:left="2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740" w:type="dxa"/>
            <w:vAlign w:val="bottom"/>
            <w:gridSpan w:val="6"/>
            <w:vMerge w:val="continue"/>
          </w:tcPr>
          <w:p>
            <w:pPr>
              <w:spacing w:after="0"/>
              <w:rPr>
                <w:sz w:val="7"/>
                <w:szCs w:val="7"/>
                <w:color w:val="auto"/>
              </w:rPr>
            </w:pPr>
          </w:p>
        </w:tc>
        <w:tc>
          <w:tcPr>
            <w:tcW w:w="358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ROLLINGWOOD TX</w:t>
            </w:r>
          </w:p>
        </w:tc>
        <w:tc>
          <w:tcPr>
            <w:tcW w:w="108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78746</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60" w:type="dxa"/>
            <w:vAlign w:val="bottom"/>
            <w:gridSpan w:val="7"/>
          </w:tcPr>
          <w:p>
            <w:pPr>
              <w:ind w:left="160"/>
              <w:spacing w:after="0" w:line="133"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4260" w:type="dxa"/>
            <w:vAlign w:val="bottom"/>
            <w:tcBorders>
              <w:bottom w:val="single" w:sz="8" w:color="2C2C2C"/>
            </w:tcBorders>
            <w:gridSpan w:val="7"/>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3"/>
          </w:tcPr>
          <w:p>
            <w:pPr>
              <w:ind w:left="9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20" w:type="dxa"/>
            <w:vAlign w:val="bottom"/>
            <w:tcBorders>
              <w:bottom w:val="single" w:sz="8" w:color="2C2C2C"/>
            </w:tcBorders>
            <w:gridSpan w:val="3"/>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4"/>
          </w:tcPr>
          <w:p>
            <w:pPr>
              <w:jc w:val="center"/>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3"/>
          </w:tcPr>
          <w:p>
            <w:pPr>
              <w:jc w:val="center"/>
              <w:ind w:left="653"/>
              <w:spacing w:after="0"/>
              <w:rPr>
                <w:sz w:val="20"/>
                <w:szCs w:val="20"/>
                <w:color w:val="auto"/>
              </w:rPr>
            </w:pPr>
            <w:r>
              <w:rPr>
                <w:rFonts w:ascii="Arial" w:cs="Arial" w:eastAsia="Arial" w:hAnsi="Arial"/>
                <w:sz w:val="11"/>
                <w:szCs w:val="11"/>
                <w:b w:val="1"/>
                <w:bCs w:val="1"/>
                <w:color w:val="auto"/>
              </w:rPr>
              <w:t>(Month/Day/Year)</w:t>
            </w: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52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jc w:val="right"/>
              <w:ind w:right="2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jc w:val="center"/>
              <w:ind w:right="37"/>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4"/>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A Non-Voting Common Stock</w:t>
            </w:r>
          </w:p>
        </w:tc>
        <w:tc>
          <w:tcPr>
            <w:tcW w:w="1820" w:type="dxa"/>
            <w:vAlign w:val="bottom"/>
            <w:gridSpan w:val="3"/>
          </w:tcPr>
          <w:p>
            <w:pPr>
              <w:jc w:val="center"/>
              <w:ind w:left="653"/>
              <w:spacing w:after="0"/>
              <w:rPr>
                <w:sz w:val="20"/>
                <w:szCs w:val="20"/>
                <w:color w:val="auto"/>
              </w:rPr>
            </w:pPr>
            <w:r>
              <w:rPr>
                <w:rFonts w:ascii="Times New Roman" w:cs="Times New Roman" w:eastAsia="Times New Roman" w:hAnsi="Times New Roman"/>
                <w:sz w:val="16"/>
                <w:szCs w:val="16"/>
                <w:color w:val="0000FF"/>
              </w:rPr>
              <w:t>11/19/2025</w:t>
            </w:r>
          </w:p>
        </w:tc>
        <w:tc>
          <w:tcPr>
            <w:tcW w:w="5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88,195</w:t>
            </w:r>
          </w:p>
        </w:tc>
        <w:tc>
          <w:tcPr>
            <w:tcW w:w="66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17.82</w:t>
            </w:r>
          </w:p>
        </w:tc>
        <w:tc>
          <w:tcPr>
            <w:tcW w:w="126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0000FF"/>
              </w:rPr>
              <w:t>238,036</w:t>
            </w:r>
          </w:p>
        </w:tc>
        <w:tc>
          <w:tcPr>
            <w:tcW w:w="300" w:type="dxa"/>
            <w:vAlign w:val="bottom"/>
          </w:tcPr>
          <w:p>
            <w:pPr>
              <w:spacing w:after="0"/>
              <w:rPr>
                <w:sz w:val="22"/>
                <w:szCs w:val="22"/>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A Non-Voting Common Stock</w:t>
            </w:r>
          </w:p>
        </w:tc>
        <w:tc>
          <w:tcPr>
            <w:tcW w:w="1820" w:type="dxa"/>
            <w:vAlign w:val="bottom"/>
            <w:gridSpan w:val="3"/>
          </w:tcPr>
          <w:p>
            <w:pPr>
              <w:jc w:val="center"/>
              <w:ind w:left="653"/>
              <w:spacing w:after="0"/>
              <w:rPr>
                <w:sz w:val="20"/>
                <w:szCs w:val="20"/>
                <w:color w:val="auto"/>
              </w:rPr>
            </w:pPr>
            <w:r>
              <w:rPr>
                <w:rFonts w:ascii="Times New Roman" w:cs="Times New Roman" w:eastAsia="Times New Roman" w:hAnsi="Times New Roman"/>
                <w:sz w:val="16"/>
                <w:szCs w:val="16"/>
                <w:color w:val="0000FF"/>
              </w:rPr>
              <w:t>11/19/2025</w:t>
            </w:r>
          </w:p>
        </w:tc>
        <w:tc>
          <w:tcPr>
            <w:tcW w:w="5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35,201</w:t>
            </w:r>
          </w:p>
        </w:tc>
        <w:tc>
          <w:tcPr>
            <w:tcW w:w="66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w:t>
            </w: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17.82</w:t>
            </w:r>
          </w:p>
        </w:tc>
        <w:tc>
          <w:tcPr>
            <w:tcW w:w="126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0000FF"/>
              </w:rPr>
              <w:t>202,835</w:t>
            </w:r>
          </w:p>
        </w:tc>
        <w:tc>
          <w:tcPr>
            <w:tcW w:w="300" w:type="dxa"/>
            <w:vAlign w:val="bottom"/>
          </w:tcPr>
          <w:p>
            <w:pPr>
              <w:spacing w:after="0"/>
              <w:rPr>
                <w:sz w:val="22"/>
                <w:szCs w:val="22"/>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5500" w:type="dxa"/>
            <w:vAlign w:val="bottom"/>
            <w:tcBorders>
              <w:bottom w:val="single" w:sz="8" w:color="2C2C2C"/>
            </w:tcBorders>
            <w:gridSpan w:val="9"/>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2"/>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jc w:val="right"/>
              <w:ind w:right="2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160" w:type="dxa"/>
            <w:vAlign w:val="bottom"/>
          </w:tcPr>
          <w:p>
            <w:pPr>
              <w:ind w:left="60"/>
              <w:spacing w:after="0"/>
              <w:rPr>
                <w:sz w:val="20"/>
                <w:szCs w:val="20"/>
                <w:color w:val="auto"/>
              </w:rPr>
            </w:pPr>
            <w:r>
              <w:rPr>
                <w:rFonts w:ascii="Arial" w:cs="Arial" w:eastAsia="Arial" w:hAnsi="Arial"/>
                <w:sz w:val="11"/>
                <w:szCs w:val="11"/>
                <w:b w:val="1"/>
                <w:bCs w:val="1"/>
                <w:color w:val="auto"/>
                <w:w w:val="86"/>
              </w:rPr>
              <w:t>4.</w:t>
            </w:r>
          </w:p>
        </w:tc>
        <w:tc>
          <w:tcPr>
            <w:tcW w:w="580" w:type="dxa"/>
            <w:vAlign w:val="bottom"/>
          </w:tcPr>
          <w:p>
            <w:pPr>
              <w:spacing w:after="0"/>
              <w:rPr>
                <w:sz w:val="14"/>
                <w:szCs w:val="14"/>
                <w:color w:val="auto"/>
              </w:rPr>
            </w:pP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 Date</w:t>
            </w: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Disposed of</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(D) (Instr. 3, 4</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and 5)</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60" w:type="dxa"/>
            <w:vAlign w:val="bottom"/>
          </w:tcPr>
          <w:p>
            <w:pPr>
              <w:jc w:val="center"/>
              <w:ind w:right="17"/>
              <w:spacing w:after="0" w:line="140" w:lineRule="exact"/>
              <w:rPr>
                <w:sz w:val="20"/>
                <w:szCs w:val="20"/>
                <w:color w:val="auto"/>
              </w:rPr>
            </w:pPr>
            <w:r>
              <w:rPr>
                <w:rFonts w:ascii="Times New Roman" w:cs="Times New Roman" w:eastAsia="Times New Roman" w:hAnsi="Times New Roman"/>
                <w:sz w:val="13"/>
                <w:szCs w:val="13"/>
                <w:color w:val="0000FF"/>
                <w:w w:val="97"/>
              </w:rPr>
              <w:t>Non-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29,482</w:t>
            </w:r>
          </w:p>
        </w:tc>
        <w:tc>
          <w:tcPr>
            <w:tcW w:w="40" w:type="dxa"/>
            <w:vAlign w:val="bottom"/>
          </w:tcPr>
          <w:p>
            <w:pPr>
              <w:spacing w:after="0"/>
              <w:rPr>
                <w:sz w:val="12"/>
                <w:szCs w:val="12"/>
                <w:color w:val="auto"/>
              </w:rPr>
            </w:pPr>
          </w:p>
        </w:tc>
        <w:tc>
          <w:tcPr>
            <w:tcW w:w="700" w:type="dxa"/>
            <w:vAlign w:val="bottom"/>
            <w:gridSpan w:val="2"/>
            <w:vMerge w:val="restart"/>
          </w:tcPr>
          <w:p>
            <w:pPr>
              <w:jc w:val="center"/>
              <w:ind w:right="8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19.04</w:t>
            </w:r>
            <w:r>
              <w:rPr>
                <w:rFonts w:ascii="Times New Roman" w:cs="Times New Roman" w:eastAsia="Times New Roman" w:hAnsi="Times New Roman"/>
                <w:sz w:val="21"/>
                <w:szCs w:val="21"/>
                <w:color w:val="008000"/>
                <w:vertAlign w:val="superscript"/>
              </w:rPr>
              <w:t>(3)</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77"/>
              <w:spacing w:after="0" w:line="140" w:lineRule="exact"/>
              <w:rPr>
                <w:sz w:val="20"/>
                <w:szCs w:val="20"/>
                <w:color w:val="auto"/>
              </w:rPr>
            </w:pPr>
            <w:r>
              <w:rPr>
                <w:rFonts w:ascii="Times New Roman" w:cs="Times New Roman" w:eastAsia="Times New Roman" w:hAnsi="Times New Roman"/>
                <w:sz w:val="13"/>
                <w:szCs w:val="13"/>
                <w:color w:val="0000FF"/>
              </w:rPr>
              <w:t>11/19/2025</w:t>
            </w:r>
          </w:p>
        </w:tc>
        <w:tc>
          <w:tcPr>
            <w:tcW w:w="1080" w:type="dxa"/>
            <w:vAlign w:val="bottom"/>
          </w:tcPr>
          <w:p>
            <w:pPr>
              <w:spacing w:after="0"/>
              <w:rPr>
                <w:sz w:val="12"/>
                <w:szCs w:val="12"/>
                <w:color w:val="auto"/>
              </w:rPr>
            </w:pPr>
          </w:p>
        </w:tc>
        <w:tc>
          <w:tcPr>
            <w:tcW w:w="740" w:type="dxa"/>
            <w:vAlign w:val="bottom"/>
            <w:gridSpan w:val="2"/>
          </w:tcPr>
          <w:p>
            <w:pPr>
              <w:jc w:val="center"/>
              <w:ind w:right="277"/>
              <w:spacing w:after="0" w:line="140" w:lineRule="exact"/>
              <w:rPr>
                <w:sz w:val="20"/>
                <w:szCs w:val="20"/>
                <w:color w:val="auto"/>
              </w:rPr>
            </w:pPr>
            <w:r>
              <w:rPr>
                <w:rFonts w:ascii="Times New Roman" w:cs="Times New Roman" w:eastAsia="Times New Roman" w:hAnsi="Times New Roman"/>
                <w:sz w:val="13"/>
                <w:szCs w:val="13"/>
                <w:color w:val="0000FF"/>
                <w:w w:val="84"/>
              </w:rPr>
              <w:t>A</w:t>
            </w:r>
          </w:p>
        </w:tc>
        <w:tc>
          <w:tcPr>
            <w:tcW w:w="540" w:type="dxa"/>
            <w:vAlign w:val="bottom"/>
          </w:tcPr>
          <w:p>
            <w:pPr>
              <w:ind w:left="120"/>
              <w:spacing w:after="0" w:line="140" w:lineRule="exact"/>
              <w:rPr>
                <w:sz w:val="20"/>
                <w:szCs w:val="20"/>
                <w:color w:val="auto"/>
              </w:rPr>
            </w:pPr>
            <w:r>
              <w:rPr>
                <w:rFonts w:ascii="Times New Roman" w:cs="Times New Roman" w:eastAsia="Times New Roman" w:hAnsi="Times New Roman"/>
                <w:sz w:val="13"/>
                <w:szCs w:val="13"/>
                <w:color w:val="0000FF"/>
              </w:rPr>
              <w:t>29,482</w:t>
            </w:r>
          </w:p>
        </w:tc>
        <w:tc>
          <w:tcPr>
            <w:tcW w:w="5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jc w:val="center"/>
              <w:ind w:right="17"/>
              <w:spacing w:after="0" w:line="140" w:lineRule="exact"/>
              <w:rPr>
                <w:sz w:val="20"/>
                <w:szCs w:val="20"/>
                <w:color w:val="auto"/>
              </w:rPr>
            </w:pPr>
            <w:r>
              <w:rPr>
                <w:rFonts w:ascii="Times New Roman" w:cs="Times New Roman" w:eastAsia="Times New Roman" w:hAnsi="Times New Roman"/>
                <w:sz w:val="13"/>
                <w:szCs w:val="13"/>
                <w:color w:val="0000FF"/>
                <w:w w:val="94"/>
              </w:rPr>
              <w:t>Voting</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60" w:type="dxa"/>
            <w:vAlign w:val="bottom"/>
            <w:gridSpan w:val="2"/>
          </w:tcPr>
          <w:p>
            <w:pPr>
              <w:ind w:left="200"/>
              <w:spacing w:after="0" w:line="140" w:lineRule="exact"/>
              <w:rPr>
                <w:sz w:val="20"/>
                <w:szCs w:val="20"/>
                <w:color w:val="auto"/>
              </w:rPr>
            </w:pPr>
            <w:r>
              <w:rPr>
                <w:rFonts w:ascii="Times New Roman" w:cs="Times New Roman" w:eastAsia="Times New Roman" w:hAnsi="Times New Roman"/>
                <w:sz w:val="13"/>
                <w:szCs w:val="13"/>
                <w:color w:val="0000FF"/>
              </w:rPr>
              <w:t>348,968</w:t>
            </w:r>
          </w:p>
        </w:tc>
        <w:tc>
          <w:tcPr>
            <w:tcW w:w="62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gridSpan w:val="2"/>
          </w:tcPr>
          <w:p>
            <w:pPr>
              <w:ind w:left="60"/>
              <w:spacing w:after="0" w:line="139"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center"/>
              <w:ind w:right="17"/>
              <w:spacing w:after="0" w:line="139" w:lineRule="exact"/>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60" w:type="dxa"/>
            <w:vAlign w:val="bottom"/>
          </w:tcPr>
          <w:p>
            <w:pPr>
              <w:jc w:val="center"/>
              <w:ind w:right="17"/>
              <w:spacing w:after="0" w:line="140" w:lineRule="exact"/>
              <w:rPr>
                <w:sz w:val="20"/>
                <w:szCs w:val="20"/>
                <w:color w:val="auto"/>
              </w:rPr>
            </w:pPr>
            <w:r>
              <w:rPr>
                <w:rFonts w:ascii="Times New Roman" w:cs="Times New Roman" w:eastAsia="Times New Roman" w:hAnsi="Times New Roman"/>
                <w:sz w:val="13"/>
                <w:szCs w:val="13"/>
                <w:color w:val="0000FF"/>
                <w:w w:val="97"/>
              </w:rPr>
              <w:t>Non-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88,195</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77"/>
              <w:spacing w:after="0" w:line="140" w:lineRule="exact"/>
              <w:rPr>
                <w:sz w:val="20"/>
                <w:szCs w:val="20"/>
                <w:color w:val="auto"/>
              </w:rPr>
            </w:pPr>
            <w:r>
              <w:rPr>
                <w:rFonts w:ascii="Times New Roman" w:cs="Times New Roman" w:eastAsia="Times New Roman" w:hAnsi="Times New Roman"/>
                <w:sz w:val="13"/>
                <w:szCs w:val="13"/>
                <w:color w:val="0000FF"/>
              </w:rPr>
              <w:t>11/19/2025</w:t>
            </w:r>
          </w:p>
        </w:tc>
        <w:tc>
          <w:tcPr>
            <w:tcW w:w="1080" w:type="dxa"/>
            <w:vAlign w:val="bottom"/>
          </w:tcPr>
          <w:p>
            <w:pPr>
              <w:spacing w:after="0"/>
              <w:rPr>
                <w:sz w:val="12"/>
                <w:szCs w:val="12"/>
                <w:color w:val="auto"/>
              </w:rPr>
            </w:pPr>
          </w:p>
        </w:tc>
        <w:tc>
          <w:tcPr>
            <w:tcW w:w="740" w:type="dxa"/>
            <w:vAlign w:val="bottom"/>
            <w:gridSpan w:val="2"/>
          </w:tcPr>
          <w:p>
            <w:pPr>
              <w:jc w:val="center"/>
              <w:ind w:right="277"/>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540" w:type="dxa"/>
            <w:vAlign w:val="bottom"/>
          </w:tcPr>
          <w:p>
            <w:pPr>
              <w:spacing w:after="0"/>
              <w:rPr>
                <w:sz w:val="12"/>
                <w:szCs w:val="12"/>
                <w:color w:val="auto"/>
              </w:rPr>
            </w:pPr>
          </w:p>
        </w:tc>
        <w:tc>
          <w:tcPr>
            <w:tcW w:w="52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88,195</w:t>
            </w:r>
          </w:p>
        </w:tc>
        <w:tc>
          <w:tcPr>
            <w:tcW w:w="74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jc w:val="center"/>
              <w:ind w:right="17"/>
              <w:spacing w:after="0" w:line="140" w:lineRule="exact"/>
              <w:rPr>
                <w:sz w:val="20"/>
                <w:szCs w:val="20"/>
                <w:color w:val="auto"/>
              </w:rPr>
            </w:pPr>
            <w:r>
              <w:rPr>
                <w:rFonts w:ascii="Times New Roman" w:cs="Times New Roman" w:eastAsia="Times New Roman" w:hAnsi="Times New Roman"/>
                <w:sz w:val="13"/>
                <w:szCs w:val="13"/>
                <w:color w:val="0000FF"/>
                <w:w w:val="94"/>
              </w:rPr>
              <w:t>Voting</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center"/>
              <w:ind w:right="26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line="140" w:lineRule="exact"/>
              <w:rPr>
                <w:sz w:val="20"/>
                <w:szCs w:val="20"/>
                <w:color w:val="auto"/>
              </w:rPr>
            </w:pPr>
            <w:r>
              <w:rPr>
                <w:rFonts w:ascii="Times New Roman" w:cs="Times New Roman" w:eastAsia="Times New Roman" w:hAnsi="Times New Roman"/>
                <w:sz w:val="13"/>
                <w:szCs w:val="13"/>
                <w:color w:val="0000FF"/>
              </w:rPr>
              <w:t>260,773</w:t>
            </w:r>
          </w:p>
        </w:tc>
        <w:tc>
          <w:tcPr>
            <w:tcW w:w="62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center"/>
              <w:ind w:right="17"/>
              <w:spacing w:after="0" w:line="140" w:lineRule="exact"/>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-2518410</wp:posOffset>
            </wp:positionV>
            <wp:extent cx="28575" cy="25234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52349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unit represents a contingent right to receive one share of EZCORP Class A Non-Voting Common Stock at the time of vesting.</w:t>
      </w:r>
    </w:p>
    <w:p>
      <w:pPr>
        <w:spacing w:after="0" w:line="40" w:lineRule="exact"/>
        <w:rPr>
          <w:rFonts w:ascii="Times New Roman" w:cs="Times New Roman" w:eastAsia="Times New Roman" w:hAnsi="Times New Roman"/>
          <w:sz w:val="13"/>
          <w:szCs w:val="13"/>
          <w:color w:val="008000"/>
        </w:rPr>
      </w:pPr>
    </w:p>
    <w:p>
      <w:pPr>
        <w:ind w:left="40" w:right="220"/>
        <w:spacing w:after="0" w:line="234"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following "bonus" units (1) 12,970 attributable to the fiscal 2023 Restricted Stock Unit award earned with achievement of the specified performance goal for fiscal 2023 and vesting on September 30, 2025, subject to continued employment, plus (2) 8,484 attributable to the fiscal 2024 Restricted Stock Unit award earned with achievement of the specified performance goal for fiscal 2024 and vesting on September 30, 2026, subject to continued employment, plus (3) 8,028 attributable to the fiscal 2025 Restricted Stock Unit award earned with achievement of the specified performance goal for fiscal 2025 and vesting on September 30, 2027, subject to continued employment.</w:t>
      </w:r>
    </w:p>
    <w:p>
      <w:pPr>
        <w:spacing w:after="0" w:line="26"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Closing market value on September 30, 2025. However, no consideration was paid for the award other than services rendered and to be rendered by the Reporting Person.</w:t>
      </w:r>
    </w:p>
    <w:p>
      <w:pPr>
        <w:spacing w:after="0" w:line="4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units vested on November 19, 2025 after specified performance goals were achieved.</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ind w:left="6600"/>
        <w:spacing w:after="0" w:line="231" w:lineRule="auto"/>
        <w:rPr>
          <w:sz w:val="20"/>
          <w:szCs w:val="20"/>
          <w:color w:val="auto"/>
        </w:rPr>
      </w:pPr>
      <w:r>
        <w:rPr>
          <w:rFonts w:ascii="Times New Roman" w:cs="Times New Roman" w:eastAsia="Times New Roman" w:hAnsi="Times New Roman"/>
          <w:sz w:val="16"/>
          <w:szCs w:val="16"/>
          <w:color w:val="0000FF"/>
        </w:rPr>
        <w:t xml:space="preserve">/s/ Carrie Putnam, by POA from </w:t>
      </w:r>
      <w:r>
        <w:rPr>
          <w:rFonts w:ascii="Times New Roman" w:cs="Times New Roman" w:eastAsia="Times New Roman" w:hAnsi="Times New Roman"/>
          <w:sz w:val="32"/>
          <w:szCs w:val="32"/>
          <w:color w:val="0000FF"/>
          <w:vertAlign w:val="subscript"/>
        </w:rPr>
        <w:t>11/20/2025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557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572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Timothy K. Jugmans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-14605</wp:posOffset>
            </wp:positionV>
            <wp:extent cx="8782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7820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-79375</wp:posOffset>
            </wp:positionV>
            <wp:extent cx="4730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3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2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24431" TargetMode="External"/><Relationship Id="rId14" Type="http://schemas.openxmlformats.org/officeDocument/2006/relationships/hyperlink" Target="http://www.sec.gov/cgi-bin/browse-edgar?action=getcompany&amp;CIK=00008765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2025-11-20T14:54:22Z</dcterms:created>
  <dcterms:modified xsi:type="dcterms:W3CDTF">2025-11-20T14:54:22Z</dcterms:modified>
</cp:coreProperties>
</file>