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925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250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Powell John Blair Jr.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RD., BLD 1 STE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11/17/2021</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0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20" w:type="dxa"/>
            <w:vAlign w:val="bottom"/>
          </w:tcPr>
          <w:p>
            <w:pPr>
              <w:jc w:val="right"/>
              <w:ind w:right="667"/>
              <w:spacing w:after="0"/>
              <w:rPr>
                <w:sz w:val="20"/>
                <w:szCs w:val="20"/>
                <w:color w:val="auto"/>
              </w:rPr>
            </w:pPr>
            <w:r>
              <w:rPr>
                <w:rFonts w:ascii="Times New Roman" w:cs="Times New Roman" w:eastAsia="Times New Roman" w:hAnsi="Times New Roman"/>
                <w:sz w:val="17"/>
                <w:szCs w:val="17"/>
                <w:color w:val="0000FF"/>
              </w:rPr>
              <w:t>78746</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6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0000FF"/>
              </w:rPr>
              <w:t>9,941</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(3)</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11/17/2021</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9,941</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199,260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107,003</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7.71</w:t>
            </w:r>
            <w:r>
              <w:rPr>
                <w:rFonts w:ascii="Times New Roman" w:cs="Times New Roman" w:eastAsia="Times New Roman" w:hAnsi="Times New Roman"/>
                <w:sz w:val="21"/>
                <w:szCs w:val="21"/>
                <w:color w:val="008000"/>
                <w:vertAlign w:val="superscript"/>
              </w:rPr>
              <w:t>(5)</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10/11/2022</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107,003</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306,263</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Stock</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1"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will vest in whole or in part on September 30, 2025, with 80% being subject to the attainment of specified performance goals in addition to continued employment, and the remaining 20% being subject to continued employment only.</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2022. However, no consideration was paid for the award other than services rendered and to be rendered by the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Carrie Putnam,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10/13/2022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4920"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2022-10-13T10:21:31Z</dcterms:created>
  <dcterms:modified xsi:type="dcterms:W3CDTF">2022-10-13T10:21:31Z</dcterms:modified>
</cp:coreProperties>
</file>