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75"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125730</wp:posOffset>
            </wp:positionV>
            <wp:extent cx="189420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8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76835</wp:posOffset>
            </wp:positionV>
            <wp:extent cx="18942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67" w:lineRule="exact"/>
        <w:rPr>
          <w:sz w:val="24"/>
          <w:szCs w:val="24"/>
          <w:color w:val="auto"/>
        </w:rPr>
      </w:pPr>
    </w:p>
    <w:p>
      <w:pPr>
        <w:ind w:left="3600" w:right="1360" w:hanging="3574"/>
        <w:spacing w:after="0" w:line="401" w:lineRule="auto"/>
        <w:tabs>
          <w:tab w:leader="none" w:pos="626" w:val="left"/>
        </w:tabs>
        <w:numPr>
          <w:ilvl w:val="0"/>
          <w:numId w:val="1"/>
        </w:numPr>
        <w:rPr>
          <w:rFonts w:ascii="MS PGothic" w:cs="MS PGothic" w:eastAsia="MS PGothic" w:hAnsi="MS PGothic"/>
          <w:sz w:val="25"/>
          <w:szCs w:val="25"/>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 or</w:t>
      </w:r>
    </w:p>
    <w:p>
      <w:pPr>
        <w:spacing w:after="0" w:line="41" w:lineRule="exact"/>
        <w:rPr>
          <w:sz w:val="24"/>
          <w:szCs w:val="24"/>
          <w:color w:val="auto"/>
        </w:rPr>
      </w:pPr>
    </w:p>
    <w:p>
      <w:pPr>
        <w:ind w:left="620" w:hanging="594"/>
        <w:spacing w:after="0"/>
        <w:tabs>
          <w:tab w:leader="none" w:pos="620" w:val="left"/>
        </w:tabs>
        <w:numPr>
          <w:ilvl w:val="0"/>
          <w:numId w:val="2"/>
        </w:numPr>
        <w:rPr>
          <w:rFonts w:ascii="MS PGothic" w:cs="MS PGothic" w:eastAsia="MS PGothic" w:hAnsi="MS PGothic"/>
          <w:sz w:val="25"/>
          <w:szCs w:val="25"/>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7" w:lineRule="exact"/>
        <w:rPr>
          <w:sz w:val="24"/>
          <w:szCs w:val="24"/>
          <w:color w:val="auto"/>
        </w:rPr>
      </w:pPr>
    </w:p>
    <w:p>
      <w:pPr>
        <w:ind w:left="310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3606165</wp:posOffset>
            </wp:positionH>
            <wp:positionV relativeFrom="paragraph">
              <wp:posOffset>-5080</wp:posOffset>
            </wp:positionV>
            <wp:extent cx="15678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7815" cy="8255"/>
                    </a:xfrm>
                    <a:prstGeom prst="rect">
                      <a:avLst/>
                    </a:prstGeom>
                    <a:noFill/>
                  </pic:spPr>
                </pic:pic>
              </a:graphicData>
            </a:graphic>
          </wp:anchor>
        </w:drawing>
      </w:r>
    </w:p>
    <w:p>
      <w:pPr>
        <w:spacing w:after="0" w:line="9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No. 0-19424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2567940</wp:posOffset>
            </wp:positionH>
            <wp:positionV relativeFrom="paragraph">
              <wp:posOffset>54610</wp:posOffset>
            </wp:positionV>
            <wp:extent cx="2005965" cy="3511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tbl>
      <w:tblPr>
        <w:tblLayout w:type="fixed"/>
        <w:tblInd w:w="0" w:type="dxa"/>
        <w:tblCellMar>
          <w:top w:w="0" w:type="dxa"/>
          <w:left w:w="0" w:type="dxa"/>
          <w:bottom w:w="0" w:type="dxa"/>
          <w:right w:w="0" w:type="dxa"/>
        </w:tblCellMar>
      </w:tblPr>
      <w:tr>
        <w:trPr>
          <w:trHeight w:val="285"/>
        </w:trPr>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3"/>
          </w:tcPr>
          <w:p>
            <w:pPr>
              <w:jc w:val="center"/>
              <w:ind w:left="639"/>
              <w:spacing w:after="0"/>
              <w:rPr>
                <w:sz w:val="20"/>
                <w:szCs w:val="20"/>
                <w:color w:val="auto"/>
              </w:rPr>
            </w:pPr>
            <w:r>
              <w:rPr>
                <w:rFonts w:ascii="Arial" w:cs="Arial" w:eastAsia="Arial" w:hAnsi="Arial"/>
                <w:sz w:val="22"/>
                <w:szCs w:val="22"/>
                <w:b w:val="1"/>
                <w:bCs w:val="1"/>
                <w:color w:val="auto"/>
                <w:w w:val="95"/>
              </w:rPr>
              <w:t>EZCORP, INC.</w:t>
            </w:r>
          </w:p>
        </w:tc>
        <w:tc>
          <w:tcPr>
            <w:tcW w:w="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400" w:type="dxa"/>
            <w:vAlign w:val="bottom"/>
          </w:tcPr>
          <w:p>
            <w:pPr>
              <w:spacing w:after="0"/>
              <w:rPr>
                <w:sz w:val="22"/>
                <w:szCs w:val="22"/>
                <w:color w:val="auto"/>
              </w:rPr>
            </w:pPr>
          </w:p>
        </w:tc>
        <w:tc>
          <w:tcPr>
            <w:tcW w:w="5840" w:type="dxa"/>
            <w:vAlign w:val="bottom"/>
            <w:gridSpan w:val="8"/>
          </w:tcPr>
          <w:p>
            <w:pPr>
              <w:jc w:val="center"/>
              <w:ind w:right="1308"/>
              <w:spacing w:after="0"/>
              <w:rPr>
                <w:sz w:val="20"/>
                <w:szCs w:val="20"/>
                <w:color w:val="auto"/>
              </w:rPr>
            </w:pPr>
            <w:r>
              <w:rPr>
                <w:rFonts w:ascii="Arial" w:cs="Arial" w:eastAsia="Arial" w:hAnsi="Arial"/>
                <w:sz w:val="18"/>
                <w:szCs w:val="18"/>
                <w:color w:val="auto"/>
                <w:w w:val="99"/>
              </w:rPr>
              <w:t>(Exact name of registrant as specified in its charter)</w:t>
            </w:r>
          </w:p>
        </w:tc>
        <w:tc>
          <w:tcPr>
            <w:tcW w:w="0" w:type="dxa"/>
            <w:vAlign w:val="bottom"/>
          </w:tcPr>
          <w:p>
            <w:pPr>
              <w:spacing w:after="0"/>
              <w:rPr>
                <w:sz w:val="1"/>
                <w:szCs w:val="1"/>
                <w:color w:val="auto"/>
              </w:rPr>
            </w:pPr>
          </w:p>
        </w:tc>
      </w:tr>
      <w:tr>
        <w:trPr>
          <w:trHeight w:val="366"/>
        </w:trPr>
        <w:tc>
          <w:tcPr>
            <w:tcW w:w="3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rPr>
              <w:t>Delaware</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700" w:type="dxa"/>
            <w:vAlign w:val="bottom"/>
            <w:gridSpan w:val="2"/>
          </w:tcPr>
          <w:p>
            <w:pPr>
              <w:jc w:val="right"/>
              <w:ind w:right="1128"/>
              <w:spacing w:after="0"/>
              <w:rPr>
                <w:sz w:val="20"/>
                <w:szCs w:val="20"/>
                <w:color w:val="auto"/>
              </w:rPr>
            </w:pPr>
            <w:r>
              <w:rPr>
                <w:rFonts w:ascii="Arial" w:cs="Arial" w:eastAsia="Arial" w:hAnsi="Arial"/>
                <w:sz w:val="14"/>
                <w:szCs w:val="14"/>
                <w:b w:val="1"/>
                <w:bCs w:val="1"/>
                <w:color w:val="auto"/>
              </w:rPr>
              <w:t>74-2540145</w:t>
            </w:r>
          </w:p>
        </w:tc>
        <w:tc>
          <w:tcPr>
            <w:tcW w:w="0" w:type="dxa"/>
            <w:vAlign w:val="bottom"/>
          </w:tcPr>
          <w:p>
            <w:pPr>
              <w:spacing w:after="0"/>
              <w:rPr>
                <w:sz w:val="1"/>
                <w:szCs w:val="1"/>
                <w:color w:val="auto"/>
              </w:rPr>
            </w:pPr>
          </w:p>
        </w:tc>
      </w:tr>
      <w:tr>
        <w:trPr>
          <w:trHeight w:val="179"/>
        </w:trPr>
        <w:tc>
          <w:tcPr>
            <w:tcW w:w="6540" w:type="dxa"/>
            <w:vAlign w:val="bottom"/>
            <w:gridSpan w:val="7"/>
            <w:vMerge w:val="restart"/>
          </w:tcPr>
          <w:p>
            <w:pPr>
              <w:jc w:val="center"/>
              <w:ind w:left="2508"/>
              <w:spacing w:after="0"/>
              <w:rPr>
                <w:sz w:val="20"/>
                <w:szCs w:val="20"/>
                <w:color w:val="auto"/>
              </w:rPr>
            </w:pPr>
            <w:r>
              <w:rPr>
                <w:rFonts w:ascii="Arial" w:cs="Arial" w:eastAsia="Arial" w:hAnsi="Arial"/>
                <w:sz w:val="14"/>
                <w:szCs w:val="14"/>
                <w:color w:val="auto"/>
              </w:rPr>
              <w:t>(State or other jurisdiction of incorporation or organization)</w:t>
            </w:r>
          </w:p>
        </w:tc>
        <w:tc>
          <w:tcPr>
            <w:tcW w:w="2700" w:type="dxa"/>
            <w:vAlign w:val="bottom"/>
            <w:gridSpan w:val="2"/>
          </w:tcPr>
          <w:p>
            <w:pPr>
              <w:jc w:val="center"/>
              <w:ind w:right="368"/>
              <w:spacing w:after="0"/>
              <w:rPr>
                <w:sz w:val="20"/>
                <w:szCs w:val="20"/>
                <w:color w:val="auto"/>
              </w:rPr>
            </w:pPr>
            <w:r>
              <w:rPr>
                <w:rFonts w:ascii="Arial" w:cs="Arial" w:eastAsia="Arial" w:hAnsi="Arial"/>
                <w:sz w:val="14"/>
                <w:szCs w:val="14"/>
                <w:color w:val="auto"/>
              </w:rPr>
              <w:t>(I.R.S. Employer Identification</w:t>
            </w:r>
          </w:p>
        </w:tc>
        <w:tc>
          <w:tcPr>
            <w:tcW w:w="0" w:type="dxa"/>
            <w:vAlign w:val="bottom"/>
          </w:tcPr>
          <w:p>
            <w:pPr>
              <w:spacing w:after="0"/>
              <w:rPr>
                <w:sz w:val="1"/>
                <w:szCs w:val="1"/>
                <w:color w:val="auto"/>
              </w:rPr>
            </w:pPr>
          </w:p>
        </w:tc>
      </w:tr>
      <w:tr>
        <w:trPr>
          <w:trHeight w:val="172"/>
        </w:trPr>
        <w:tc>
          <w:tcPr>
            <w:tcW w:w="6540" w:type="dxa"/>
            <w:vAlign w:val="bottom"/>
            <w:gridSpan w:val="7"/>
            <w:vMerge w:val="continue"/>
          </w:tcPr>
          <w:p>
            <w:pPr>
              <w:spacing w:after="0"/>
              <w:rPr>
                <w:sz w:val="14"/>
                <w:szCs w:val="14"/>
                <w:color w:val="auto"/>
              </w:rPr>
            </w:pPr>
          </w:p>
        </w:tc>
        <w:tc>
          <w:tcPr>
            <w:tcW w:w="900" w:type="dxa"/>
            <w:vAlign w:val="bottom"/>
          </w:tcPr>
          <w:p>
            <w:pPr>
              <w:spacing w:after="0"/>
              <w:rPr>
                <w:sz w:val="14"/>
                <w:szCs w:val="14"/>
                <w:color w:val="auto"/>
              </w:rPr>
            </w:pPr>
          </w:p>
        </w:tc>
        <w:tc>
          <w:tcPr>
            <w:tcW w:w="1800" w:type="dxa"/>
            <w:vAlign w:val="bottom"/>
          </w:tcPr>
          <w:p>
            <w:pPr>
              <w:jc w:val="center"/>
              <w:ind w:right="1288"/>
              <w:spacing w:after="0"/>
              <w:rPr>
                <w:sz w:val="20"/>
                <w:szCs w:val="20"/>
                <w:color w:val="auto"/>
              </w:rPr>
            </w:pPr>
            <w:r>
              <w:rPr>
                <w:rFonts w:ascii="Arial" w:cs="Arial" w:eastAsia="Arial" w:hAnsi="Arial"/>
                <w:sz w:val="14"/>
                <w:szCs w:val="14"/>
                <w:color w:val="auto"/>
              </w:rPr>
              <w:t>No.)</w:t>
            </w:r>
          </w:p>
        </w:tc>
        <w:tc>
          <w:tcPr>
            <w:tcW w:w="0" w:type="dxa"/>
            <w:vAlign w:val="bottom"/>
          </w:tcPr>
          <w:p>
            <w:pPr>
              <w:spacing w:after="0"/>
              <w:rPr>
                <w:sz w:val="1"/>
                <w:szCs w:val="1"/>
                <w:color w:val="auto"/>
              </w:rPr>
            </w:pPr>
          </w:p>
        </w:tc>
      </w:tr>
      <w:tr>
        <w:trPr>
          <w:trHeight w:val="201"/>
        </w:trPr>
        <w:tc>
          <w:tcPr>
            <w:tcW w:w="5280" w:type="dxa"/>
            <w:vAlign w:val="bottom"/>
            <w:gridSpan w:val="5"/>
          </w:tcPr>
          <w:p>
            <w:pPr>
              <w:jc w:val="center"/>
              <w:ind w:left="988"/>
              <w:spacing w:after="0"/>
              <w:rPr>
                <w:sz w:val="20"/>
                <w:szCs w:val="20"/>
                <w:color w:val="auto"/>
              </w:rPr>
            </w:pPr>
            <w:r>
              <w:rPr>
                <w:rFonts w:ascii="Arial" w:cs="Arial" w:eastAsia="Arial" w:hAnsi="Arial"/>
                <w:sz w:val="14"/>
                <w:szCs w:val="14"/>
                <w:b w:val="1"/>
                <w:bCs w:val="1"/>
                <w:color w:val="auto"/>
              </w:rPr>
              <w:t>2500 Bee Cave</w:t>
            </w: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Rollingwood  TX</w:t>
            </w:r>
          </w:p>
        </w:tc>
        <w:tc>
          <w:tcPr>
            <w:tcW w:w="2700" w:type="dxa"/>
            <w:vAlign w:val="bottom"/>
            <w:gridSpan w:val="2"/>
            <w:vMerge w:val="restart"/>
          </w:tcPr>
          <w:p>
            <w:pPr>
              <w:jc w:val="right"/>
              <w:ind w:right="1308"/>
              <w:spacing w:after="0"/>
              <w:rPr>
                <w:sz w:val="20"/>
                <w:szCs w:val="20"/>
                <w:color w:val="auto"/>
              </w:rPr>
            </w:pPr>
            <w:r>
              <w:rPr>
                <w:rFonts w:ascii="Arial" w:cs="Arial" w:eastAsia="Arial" w:hAnsi="Arial"/>
                <w:sz w:val="14"/>
                <w:szCs w:val="14"/>
                <w:b w:val="1"/>
                <w:bCs w:val="1"/>
                <w:color w:val="auto"/>
              </w:rPr>
              <w:t>78746</w:t>
            </w:r>
          </w:p>
        </w:tc>
        <w:tc>
          <w:tcPr>
            <w:tcW w:w="0" w:type="dxa"/>
            <w:vAlign w:val="bottom"/>
          </w:tcPr>
          <w:p>
            <w:pPr>
              <w:spacing w:after="0"/>
              <w:rPr>
                <w:sz w:val="1"/>
                <w:szCs w:val="1"/>
                <w:color w:val="auto"/>
              </w:rPr>
            </w:pPr>
          </w:p>
        </w:tc>
      </w:tr>
      <w:tr>
        <w:trPr>
          <w:trHeight w:val="190"/>
        </w:trPr>
        <w:tc>
          <w:tcPr>
            <w:tcW w:w="3400" w:type="dxa"/>
            <w:vAlign w:val="bottom"/>
          </w:tcPr>
          <w:p>
            <w:pPr>
              <w:jc w:val="center"/>
              <w:ind w:left="2848"/>
              <w:spacing w:after="0"/>
              <w:rPr>
                <w:sz w:val="20"/>
                <w:szCs w:val="20"/>
                <w:color w:val="auto"/>
              </w:rPr>
            </w:pPr>
            <w:r>
              <w:rPr>
                <w:rFonts w:ascii="Arial" w:cs="Arial" w:eastAsia="Arial" w:hAnsi="Arial"/>
                <w:sz w:val="14"/>
                <w:szCs w:val="14"/>
                <w:b w:val="1"/>
                <w:bCs w:val="1"/>
                <w:color w:val="auto"/>
              </w:rPr>
              <w:t>Road</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gridSpan w:val="2"/>
          </w:tcPr>
          <w:p>
            <w:pPr>
              <w:ind w:left="40"/>
              <w:spacing w:after="0"/>
              <w:rPr>
                <w:sz w:val="20"/>
                <w:szCs w:val="20"/>
                <w:color w:val="auto"/>
              </w:rPr>
            </w:pPr>
            <w:r>
              <w:rPr>
                <w:rFonts w:ascii="Arial" w:cs="Arial" w:eastAsia="Arial" w:hAnsi="Arial"/>
                <w:sz w:val="14"/>
                <w:szCs w:val="14"/>
                <w:b w:val="1"/>
                <w:bCs w:val="1"/>
                <w:color w:val="auto"/>
              </w:rPr>
              <w:t>Bldg One Suite 200</w:t>
            </w:r>
          </w:p>
        </w:tc>
        <w:tc>
          <w:tcPr>
            <w:tcW w:w="1260" w:type="dxa"/>
            <w:vAlign w:val="bottom"/>
            <w:gridSpan w:val="2"/>
            <w:vMerge w:val="continue"/>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540" w:type="dxa"/>
            <w:vAlign w:val="bottom"/>
            <w:gridSpan w:val="7"/>
          </w:tcPr>
          <w:p>
            <w:pPr>
              <w:jc w:val="center"/>
              <w:ind w:left="2528"/>
              <w:spacing w:after="0"/>
              <w:rPr>
                <w:sz w:val="20"/>
                <w:szCs w:val="20"/>
                <w:color w:val="auto"/>
              </w:rPr>
            </w:pPr>
            <w:r>
              <w:rPr>
                <w:rFonts w:ascii="Arial" w:cs="Arial" w:eastAsia="Arial" w:hAnsi="Arial"/>
                <w:sz w:val="14"/>
                <w:szCs w:val="14"/>
                <w:color w:val="auto"/>
              </w:rPr>
              <w:t>(Address of principal executive offices)</w:t>
            </w:r>
          </w:p>
        </w:tc>
        <w:tc>
          <w:tcPr>
            <w:tcW w:w="2700" w:type="dxa"/>
            <w:vAlign w:val="bottom"/>
            <w:gridSpan w:val="2"/>
          </w:tcPr>
          <w:p>
            <w:pPr>
              <w:jc w:val="center"/>
              <w:ind w:right="388"/>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51"/>
        </w:trPr>
        <w:tc>
          <w:tcPr>
            <w:tcW w:w="3400" w:type="dxa"/>
            <w:vAlign w:val="bottom"/>
          </w:tcPr>
          <w:p>
            <w:pPr>
              <w:spacing w:after="0"/>
              <w:rPr>
                <w:sz w:val="24"/>
                <w:szCs w:val="24"/>
                <w:color w:val="auto"/>
              </w:rPr>
            </w:pPr>
          </w:p>
        </w:tc>
        <w:tc>
          <w:tcPr>
            <w:tcW w:w="5840" w:type="dxa"/>
            <w:vAlign w:val="bottom"/>
            <w:gridSpan w:val="8"/>
          </w:tcPr>
          <w:p>
            <w:pPr>
              <w:jc w:val="center"/>
              <w:ind w:right="1308"/>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4"/>
                <w:szCs w:val="14"/>
                <w:b w:val="1"/>
                <w:bCs w:val="1"/>
                <w:color w:val="auto"/>
              </w:rPr>
              <w:t>(512) 314-3400</w:t>
            </w:r>
          </w:p>
        </w:tc>
        <w:tc>
          <w:tcPr>
            <w:tcW w:w="0" w:type="dxa"/>
            <w:vAlign w:val="bottom"/>
          </w:tcPr>
          <w:p>
            <w:pPr>
              <w:spacing w:after="0"/>
              <w:rPr>
                <w:sz w:val="1"/>
                <w:szCs w:val="1"/>
                <w:color w:val="auto"/>
              </w:rPr>
            </w:pPr>
          </w:p>
        </w:tc>
      </w:tr>
      <w:tr>
        <w:trPr>
          <w:trHeight w:val="147"/>
        </w:trPr>
        <w:tc>
          <w:tcPr>
            <w:tcW w:w="3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2"/>
          </w:tcPr>
          <w:p>
            <w:pPr>
              <w:spacing w:after="0"/>
              <w:rPr>
                <w:sz w:val="12"/>
                <w:szCs w:val="12"/>
                <w:color w:val="auto"/>
              </w:rPr>
            </w:pPr>
          </w:p>
        </w:tc>
        <w:tc>
          <w:tcPr>
            <w:tcW w:w="2000" w:type="dxa"/>
            <w:vAlign w:val="bottom"/>
            <w:tcBorders>
              <w:bottom w:val="single" w:sz="8" w:color="auto"/>
            </w:tcBorders>
            <w:gridSpan w:val="2"/>
          </w:tcPr>
          <w:p>
            <w:pPr>
              <w:spacing w:after="0"/>
              <w:rPr>
                <w:sz w:val="12"/>
                <w:szCs w:val="12"/>
                <w:color w:val="auto"/>
              </w:rPr>
            </w:pPr>
          </w:p>
        </w:tc>
        <w:tc>
          <w:tcPr>
            <w:tcW w:w="1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9"/>
        </w:trPr>
        <w:tc>
          <w:tcPr>
            <w:tcW w:w="3400" w:type="dxa"/>
            <w:vAlign w:val="bottom"/>
          </w:tcPr>
          <w:p>
            <w:pPr>
              <w:spacing w:after="0"/>
              <w:rPr>
                <w:sz w:val="24"/>
                <w:szCs w:val="24"/>
                <w:color w:val="auto"/>
              </w:rPr>
            </w:pPr>
          </w:p>
        </w:tc>
        <w:tc>
          <w:tcPr>
            <w:tcW w:w="5840" w:type="dxa"/>
            <w:vAlign w:val="bottom"/>
            <w:gridSpan w:val="8"/>
          </w:tcPr>
          <w:p>
            <w:pPr>
              <w:jc w:val="center"/>
              <w:ind w:right="1328"/>
              <w:spacing w:after="0"/>
              <w:rPr>
                <w:sz w:val="20"/>
                <w:szCs w:val="20"/>
                <w:color w:val="auto"/>
              </w:rPr>
            </w:pPr>
            <w:r>
              <w:rPr>
                <w:rFonts w:ascii="Arial" w:cs="Arial" w:eastAsia="Arial" w:hAnsi="Arial"/>
                <w:sz w:val="16"/>
                <w:szCs w:val="16"/>
                <w:color w:val="auto"/>
              </w:rPr>
              <w:t>Securities registered pursuant to Section 12(b) of the Act</w:t>
            </w:r>
          </w:p>
        </w:tc>
        <w:tc>
          <w:tcPr>
            <w:tcW w:w="0" w:type="dxa"/>
            <w:vAlign w:val="bottom"/>
          </w:tcPr>
          <w:p>
            <w:pPr>
              <w:spacing w:after="0"/>
              <w:rPr>
                <w:sz w:val="1"/>
                <w:szCs w:val="1"/>
                <w:color w:val="auto"/>
              </w:rPr>
            </w:pPr>
          </w:p>
        </w:tc>
      </w:tr>
      <w:tr>
        <w:trPr>
          <w:trHeight w:val="357"/>
        </w:trPr>
        <w:tc>
          <w:tcPr>
            <w:tcW w:w="3400" w:type="dxa"/>
            <w:vAlign w:val="bottom"/>
            <w:tcBorders>
              <w:bottom w:val="single" w:sz="8" w:color="auto"/>
            </w:tcBorders>
          </w:tcPr>
          <w:p>
            <w:pPr>
              <w:jc w:val="center"/>
              <w:ind w:left="368"/>
              <w:spacing w:after="0"/>
              <w:rPr>
                <w:sz w:val="20"/>
                <w:szCs w:val="20"/>
                <w:color w:val="auto"/>
              </w:rPr>
            </w:pPr>
            <w:r>
              <w:rPr>
                <w:rFonts w:ascii="Arial" w:cs="Arial" w:eastAsia="Arial" w:hAnsi="Arial"/>
                <w:sz w:val="14"/>
                <w:szCs w:val="14"/>
                <w:b w:val="1"/>
                <w:bCs w:val="1"/>
                <w:color w:val="auto"/>
              </w:rPr>
              <w:t>Title of each class</w:t>
            </w: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60" w:type="dxa"/>
            <w:vAlign w:val="bottom"/>
          </w:tcPr>
          <w:p>
            <w:pPr>
              <w:spacing w:after="0"/>
              <w:rPr>
                <w:sz w:val="24"/>
                <w:szCs w:val="24"/>
                <w:color w:val="auto"/>
              </w:rPr>
            </w:pPr>
          </w:p>
        </w:tc>
        <w:tc>
          <w:tcPr>
            <w:tcW w:w="38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3"/>
        </w:trPr>
        <w:tc>
          <w:tcPr>
            <w:tcW w:w="5280" w:type="dxa"/>
            <w:vAlign w:val="bottom"/>
            <w:gridSpan w:val="5"/>
          </w:tcPr>
          <w:p>
            <w:pPr>
              <w:jc w:val="center"/>
              <w:ind w:right="1359"/>
              <w:spacing w:after="0"/>
              <w:rPr>
                <w:sz w:val="20"/>
                <w:szCs w:val="20"/>
                <w:color w:val="auto"/>
              </w:rPr>
            </w:pPr>
            <w:r>
              <w:rPr>
                <w:rFonts w:ascii="Arial" w:cs="Arial" w:eastAsia="Arial" w:hAnsi="Arial"/>
                <w:sz w:val="14"/>
                <w:szCs w:val="14"/>
                <w:b w:val="1"/>
                <w:bCs w:val="1"/>
                <w:color w:val="auto"/>
              </w:rPr>
              <w:t>Class A Non-voting Common Stock, par value $.01 per</w:t>
            </w: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700" w:type="dxa"/>
            <w:vAlign w:val="bottom"/>
            <w:gridSpan w:val="2"/>
            <w:vMerge w:val="restart"/>
          </w:tcPr>
          <w:p>
            <w:pPr>
              <w:jc w:val="center"/>
              <w:ind w:right="1028"/>
              <w:spacing w:after="0"/>
              <w:rPr>
                <w:sz w:val="20"/>
                <w:szCs w:val="20"/>
                <w:color w:val="auto"/>
              </w:rPr>
            </w:pPr>
            <w:r>
              <w:rPr>
                <w:rFonts w:ascii="Arial" w:cs="Arial" w:eastAsia="Arial" w:hAnsi="Arial"/>
                <w:sz w:val="14"/>
                <w:szCs w:val="14"/>
                <w:b w:val="1"/>
                <w:bCs w:val="1"/>
                <w:color w:val="auto"/>
              </w:rPr>
              <w:t>NASDAQ Stock Market</w:t>
            </w:r>
          </w:p>
        </w:tc>
        <w:tc>
          <w:tcPr>
            <w:tcW w:w="0" w:type="dxa"/>
            <w:vAlign w:val="bottom"/>
          </w:tcPr>
          <w:p>
            <w:pPr>
              <w:spacing w:after="0"/>
              <w:rPr>
                <w:sz w:val="1"/>
                <w:szCs w:val="1"/>
                <w:color w:val="auto"/>
              </w:rPr>
            </w:pPr>
          </w:p>
        </w:tc>
      </w:tr>
      <w:tr>
        <w:trPr>
          <w:trHeight w:val="190"/>
        </w:trPr>
        <w:tc>
          <w:tcPr>
            <w:tcW w:w="3400" w:type="dxa"/>
            <w:vAlign w:val="bottom"/>
          </w:tcPr>
          <w:p>
            <w:pPr>
              <w:jc w:val="center"/>
              <w:ind w:left="368"/>
              <w:spacing w:after="0"/>
              <w:rPr>
                <w:sz w:val="20"/>
                <w:szCs w:val="20"/>
                <w:color w:val="auto"/>
              </w:rPr>
            </w:pPr>
            <w:r>
              <w:rPr>
                <w:rFonts w:ascii="Arial" w:cs="Arial" w:eastAsia="Arial" w:hAnsi="Arial"/>
                <w:sz w:val="14"/>
                <w:szCs w:val="14"/>
                <w:b w:val="1"/>
                <w:bCs w:val="1"/>
                <w:color w:val="auto"/>
              </w:rPr>
              <w:t>share</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8"/>
              </w:rPr>
              <w:t>EZPW</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7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6260"/>
        <w:spacing w:after="0"/>
        <w:rPr>
          <w:sz w:val="20"/>
          <w:szCs w:val="20"/>
          <w:color w:val="auto"/>
        </w:rPr>
      </w:pPr>
      <w:r>
        <w:rPr>
          <w:rFonts w:ascii="Arial" w:cs="Arial" w:eastAsia="Arial" w:hAnsi="Arial"/>
          <w:sz w:val="14"/>
          <w:szCs w:val="14"/>
          <w:b w:val="1"/>
          <w:bCs w:val="1"/>
          <w:color w:val="auto"/>
        </w:rPr>
        <w:t>(NASDAQ Global Select Market)</w:t>
      </w:r>
    </w:p>
    <w:p>
      <w:pPr>
        <w:spacing w:after="0" w:line="168" w:lineRule="exact"/>
        <w:rPr>
          <w:sz w:val="24"/>
          <w:szCs w:val="24"/>
          <w:color w:val="auto"/>
        </w:rPr>
      </w:pPr>
    </w:p>
    <w:p>
      <w:pPr>
        <w:jc w:val="both"/>
        <w:ind w:right="60"/>
        <w:spacing w:after="0" w:line="23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61" w:lineRule="exact"/>
        <w:tabs>
          <w:tab w:leader="none" w:pos="480" w:val="left"/>
          <w:tab w:leader="none" w:pos="110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12" w:lineRule="exact"/>
        <w:rPr>
          <w:sz w:val="24"/>
          <w:szCs w:val="24"/>
          <w:color w:val="auto"/>
        </w:rPr>
      </w:pPr>
    </w:p>
    <w:p>
      <w:pPr>
        <w:jc w:val="both"/>
        <w:ind w:right="6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83" w:lineRule="exact"/>
        <w:rPr>
          <w:sz w:val="24"/>
          <w:szCs w:val="24"/>
          <w:color w:val="auto"/>
        </w:rPr>
      </w:pPr>
    </w:p>
    <w:p>
      <w:pPr>
        <w:jc w:val="both"/>
        <w:ind w:right="540"/>
        <w:spacing w:after="0" w:line="25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p>
      <w:pPr>
        <w:spacing w:after="0" w:line="217" w:lineRule="exact"/>
        <w:rPr>
          <w:sz w:val="24"/>
          <w:szCs w:val="24"/>
          <w:color w:val="auto"/>
        </w:rPr>
      </w:pPr>
    </w:p>
    <w:tbl>
      <w:tblPr>
        <w:tblLayout w:type="fixed"/>
        <w:tblInd w:w="20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Accelerated Filer</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86"/>
        </w:trPr>
        <w:tc>
          <w:tcPr>
            <w:tcW w:w="2320" w:type="dxa"/>
            <w:vAlign w:val="bottom"/>
          </w:tcPr>
          <w:p>
            <w:pPr>
              <w:spacing w:after="0"/>
              <w:rPr>
                <w:sz w:val="20"/>
                <w:szCs w:val="20"/>
                <w:color w:val="auto"/>
              </w:rPr>
            </w:pPr>
            <w:r>
              <w:rPr>
                <w:rFonts w:ascii="Arial" w:cs="Arial" w:eastAsia="Arial" w:hAnsi="Arial"/>
                <w:sz w:val="14"/>
                <w:szCs w:val="14"/>
                <w:color w:val="auto"/>
              </w:rPr>
              <w:t>Non-accelerated Filer</w:t>
            </w:r>
          </w:p>
        </w:tc>
        <w:tc>
          <w:tcPr>
            <w:tcW w:w="1120" w:type="dxa"/>
            <w:vAlign w:val="bottom"/>
          </w:tcPr>
          <w:p>
            <w:pPr>
              <w:ind w:left="840"/>
              <w:spacing w:after="0" w:line="161" w:lineRule="exact"/>
              <w:rPr>
                <w:sz w:val="20"/>
                <w:szCs w:val="20"/>
                <w:color w:val="auto"/>
              </w:rPr>
            </w:pPr>
            <w:r>
              <w:rPr>
                <w:rFonts w:ascii="MS PGothic" w:cs="MS PGothic" w:eastAsia="MS PGothic" w:hAnsi="MS PGothic"/>
                <w:sz w:val="16"/>
                <w:szCs w:val="16"/>
                <w:color w:val="auto"/>
              </w:rPr>
              <w:t>☐</w:t>
            </w:r>
          </w:p>
        </w:tc>
        <w:tc>
          <w:tcPr>
            <w:tcW w:w="2640" w:type="dxa"/>
            <w:vAlign w:val="bottom"/>
          </w:tcPr>
          <w:p>
            <w:pPr>
              <w:ind w:left="140"/>
              <w:spacing w:after="0"/>
              <w:rPr>
                <w:sz w:val="20"/>
                <w:szCs w:val="20"/>
                <w:color w:val="auto"/>
              </w:rPr>
            </w:pPr>
            <w:r>
              <w:rPr>
                <w:rFonts w:ascii="Arial" w:cs="Arial" w:eastAsia="Arial" w:hAnsi="Arial"/>
                <w:sz w:val="14"/>
                <w:szCs w:val="14"/>
                <w:color w:val="auto"/>
              </w:rPr>
              <w:t>Smaller Reporting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23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Emerging Growth Company</w:t>
            </w:r>
          </w:p>
        </w:tc>
        <w:tc>
          <w:tcPr>
            <w:tcW w:w="860" w:type="dxa"/>
            <w:vAlign w:val="bottom"/>
          </w:tcPr>
          <w:p>
            <w:pPr>
              <w:ind w:left="70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55" w:lineRule="exact"/>
        <w:rPr>
          <w:sz w:val="24"/>
          <w:szCs w:val="24"/>
          <w:color w:val="auto"/>
        </w:rPr>
      </w:pPr>
    </w:p>
    <w:p>
      <w:pPr>
        <w:ind w:right="26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spacing w:after="0" w:line="161" w:lineRule="exact"/>
        <w:tabs>
          <w:tab w:leader="none" w:pos="7340" w:val="left"/>
          <w:tab w:leader="none" w:pos="79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46" w:lineRule="exact"/>
        <w:rPr>
          <w:sz w:val="24"/>
          <w:szCs w:val="24"/>
          <w:color w:val="auto"/>
        </w:rPr>
      </w:pPr>
    </w:p>
    <w:p>
      <w:pPr>
        <w:ind w:right="20"/>
        <w:spacing w:after="0" w:line="258" w:lineRule="auto"/>
        <w:rPr>
          <w:sz w:val="20"/>
          <w:szCs w:val="20"/>
          <w:color w:val="auto"/>
        </w:rPr>
      </w:pPr>
      <w:r>
        <w:rPr>
          <w:rFonts w:ascii="Arial" w:cs="Arial" w:eastAsia="Arial" w:hAnsi="Arial"/>
          <w:sz w:val="14"/>
          <w:szCs w:val="14"/>
          <w:color w:val="auto"/>
        </w:rPr>
        <w:t>The only class of voting securities of the registrant issued and outstanding is the Class B Voting Common Stock, par value $.01 per share, all of which is owned by an affiliate of the registrant. There is no trading market for the Class B Voting Common Stock.</w:t>
      </w:r>
    </w:p>
    <w:p>
      <w:pPr>
        <w:spacing w:after="0" w:line="86" w:lineRule="exact"/>
        <w:rPr>
          <w:sz w:val="24"/>
          <w:szCs w:val="24"/>
          <w:color w:val="auto"/>
        </w:rPr>
      </w:pPr>
    </w:p>
    <w:p>
      <w:pPr>
        <w:spacing w:after="0" w:line="258" w:lineRule="auto"/>
        <w:rPr>
          <w:sz w:val="20"/>
          <w:szCs w:val="20"/>
          <w:color w:val="auto"/>
        </w:rPr>
      </w:pPr>
      <w:r>
        <w:rPr>
          <w:rFonts w:ascii="Arial" w:cs="Arial" w:eastAsia="Arial" w:hAnsi="Arial"/>
          <w:sz w:val="14"/>
          <w:szCs w:val="14"/>
          <w:color w:val="auto"/>
        </w:rPr>
        <w:t>As of July 31, 2021, 53,086,438 shares of the registrant’s Class A Non-voting Common Stock ("Class A Common Stock"), par value $.01 per share, and 2,970,171 shares of the registrant’s Class B Voting Common Stock, par value $.01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52" w:right="37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500" w:type="dxa"/>
            <w:vAlign w:val="bottom"/>
            <w:gridSpan w:val="11"/>
          </w:tcPr>
          <w:p>
            <w:pPr>
              <w:jc w:val="center"/>
              <w:ind w:right="4240"/>
              <w:spacing w:after="0"/>
              <w:rPr>
                <w:sz w:val="20"/>
                <w:szCs w:val="20"/>
                <w:color w:val="auto"/>
              </w:rPr>
            </w:pPr>
            <w:r>
              <w:rPr>
                <w:rFonts w:ascii="Arial" w:cs="Arial" w:eastAsia="Arial" w:hAnsi="Arial"/>
                <w:sz w:val="18"/>
                <w:szCs w:val="18"/>
                <w:b w:val="1"/>
                <w:bCs w:val="1"/>
                <w:color w:val="auto"/>
                <w:w w:val="98"/>
              </w:rPr>
              <w:t>EZCORP, Inc.</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500" w:type="dxa"/>
            <w:vAlign w:val="bottom"/>
            <w:gridSpan w:val="11"/>
          </w:tcPr>
          <w:p>
            <w:pPr>
              <w:jc w:val="center"/>
              <w:ind w:right="4260"/>
              <w:spacing w:after="0"/>
              <w:rPr>
                <w:sz w:val="20"/>
                <w:szCs w:val="20"/>
                <w:color w:val="auto"/>
              </w:rPr>
            </w:pPr>
            <w:r>
              <w:rPr>
                <w:rFonts w:ascii="Arial" w:cs="Arial" w:eastAsia="Arial" w:hAnsi="Arial"/>
                <w:sz w:val="18"/>
                <w:szCs w:val="18"/>
                <w:b w:val="1"/>
                <w:bCs w:val="1"/>
                <w:color w:val="auto"/>
                <w:w w:val="99"/>
              </w:rPr>
              <w:t>INDEX TO FORM 10-Q</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980" w:type="dxa"/>
            <w:vAlign w:val="bottom"/>
            <w:gridSpan w:val="3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PART I — FINANCIAL INFORMATION</w:t>
              </w:r>
            </w:hyperlink>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360" w:type="dxa"/>
            <w:vAlign w:val="bottom"/>
            <w:tcBorders>
              <w:top w:val="single" w:sz="8" w:color="0000FF"/>
              <w:bottom w:val="single" w:sz="8" w:color="0000FF"/>
            </w:tcBorders>
            <w:gridSpan w:val="9"/>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w:t>
              </w:r>
            </w:hyperlink>
          </w:p>
        </w:tc>
        <w:tc>
          <w:tcPr>
            <w:tcW w:w="400" w:type="dxa"/>
            <w:vAlign w:val="bottom"/>
            <w:tcBorders>
              <w:top w:val="single" w:sz="8" w:color="0000FF"/>
            </w:tcBorders>
            <w:gridSpan w:val="4"/>
          </w:tcPr>
          <w:p>
            <w:pPr>
              <w:spacing w:after="0"/>
              <w:rPr>
                <w:sz w:val="18"/>
                <w:szCs w:val="18"/>
                <w:color w:val="auto"/>
              </w:rPr>
            </w:pPr>
          </w:p>
        </w:tc>
        <w:tc>
          <w:tcPr>
            <w:tcW w:w="7900" w:type="dxa"/>
            <w:vAlign w:val="bottom"/>
            <w:gridSpan w:val="18"/>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780" w:type="dxa"/>
            <w:vAlign w:val="bottom"/>
            <w:gridSpan w:val="26"/>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Balance Sheets as of June 30, 2021 and 2020 (Unaudited) and September 30, 2020</w:t>
              </w:r>
            </w:hyperlink>
          </w:p>
        </w:tc>
        <w:tc>
          <w:tcPr>
            <w:tcW w:w="1540" w:type="dxa"/>
            <w:vAlign w:val="bottom"/>
            <w:gridSpan w:val="4"/>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160" w:type="dxa"/>
            <w:vAlign w:val="bottom"/>
            <w:tcBorders>
              <w:bottom w:val="single" w:sz="8" w:color="0000FF"/>
            </w:tcBorders>
            <w:gridSpan w:val="27"/>
          </w:tcPr>
          <w:p>
            <w:pPr>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Condensed Consolidated Statements of Operations for the Three and Nine Months Ended June 30, 2021 and 2020</w:t>
              </w:r>
            </w:hyperlink>
          </w:p>
        </w:tc>
        <w:tc>
          <w:tcPr>
            <w:tcW w:w="1160" w:type="dxa"/>
            <w:vAlign w:val="bottom"/>
            <w:gridSpan w:val="3"/>
          </w:tcPr>
          <w:p>
            <w:pPr>
              <w:spacing w:after="0"/>
              <w:rPr>
                <w:sz w:val="18"/>
                <w:szCs w:val="18"/>
                <w:color w:val="auto"/>
              </w:rPr>
            </w:pPr>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3">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gridSpan w:val="3"/>
            <w:vMerge w:val="restart"/>
          </w:tcPr>
          <w:p>
            <w:pPr>
              <w:spacing w:after="0" w:line="156" w:lineRule="exact"/>
              <w:rPr>
                <w:rFonts w:ascii="Arial" w:cs="Arial" w:eastAsia="Arial" w:hAnsi="Arial"/>
                <w:sz w:val="18"/>
                <w:szCs w:val="18"/>
                <w:color w:val="0000FF"/>
                <w:w w:val="97"/>
              </w:rPr>
            </w:pPr>
            <w:hyperlink w:anchor="page3">
              <w:r>
                <w:rPr>
                  <w:rFonts w:ascii="Arial" w:cs="Arial" w:eastAsia="Arial" w:hAnsi="Arial"/>
                  <w:sz w:val="18"/>
                  <w:szCs w:val="18"/>
                  <w:color w:val="0000FF"/>
                  <w:w w:val="97"/>
                </w:rPr>
                <w:t>(Unaudited)</w:t>
              </w:r>
            </w:hyperlink>
          </w:p>
        </w:tc>
        <w:tc>
          <w:tcPr>
            <w:tcW w:w="9380" w:type="dxa"/>
            <w:vAlign w:val="bottom"/>
            <w:gridSpan w:val="27"/>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bottom w:val="single" w:sz="8" w:color="0000FF"/>
            </w:tcBorders>
            <w:gridSpan w:val="3"/>
            <w:vMerge w:val="continue"/>
          </w:tcPr>
          <w:p>
            <w:pPr>
              <w:spacing w:after="0"/>
              <w:rPr>
                <w:sz w:val="6"/>
                <w:szCs w:val="6"/>
                <w:color w:val="auto"/>
              </w:rPr>
            </w:pPr>
          </w:p>
        </w:tc>
        <w:tc>
          <w:tcPr>
            <w:tcW w:w="9380" w:type="dxa"/>
            <w:vAlign w:val="bottom"/>
            <w:gridSpan w:val="27"/>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80" w:type="dxa"/>
            <w:vAlign w:val="bottom"/>
            <w:tcBorders>
              <w:bottom w:val="single" w:sz="8" w:color="0000FF"/>
            </w:tcBorders>
            <w:gridSpan w:val="29"/>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Comprehensive Income (Loss) for the Three and Nine Months Ended June 30,</w:t>
              </w:r>
            </w:hyperlink>
          </w:p>
        </w:tc>
        <w:tc>
          <w:tcPr>
            <w:tcW w:w="840" w:type="dxa"/>
            <w:vAlign w:val="bottom"/>
          </w:tcPr>
          <w:p>
            <w:pPr>
              <w:spacing w:after="0"/>
              <w:rPr>
                <w:sz w:val="18"/>
                <w:szCs w:val="18"/>
                <w:color w:val="auto"/>
              </w:rPr>
            </w:pPr>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320" w:type="dxa"/>
            <w:vAlign w:val="bottom"/>
            <w:gridSpan w:val="30"/>
            <w:vMerge w:val="restart"/>
          </w:tcPr>
          <w:p>
            <w:pPr>
              <w:spacing w:after="0" w:line="156" w:lineRule="exact"/>
              <w:rPr>
                <w:rFonts w:ascii="Arial" w:cs="Arial" w:eastAsia="Arial" w:hAnsi="Arial"/>
                <w:sz w:val="18"/>
                <w:szCs w:val="18"/>
                <w:color w:val="0000FF"/>
              </w:rPr>
            </w:pPr>
            <w:hyperlink w:anchor="page5">
              <w:r>
                <w:rPr>
                  <w:rFonts w:ascii="Arial" w:cs="Arial" w:eastAsia="Arial" w:hAnsi="Arial"/>
                  <w:sz w:val="18"/>
                  <w:szCs w:val="18"/>
                  <w:color w:val="0000FF"/>
                </w:rPr>
                <w:t>2021 and 2020 (Unaudited)</w:t>
              </w:r>
            </w:hyperlink>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320" w:type="dxa"/>
            <w:vAlign w:val="bottom"/>
            <w:gridSpan w:val="30"/>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40" w:type="dxa"/>
            <w:vAlign w:val="bottom"/>
            <w:tcBorders>
              <w:bottom w:val="single" w:sz="8" w:color="0000FF"/>
            </w:tcBorders>
            <w:gridSpan w:val="2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Stockholders’ Equity for the Periods Ended June 30, 2021 and 2020</w:t>
              </w:r>
            </w:hyperlink>
          </w:p>
        </w:tc>
        <w:tc>
          <w:tcPr>
            <w:tcW w:w="1680" w:type="dxa"/>
            <w:vAlign w:val="bottom"/>
            <w:gridSpan w:val="5"/>
          </w:tcPr>
          <w:p>
            <w:pPr>
              <w:spacing w:after="0"/>
              <w:rPr>
                <w:sz w:val="18"/>
                <w:szCs w:val="18"/>
                <w:color w:val="auto"/>
              </w:rPr>
            </w:pPr>
          </w:p>
        </w:tc>
        <w:tc>
          <w:tcPr>
            <w:tcW w:w="240" w:type="dxa"/>
            <w:vAlign w:val="bottom"/>
            <w:gridSpan w:val="3"/>
            <w:vMerge w:val="restart"/>
          </w:tcPr>
          <w:p>
            <w:pPr>
              <w:jc w:val="right"/>
              <w:ind w:right="40"/>
              <w:spacing w:after="0"/>
              <w:rPr>
                <w:rFonts w:ascii="Arial" w:cs="Arial" w:eastAsia="Arial" w:hAnsi="Arial"/>
                <w:sz w:val="18"/>
                <w:szCs w:val="18"/>
                <w:color w:val="0000FF"/>
              </w:rPr>
            </w:pPr>
            <w:hyperlink w:anchor="page5">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gridSpan w:val="3"/>
            <w:vMerge w:val="restart"/>
          </w:tcPr>
          <w:p>
            <w:pPr>
              <w:spacing w:after="0" w:line="156" w:lineRule="exact"/>
              <w:rPr>
                <w:rFonts w:ascii="Arial" w:cs="Arial" w:eastAsia="Arial" w:hAnsi="Arial"/>
                <w:sz w:val="18"/>
                <w:szCs w:val="18"/>
                <w:color w:val="0000FF"/>
                <w:w w:val="97"/>
              </w:rPr>
            </w:pPr>
            <w:hyperlink w:anchor="page5">
              <w:r>
                <w:rPr>
                  <w:rFonts w:ascii="Arial" w:cs="Arial" w:eastAsia="Arial" w:hAnsi="Arial"/>
                  <w:sz w:val="18"/>
                  <w:szCs w:val="18"/>
                  <w:color w:val="0000FF"/>
                  <w:w w:val="97"/>
                </w:rPr>
                <w:t>(Unaudited)</w:t>
              </w:r>
            </w:hyperlink>
          </w:p>
        </w:tc>
        <w:tc>
          <w:tcPr>
            <w:tcW w:w="9380" w:type="dxa"/>
            <w:vAlign w:val="bottom"/>
            <w:gridSpan w:val="27"/>
            <w:vMerge w:val="restart"/>
          </w:tcPr>
          <w:p>
            <w:pPr>
              <w:spacing w:after="0"/>
              <w:rPr>
                <w:sz w:val="5"/>
                <w:szCs w:val="5"/>
                <w:color w:val="auto"/>
              </w:rPr>
            </w:pPr>
          </w:p>
        </w:tc>
        <w:tc>
          <w:tcPr>
            <w:tcW w:w="2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40" w:type="dxa"/>
            <w:vAlign w:val="bottom"/>
            <w:tcBorders>
              <w:bottom w:val="single" w:sz="8" w:color="0000FF"/>
            </w:tcBorders>
            <w:gridSpan w:val="3"/>
            <w:vMerge w:val="continue"/>
          </w:tcPr>
          <w:p>
            <w:pPr>
              <w:spacing w:after="0"/>
              <w:rPr>
                <w:sz w:val="6"/>
                <w:szCs w:val="6"/>
                <w:color w:val="auto"/>
              </w:rPr>
            </w:pPr>
          </w:p>
        </w:tc>
        <w:tc>
          <w:tcPr>
            <w:tcW w:w="9380" w:type="dxa"/>
            <w:vAlign w:val="bottom"/>
            <w:gridSpan w:val="27"/>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340" w:type="dxa"/>
            <w:vAlign w:val="bottom"/>
            <w:gridSpan w:val="28"/>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 xml:space="preserve">Condensed Consolidated Statements of Cash Flows for the </w:t>
              </w:r>
            </w:hyperlink>
            <w:r>
              <w:rPr>
                <w:rFonts w:ascii="Arial" w:cs="Arial" w:eastAsia="Arial" w:hAnsi="Arial"/>
                <w:sz w:val="18"/>
                <w:szCs w:val="18"/>
                <w:color w:val="0000FF"/>
                <w:w w:val="99"/>
              </w:rPr>
              <w:t xml:space="preserve">Nine </w:t>
            </w:r>
            <w:hyperlink w:anchor="page6">
              <w:r>
                <w:rPr>
                  <w:rFonts w:ascii="Arial" w:cs="Arial" w:eastAsia="Arial" w:hAnsi="Arial"/>
                  <w:sz w:val="18"/>
                  <w:szCs w:val="18"/>
                  <w:color w:val="0000FF"/>
                  <w:w w:val="99"/>
                </w:rPr>
                <w:t>Months Ended June 30, 2021 and 2020 (Unaudited)</w:t>
              </w:r>
            </w:hyperlink>
          </w:p>
        </w:tc>
        <w:tc>
          <w:tcPr>
            <w:tcW w:w="980" w:type="dxa"/>
            <w:vAlign w:val="bottom"/>
            <w:gridSpan w:val="2"/>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6">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60" w:type="dxa"/>
            <w:vAlign w:val="bottom"/>
            <w:gridSpan w:val="23"/>
          </w:tcPr>
          <w:p>
            <w:pPr>
              <w:spacing w:after="0"/>
              <w:rPr>
                <w:rFonts w:ascii="Arial" w:cs="Arial" w:eastAsia="Arial" w:hAnsi="Arial"/>
                <w:sz w:val="18"/>
                <w:szCs w:val="18"/>
                <w:color w:val="0000FF"/>
                <w:w w:val="99"/>
              </w:rPr>
            </w:pPr>
            <w:hyperlink w:anchor="page7">
              <w:r>
                <w:rPr>
                  <w:rFonts w:ascii="Arial" w:cs="Arial" w:eastAsia="Arial" w:hAnsi="Arial"/>
                  <w:sz w:val="18"/>
                  <w:szCs w:val="18"/>
                  <w:color w:val="0000FF"/>
                  <w:w w:val="99"/>
                </w:rPr>
                <w:t>Notes to Interim Condensed Consolidated Financial Statements (Unaudited)</w:t>
              </w:r>
            </w:hyperlink>
          </w:p>
        </w:tc>
        <w:tc>
          <w:tcPr>
            <w:tcW w:w="3280" w:type="dxa"/>
            <w:vAlign w:val="bottom"/>
            <w:gridSpan w:val="5"/>
          </w:tcPr>
          <w:p>
            <w:pPr>
              <w:spacing w:after="0"/>
              <w:rPr>
                <w:sz w:val="18"/>
                <w:szCs w:val="18"/>
                <w:color w:val="auto"/>
              </w:rPr>
            </w:pPr>
          </w:p>
        </w:tc>
        <w:tc>
          <w:tcPr>
            <w:tcW w:w="980" w:type="dxa"/>
            <w:vAlign w:val="bottom"/>
            <w:gridSpan w:val="2"/>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7">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560" w:type="dxa"/>
            <w:vAlign w:val="bottom"/>
            <w:gridSpan w:val="22"/>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 1: Organization and Summary of Significant Accounting Policies</w:t>
              </w:r>
            </w:hyperlink>
          </w:p>
        </w:tc>
        <w:tc>
          <w:tcPr>
            <w:tcW w:w="4260" w:type="dxa"/>
            <w:vAlign w:val="bottom"/>
            <w:gridSpan w:val="7"/>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8">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40" w:type="dxa"/>
            <w:vAlign w:val="bottom"/>
            <w:gridSpan w:val="21"/>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 2: Acquisitions</w:t>
              </w:r>
            </w:hyperlink>
          </w:p>
        </w:tc>
        <w:tc>
          <w:tcPr>
            <w:tcW w:w="4380" w:type="dxa"/>
            <w:vAlign w:val="bottom"/>
            <w:gridSpan w:val="8"/>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9"/>
          </w:tcPr>
          <w:p>
            <w:pPr>
              <w:spacing w:after="0"/>
              <w:rPr>
                <w:rFonts w:ascii="Arial" w:cs="Arial" w:eastAsia="Arial" w:hAnsi="Arial"/>
                <w:sz w:val="18"/>
                <w:szCs w:val="18"/>
                <w:color w:val="0000FF"/>
              </w:rPr>
            </w:pPr>
            <w:hyperlink w:anchor="page10">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3: </w:t>
            </w:r>
            <w:hyperlink w:anchor="page10">
              <w:r>
                <w:rPr>
                  <w:rFonts w:ascii="Arial" w:cs="Arial" w:eastAsia="Arial" w:hAnsi="Arial"/>
                  <w:sz w:val="18"/>
                  <w:szCs w:val="18"/>
                  <w:color w:val="0000FF"/>
                </w:rPr>
                <w:t>Expected Credit Losses</w:t>
              </w:r>
            </w:hyperlink>
          </w:p>
        </w:tc>
        <w:tc>
          <w:tcPr>
            <w:tcW w:w="240" w:type="dxa"/>
            <w:vAlign w:val="bottom"/>
            <w:gridSpan w:val="3"/>
          </w:tcPr>
          <w:p>
            <w:pPr>
              <w:jc w:val="right"/>
              <w:ind w:right="40"/>
              <w:spacing w:after="0"/>
              <w:rPr>
                <w:rFonts w:ascii="Arial" w:cs="Arial" w:eastAsia="Arial" w:hAnsi="Arial"/>
                <w:sz w:val="18"/>
                <w:szCs w:val="18"/>
                <w:color w:val="0000FF"/>
              </w:rPr>
            </w:pPr>
            <w:hyperlink w:anchor="page10">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60" w:type="dxa"/>
            <w:vAlign w:val="bottom"/>
            <w:gridSpan w:val="6"/>
          </w:tcPr>
          <w:p>
            <w:pPr>
              <w:spacing w:after="0"/>
              <w:rPr>
                <w:rFonts w:ascii="Arial" w:cs="Arial" w:eastAsia="Arial" w:hAnsi="Arial"/>
                <w:sz w:val="18"/>
                <w:szCs w:val="18"/>
                <w:color w:val="0000FF"/>
                <w:w w:val="93"/>
              </w:rPr>
            </w:pPr>
            <w:hyperlink w:anchor="page11">
              <w:r>
                <w:rPr>
                  <w:rFonts w:ascii="Arial" w:cs="Arial" w:eastAsia="Arial" w:hAnsi="Arial"/>
                  <w:sz w:val="18"/>
                  <w:szCs w:val="18"/>
                  <w:color w:val="0000FF"/>
                  <w:w w:val="93"/>
                </w:rPr>
                <w:t>Note 4: Goodwill</w:t>
              </w:r>
            </w:hyperlink>
          </w:p>
        </w:tc>
        <w:tc>
          <w:tcPr>
            <w:tcW w:w="1200" w:type="dxa"/>
            <w:vAlign w:val="bottom"/>
            <w:gridSpan w:val="9"/>
          </w:tcPr>
          <w:p>
            <w:pPr>
              <w:spacing w:after="0"/>
              <w:rPr>
                <w:sz w:val="18"/>
                <w:szCs w:val="18"/>
                <w:color w:val="auto"/>
              </w:rPr>
            </w:pPr>
          </w:p>
        </w:tc>
        <w:tc>
          <w:tcPr>
            <w:tcW w:w="7360" w:type="dxa"/>
            <w:vAlign w:val="bottom"/>
            <w:gridSpan w:val="14"/>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9"/>
          </w:tcPr>
          <w:p>
            <w:pPr>
              <w:spacing w:after="0"/>
              <w:rPr>
                <w:rFonts w:ascii="Arial" w:cs="Arial" w:eastAsia="Arial" w:hAnsi="Arial"/>
                <w:sz w:val="18"/>
                <w:szCs w:val="18"/>
                <w:color w:val="0000FF"/>
              </w:rPr>
            </w:pPr>
            <w:hyperlink w:anchor="page11">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5: </w:t>
            </w:r>
            <w:hyperlink w:anchor="page11">
              <w:r>
                <w:rPr>
                  <w:rFonts w:ascii="Arial" w:cs="Arial" w:eastAsia="Arial" w:hAnsi="Arial"/>
                  <w:sz w:val="18"/>
                  <w:szCs w:val="18"/>
                  <w:color w:val="0000FF"/>
                </w:rPr>
                <w:t>Other Charges</w:t>
              </w:r>
            </w:hyperlink>
          </w:p>
        </w:tc>
        <w:tc>
          <w:tcPr>
            <w:tcW w:w="240" w:type="dxa"/>
            <w:vAlign w:val="bottom"/>
            <w:gridSpan w:val="3"/>
          </w:tcPr>
          <w:p>
            <w:pPr>
              <w:jc w:val="right"/>
              <w:ind w:right="40"/>
              <w:spacing w:after="0"/>
              <w:rPr>
                <w:rFonts w:ascii="Arial" w:cs="Arial" w:eastAsia="Arial" w:hAnsi="Arial"/>
                <w:sz w:val="18"/>
                <w:szCs w:val="18"/>
                <w:color w:val="0000FF"/>
              </w:rPr>
            </w:pPr>
            <w:hyperlink w:anchor="page11">
              <w:r>
                <w:rPr>
                  <w:rFonts w:ascii="Arial" w:cs="Arial" w:eastAsia="Arial" w:hAnsi="Arial"/>
                  <w:sz w:val="18"/>
                  <w:szCs w:val="18"/>
                  <w:color w:val="0000FF"/>
                </w:rPr>
                <w:t>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40" w:type="dxa"/>
            <w:vAlign w:val="bottom"/>
            <w:tcBorders>
              <w:bottom w:val="single" w:sz="8" w:color="0000FF"/>
            </w:tcBorders>
            <w:gridSpan w:val="12"/>
          </w:tcPr>
          <w:p>
            <w:pPr>
              <w:spacing w:after="0"/>
              <w:rPr>
                <w:rFonts w:ascii="Arial" w:cs="Arial" w:eastAsia="Arial" w:hAnsi="Arial"/>
                <w:sz w:val="18"/>
                <w:szCs w:val="18"/>
                <w:color w:val="0000FF"/>
                <w:w w:val="96"/>
              </w:rPr>
            </w:pPr>
            <w:hyperlink w:anchor="page11">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6: </w:t>
            </w:r>
            <w:hyperlink w:anchor="page11">
              <w:r>
                <w:rPr>
                  <w:rFonts w:ascii="Arial" w:cs="Arial" w:eastAsia="Arial" w:hAnsi="Arial"/>
                  <w:sz w:val="18"/>
                  <w:szCs w:val="18"/>
                  <w:color w:val="0000FF"/>
                  <w:w w:val="96"/>
                </w:rPr>
                <w:t>Earnings Per Share</w:t>
              </w:r>
            </w:hyperlink>
          </w:p>
        </w:tc>
        <w:tc>
          <w:tcPr>
            <w:tcW w:w="7680" w:type="dxa"/>
            <w:vAlign w:val="bottom"/>
            <w:gridSpan w:val="17"/>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1">
              <w:r>
                <w:rPr>
                  <w:rFonts w:ascii="Arial" w:cs="Arial" w:eastAsia="Arial" w:hAnsi="Arial"/>
                  <w:sz w:val="18"/>
                  <w:szCs w:val="18"/>
                  <w:color w:val="0000FF"/>
                  <w:w w:val="89"/>
                </w:rPr>
                <w:t>10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9"/>
          </w:tcPr>
          <w:p>
            <w:pPr>
              <w:spacing w:after="0"/>
              <w:rPr>
                <w:rFonts w:ascii="Arial" w:cs="Arial" w:eastAsia="Arial" w:hAnsi="Arial"/>
                <w:sz w:val="18"/>
                <w:szCs w:val="18"/>
                <w:color w:val="0000FF"/>
              </w:rPr>
            </w:pPr>
            <w:hyperlink w:anchor="page12">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7: </w:t>
            </w:r>
            <w:hyperlink w:anchor="page12">
              <w:r>
                <w:rPr>
                  <w:rFonts w:ascii="Arial" w:cs="Arial" w:eastAsia="Arial" w:hAnsi="Arial"/>
                  <w:sz w:val="18"/>
                  <w:szCs w:val="18"/>
                  <w:color w:val="0000FF"/>
                </w:rPr>
                <w:t>Leases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12">
              <w:r>
                <w:rPr>
                  <w:rFonts w:ascii="Arial" w:cs="Arial" w:eastAsia="Arial" w:hAnsi="Arial"/>
                  <w:sz w:val="18"/>
                  <w:szCs w:val="18"/>
                  <w:color w:val="0000FF"/>
                  <w:w w:val="89"/>
                </w:rPr>
                <w:t>10</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00" w:type="dxa"/>
            <w:vAlign w:val="bottom"/>
            <w:tcBorders>
              <w:bottom w:val="single" w:sz="8" w:color="0000FF"/>
            </w:tcBorders>
            <w:gridSpan w:val="13"/>
          </w:tcPr>
          <w:p>
            <w:pPr>
              <w:spacing w:after="0"/>
              <w:rPr>
                <w:rFonts w:ascii="Arial" w:cs="Arial" w:eastAsia="Arial" w:hAnsi="Arial"/>
                <w:sz w:val="18"/>
                <w:szCs w:val="18"/>
                <w:color w:val="0000FF"/>
                <w:w w:val="96"/>
              </w:rPr>
            </w:pPr>
            <w:hyperlink w:anchor="page13">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8: </w:t>
            </w:r>
            <w:hyperlink w:anchor="page13">
              <w:r>
                <w:rPr>
                  <w:rFonts w:ascii="Arial" w:cs="Arial" w:eastAsia="Arial" w:hAnsi="Arial"/>
                  <w:sz w:val="18"/>
                  <w:szCs w:val="18"/>
                  <w:color w:val="0000FF"/>
                  <w:w w:val="96"/>
                </w:rPr>
                <w:t>Strategic Investments</w:t>
              </w:r>
            </w:hyperlink>
          </w:p>
        </w:tc>
        <w:tc>
          <w:tcPr>
            <w:tcW w:w="7520" w:type="dxa"/>
            <w:vAlign w:val="bottom"/>
            <w:gridSpan w:val="16"/>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11</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20" w:type="dxa"/>
            <w:vAlign w:val="bottom"/>
            <w:tcBorders>
              <w:bottom w:val="single" w:sz="8" w:color="0000FF"/>
            </w:tcBorders>
            <w:gridSpan w:val="16"/>
          </w:tcPr>
          <w:p>
            <w:pPr>
              <w:spacing w:after="0"/>
              <w:rPr>
                <w:rFonts w:ascii="Arial" w:cs="Arial" w:eastAsia="Arial" w:hAnsi="Arial"/>
                <w:sz w:val="18"/>
                <w:szCs w:val="18"/>
                <w:color w:val="0000FF"/>
                <w:w w:val="96"/>
              </w:rPr>
            </w:pPr>
            <w:hyperlink w:anchor="page13">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9: </w:t>
            </w:r>
            <w:hyperlink w:anchor="page13">
              <w:r>
                <w:rPr>
                  <w:rFonts w:ascii="Arial" w:cs="Arial" w:eastAsia="Arial" w:hAnsi="Arial"/>
                  <w:sz w:val="18"/>
                  <w:szCs w:val="18"/>
                  <w:color w:val="0000FF"/>
                  <w:w w:val="96"/>
                </w:rPr>
                <w:t>Fair Value Measurements</w:t>
              </w:r>
            </w:hyperlink>
          </w:p>
        </w:tc>
        <w:tc>
          <w:tcPr>
            <w:tcW w:w="7200" w:type="dxa"/>
            <w:vAlign w:val="bottom"/>
            <w:gridSpan w:val="13"/>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3">
              <w:r>
                <w:rPr>
                  <w:rFonts w:ascii="Arial" w:cs="Arial" w:eastAsia="Arial" w:hAnsi="Arial"/>
                  <w:sz w:val="18"/>
                  <w:szCs w:val="18"/>
                  <w:color w:val="0000FF"/>
                  <w:w w:val="89"/>
                </w:rPr>
                <w:t>12</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9"/>
          </w:tcPr>
          <w:p>
            <w:pPr>
              <w:spacing w:after="0"/>
              <w:rPr>
                <w:rFonts w:ascii="Arial" w:cs="Arial" w:eastAsia="Arial" w:hAnsi="Arial"/>
                <w:sz w:val="18"/>
                <w:szCs w:val="18"/>
                <w:color w:val="0000FF"/>
              </w:rPr>
            </w:pPr>
            <w:hyperlink w:anchor="page16">
              <w:r>
                <w:rPr>
                  <w:rFonts w:ascii="Arial" w:cs="Arial" w:eastAsia="Arial" w:hAnsi="Arial"/>
                  <w:sz w:val="18"/>
                  <w:szCs w:val="18"/>
                  <w:color w:val="0000FF"/>
                </w:rPr>
                <w:t>Note 10: Debt</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16">
              <w:r>
                <w:rPr>
                  <w:rFonts w:ascii="Arial" w:cs="Arial" w:eastAsia="Arial" w:hAnsi="Arial"/>
                  <w:sz w:val="18"/>
                  <w:szCs w:val="18"/>
                  <w:color w:val="0000FF"/>
                  <w:w w:val="89"/>
                </w:rPr>
                <w:t>14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3"/>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20" w:type="dxa"/>
            <w:vAlign w:val="bottom"/>
            <w:gridSpan w:val="29"/>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 xml:space="preserve">Note </w:t>
              </w:r>
            </w:hyperlink>
            <w:r>
              <w:rPr>
                <w:rFonts w:ascii="Arial" w:cs="Arial" w:eastAsia="Arial" w:hAnsi="Arial"/>
                <w:sz w:val="18"/>
                <w:szCs w:val="18"/>
                <w:color w:val="0000FF"/>
              </w:rPr>
              <w:t xml:space="preserve">11: </w:t>
            </w:r>
            <w:hyperlink w:anchor="page18">
              <w:r>
                <w:rPr>
                  <w:rFonts w:ascii="Arial" w:cs="Arial" w:eastAsia="Arial" w:hAnsi="Arial"/>
                  <w:sz w:val="18"/>
                  <w:szCs w:val="18"/>
                  <w:color w:val="0000FF"/>
                </w:rPr>
                <w:t>Share-Based Compensation</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tcBorders>
              <w:top w:val="single" w:sz="8" w:color="0000FF"/>
              <w:bottom w:val="single" w:sz="8" w:color="0000FF"/>
            </w:tcBorders>
            <w:gridSpan w:val="10"/>
          </w:tcPr>
          <w:p>
            <w:pPr>
              <w:spacing w:after="0"/>
              <w:rPr>
                <w:rFonts w:ascii="Arial" w:cs="Arial" w:eastAsia="Arial" w:hAnsi="Arial"/>
                <w:sz w:val="18"/>
                <w:szCs w:val="18"/>
                <w:color w:val="0000FF"/>
                <w:w w:val="94"/>
              </w:rPr>
            </w:pPr>
            <w:hyperlink w:anchor="page18">
              <w:r>
                <w:rPr>
                  <w:rFonts w:ascii="Arial" w:cs="Arial" w:eastAsia="Arial" w:hAnsi="Arial"/>
                  <w:sz w:val="18"/>
                  <w:szCs w:val="18"/>
                  <w:color w:val="0000FF"/>
                  <w:w w:val="94"/>
                </w:rPr>
                <w:t xml:space="preserve">Note </w:t>
              </w:r>
            </w:hyperlink>
            <w:r>
              <w:rPr>
                <w:rFonts w:ascii="Arial" w:cs="Arial" w:eastAsia="Arial" w:hAnsi="Arial"/>
                <w:sz w:val="18"/>
                <w:szCs w:val="18"/>
                <w:color w:val="0000FF"/>
                <w:w w:val="94"/>
              </w:rPr>
              <w:t xml:space="preserve">12: </w:t>
            </w:r>
            <w:hyperlink w:anchor="page18">
              <w:r>
                <w:rPr>
                  <w:rFonts w:ascii="Arial" w:cs="Arial" w:eastAsia="Arial" w:hAnsi="Arial"/>
                  <w:sz w:val="18"/>
                  <w:szCs w:val="18"/>
                  <w:color w:val="0000FF"/>
                  <w:w w:val="94"/>
                </w:rPr>
                <w:t>Income Taxes</w:t>
              </w:r>
            </w:hyperlink>
          </w:p>
        </w:tc>
        <w:tc>
          <w:tcPr>
            <w:tcW w:w="1140" w:type="dxa"/>
            <w:vAlign w:val="bottom"/>
            <w:tcBorders>
              <w:top w:val="single" w:sz="8" w:color="0000FF"/>
            </w:tcBorders>
            <w:gridSpan w:val="7"/>
          </w:tcPr>
          <w:p>
            <w:pPr>
              <w:spacing w:after="0"/>
              <w:rPr>
                <w:sz w:val="18"/>
                <w:szCs w:val="18"/>
                <w:color w:val="auto"/>
              </w:rPr>
            </w:pPr>
          </w:p>
        </w:tc>
        <w:tc>
          <w:tcPr>
            <w:tcW w:w="6900" w:type="dxa"/>
            <w:vAlign w:val="bottom"/>
            <w:gridSpan w:val="12"/>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16</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320" w:type="dxa"/>
            <w:vAlign w:val="bottom"/>
            <w:tcBorders>
              <w:bottom w:val="single" w:sz="8" w:color="0000FF"/>
            </w:tcBorders>
            <w:gridSpan w:val="18"/>
          </w:tcPr>
          <w:p>
            <w:pPr>
              <w:spacing w:after="0"/>
              <w:rPr>
                <w:rFonts w:ascii="Arial" w:cs="Arial" w:eastAsia="Arial" w:hAnsi="Arial"/>
                <w:sz w:val="18"/>
                <w:szCs w:val="18"/>
                <w:color w:val="0000FF"/>
                <w:w w:val="97"/>
              </w:rPr>
            </w:pPr>
            <w:hyperlink w:anchor="page18">
              <w:r>
                <w:rPr>
                  <w:rFonts w:ascii="Arial" w:cs="Arial" w:eastAsia="Arial" w:hAnsi="Arial"/>
                  <w:sz w:val="18"/>
                  <w:szCs w:val="18"/>
                  <w:color w:val="0000FF"/>
                  <w:w w:val="97"/>
                </w:rPr>
                <w:t xml:space="preserve">Note </w:t>
              </w:r>
            </w:hyperlink>
            <w:r>
              <w:rPr>
                <w:rFonts w:ascii="Arial" w:cs="Arial" w:eastAsia="Arial" w:hAnsi="Arial"/>
                <w:sz w:val="18"/>
                <w:szCs w:val="18"/>
                <w:color w:val="0000FF"/>
                <w:w w:val="97"/>
              </w:rPr>
              <w:t xml:space="preserve">13: </w:t>
            </w:r>
            <w:hyperlink w:anchor="page18">
              <w:r>
                <w:rPr>
                  <w:rFonts w:ascii="Arial" w:cs="Arial" w:eastAsia="Arial" w:hAnsi="Arial"/>
                  <w:sz w:val="18"/>
                  <w:szCs w:val="18"/>
                  <w:color w:val="0000FF"/>
                  <w:w w:val="97"/>
                </w:rPr>
                <w:t>Commitments and Contingencies</w:t>
              </w:r>
            </w:hyperlink>
          </w:p>
        </w:tc>
        <w:tc>
          <w:tcPr>
            <w:tcW w:w="6500" w:type="dxa"/>
            <w:vAlign w:val="bottom"/>
            <w:gridSpan w:val="11"/>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8">
              <w:r>
                <w:rPr>
                  <w:rFonts w:ascii="Arial" w:cs="Arial" w:eastAsia="Arial" w:hAnsi="Arial"/>
                  <w:sz w:val="18"/>
                  <w:szCs w:val="18"/>
                  <w:color w:val="0000FF"/>
                  <w:w w:val="89"/>
                </w:rPr>
                <w:t>17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340" w:type="dxa"/>
            <w:vAlign w:val="bottom"/>
            <w:tcBorders>
              <w:bottom w:val="single" w:sz="8" w:color="0000FF"/>
            </w:tcBorders>
            <w:gridSpan w:val="14"/>
          </w:tcPr>
          <w:p>
            <w:pPr>
              <w:spacing w:after="0"/>
              <w:rPr>
                <w:rFonts w:ascii="Arial" w:cs="Arial" w:eastAsia="Arial" w:hAnsi="Arial"/>
                <w:sz w:val="18"/>
                <w:szCs w:val="18"/>
                <w:color w:val="0000FF"/>
                <w:w w:val="96"/>
              </w:rPr>
            </w:pPr>
            <w:hyperlink w:anchor="page19">
              <w:r>
                <w:rPr>
                  <w:rFonts w:ascii="Arial" w:cs="Arial" w:eastAsia="Arial" w:hAnsi="Arial"/>
                  <w:sz w:val="18"/>
                  <w:szCs w:val="18"/>
                  <w:color w:val="0000FF"/>
                  <w:w w:val="96"/>
                </w:rPr>
                <w:t xml:space="preserve">Note </w:t>
              </w:r>
            </w:hyperlink>
            <w:r>
              <w:rPr>
                <w:rFonts w:ascii="Arial" w:cs="Arial" w:eastAsia="Arial" w:hAnsi="Arial"/>
                <w:sz w:val="18"/>
                <w:szCs w:val="18"/>
                <w:color w:val="0000FF"/>
                <w:w w:val="96"/>
              </w:rPr>
              <w:t xml:space="preserve">14: </w:t>
            </w:r>
            <w:hyperlink w:anchor="page19">
              <w:r>
                <w:rPr>
                  <w:rFonts w:ascii="Arial" w:cs="Arial" w:eastAsia="Arial" w:hAnsi="Arial"/>
                  <w:sz w:val="18"/>
                  <w:szCs w:val="18"/>
                  <w:color w:val="0000FF"/>
                  <w:w w:val="96"/>
                </w:rPr>
                <w:t>Segment Information</w:t>
              </w:r>
            </w:hyperlink>
          </w:p>
        </w:tc>
        <w:tc>
          <w:tcPr>
            <w:tcW w:w="7480" w:type="dxa"/>
            <w:vAlign w:val="bottom"/>
            <w:gridSpan w:val="15"/>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17</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0" w:type="dxa"/>
            <w:vAlign w:val="bottom"/>
            <w:tcBorders>
              <w:bottom w:val="single" w:sz="8" w:color="0000FF"/>
            </w:tcBorders>
            <w:gridSpan w:val="20"/>
          </w:tcPr>
          <w:p>
            <w:pPr>
              <w:spacing w:after="0"/>
              <w:rPr>
                <w:rFonts w:ascii="Arial" w:cs="Arial" w:eastAsia="Arial" w:hAnsi="Arial"/>
                <w:sz w:val="18"/>
                <w:szCs w:val="18"/>
                <w:color w:val="0000FF"/>
                <w:w w:val="98"/>
              </w:rPr>
            </w:pPr>
            <w:hyperlink w:anchor="page21">
              <w:r>
                <w:rPr>
                  <w:rFonts w:ascii="Arial" w:cs="Arial" w:eastAsia="Arial" w:hAnsi="Arial"/>
                  <w:sz w:val="18"/>
                  <w:szCs w:val="18"/>
                  <w:color w:val="0000FF"/>
                  <w:w w:val="98"/>
                </w:rPr>
                <w:t xml:space="preserve">Note </w:t>
              </w:r>
            </w:hyperlink>
            <w:r>
              <w:rPr>
                <w:rFonts w:ascii="Arial" w:cs="Arial" w:eastAsia="Arial" w:hAnsi="Arial"/>
                <w:sz w:val="18"/>
                <w:szCs w:val="18"/>
                <w:color w:val="0000FF"/>
                <w:w w:val="98"/>
              </w:rPr>
              <w:t xml:space="preserve">15: </w:t>
            </w:r>
            <w:hyperlink w:anchor="page21">
              <w:r>
                <w:rPr>
                  <w:rFonts w:ascii="Arial" w:cs="Arial" w:eastAsia="Arial" w:hAnsi="Arial"/>
                  <w:sz w:val="18"/>
                  <w:szCs w:val="18"/>
                  <w:color w:val="0000FF"/>
                  <w:w w:val="98"/>
                </w:rPr>
                <w:t>Supplemental Consolidated Financial Information</w:t>
              </w:r>
            </w:hyperlink>
          </w:p>
        </w:tc>
        <w:tc>
          <w:tcPr>
            <w:tcW w:w="5220" w:type="dxa"/>
            <w:vAlign w:val="bottom"/>
            <w:gridSpan w:val="9"/>
          </w:tcPr>
          <w:p>
            <w:pPr>
              <w:spacing w:after="0"/>
              <w:rPr>
                <w:sz w:val="18"/>
                <w:szCs w:val="18"/>
                <w:color w:val="auto"/>
              </w:rPr>
            </w:pPr>
          </w:p>
        </w:tc>
        <w:tc>
          <w:tcPr>
            <w:tcW w:w="200" w:type="dxa"/>
            <w:vAlign w:val="bottom"/>
            <w:tcBorders>
              <w:bottom w:val="single" w:sz="8" w:color="0000FF"/>
            </w:tcBorders>
            <w:gridSpan w:val="2"/>
          </w:tcPr>
          <w:p>
            <w:pPr>
              <w:jc w:val="right"/>
              <w:spacing w:after="0"/>
              <w:rPr>
                <w:rFonts w:ascii="Arial" w:cs="Arial" w:eastAsia="Arial" w:hAnsi="Arial"/>
                <w:sz w:val="18"/>
                <w:szCs w:val="18"/>
                <w:color w:val="0000FF"/>
                <w:w w:val="89"/>
              </w:rPr>
            </w:pPr>
            <w:hyperlink w:anchor="page21">
              <w:r>
                <w:rPr>
                  <w:rFonts w:ascii="Arial" w:cs="Arial" w:eastAsia="Arial" w:hAnsi="Arial"/>
                  <w:sz w:val="18"/>
                  <w:szCs w:val="18"/>
                  <w:color w:val="0000FF"/>
                  <w:w w:val="89"/>
                </w:rPr>
                <w:t>20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60" w:type="dxa"/>
            <w:vAlign w:val="bottom"/>
            <w:gridSpan w:val="31"/>
          </w:tcPr>
          <w:p>
            <w:pPr>
              <w:ind w:left="20"/>
              <w:spacing w:after="0"/>
              <w:rPr>
                <w:rFonts w:ascii="Arial" w:cs="Arial" w:eastAsia="Arial" w:hAnsi="Arial"/>
                <w:sz w:val="18"/>
                <w:szCs w:val="18"/>
                <w:color w:val="0000FF"/>
              </w:rPr>
            </w:pPr>
            <w:hyperlink w:anchor="page22">
              <w:r>
                <w:rPr>
                  <w:rFonts w:ascii="Arial" w:cs="Arial" w:eastAsia="Arial" w:hAnsi="Arial"/>
                  <w:sz w:val="18"/>
                  <w:szCs w:val="18"/>
                  <w:color w:val="0000FF"/>
                </w:rPr>
                <w:t>Item 2. Management’s Discussion and Analysis of Financial Condition and Results of Operations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22">
              <w:r>
                <w:rPr>
                  <w:rFonts w:ascii="Arial" w:cs="Arial" w:eastAsia="Arial" w:hAnsi="Arial"/>
                  <w:sz w:val="18"/>
                  <w:szCs w:val="18"/>
                  <w:color w:val="0000FF"/>
                  <w:w w:val="89"/>
                </w:rPr>
                <w:t>21</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80" w:type="dxa"/>
            <w:vAlign w:val="bottom"/>
            <w:tcBorders>
              <w:top w:val="single" w:sz="8" w:color="0000FF"/>
            </w:tcBorders>
            <w:gridSpan w:val="25"/>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Item 3. Quantitative and Qualitative Disclosures about Market Risk</w:t>
              </w:r>
            </w:hyperlink>
          </w:p>
        </w:tc>
        <w:tc>
          <w:tcPr>
            <w:tcW w:w="2980" w:type="dxa"/>
            <w:vAlign w:val="bottom"/>
            <w:gridSpan w:val="6"/>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300" w:type="dxa"/>
            <w:vAlign w:val="bottom"/>
            <w:tcBorders>
              <w:top w:val="single" w:sz="8" w:color="0000FF"/>
            </w:tcBorders>
            <w:gridSpan w:val="21"/>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Item 4. Controls and Procedures</w:t>
              </w:r>
            </w:hyperlink>
          </w:p>
        </w:tc>
        <w:tc>
          <w:tcPr>
            <w:tcW w:w="5360" w:type="dxa"/>
            <w:vAlign w:val="bottom"/>
            <w:gridSpan w:val="10"/>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5">
              <w:r>
                <w:rPr>
                  <w:rFonts w:ascii="Arial" w:cs="Arial" w:eastAsia="Arial" w:hAnsi="Arial"/>
                  <w:sz w:val="18"/>
                  <w:szCs w:val="18"/>
                  <w:color w:val="0000FF"/>
                  <w:w w:val="89"/>
                </w:rPr>
                <w:t>33</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right w:val="single" w:sz="8" w:color="0000FF"/>
            </w:tcBorders>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8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60" w:type="dxa"/>
            <w:vAlign w:val="bottom"/>
            <w:gridSpan w:val="20"/>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980" w:type="dxa"/>
            <w:vAlign w:val="bottom"/>
            <w:gridSpan w:val="3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PART II — OTHER INFORMATION</w:t>
              </w:r>
            </w:hyperlink>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2520" w:type="dxa"/>
            <w:vAlign w:val="bottom"/>
            <w:tcBorders>
              <w:top w:val="single" w:sz="8" w:color="0000FF"/>
            </w:tcBorders>
            <w:gridSpan w:val="10"/>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1. Legal Proceedings</w:t>
              </w:r>
            </w:hyperlink>
          </w:p>
        </w:tc>
        <w:tc>
          <w:tcPr>
            <w:tcW w:w="8140" w:type="dxa"/>
            <w:vAlign w:val="bottom"/>
            <w:gridSpan w:val="21"/>
          </w:tcPr>
          <w:p>
            <w:pPr>
              <w:spacing w:after="0"/>
              <w:rPr>
                <w:sz w:val="18"/>
                <w:szCs w:val="18"/>
                <w:color w:val="auto"/>
              </w:rPr>
            </w:pPr>
          </w:p>
        </w:tc>
        <w:tc>
          <w:tcPr>
            <w:tcW w:w="240" w:type="dxa"/>
            <w:vAlign w:val="bottom"/>
            <w:gridSpan w:val="3"/>
          </w:tcPr>
          <w:p>
            <w:pPr>
              <w:jc w:val="right"/>
              <w:ind w:right="4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top w:val="single" w:sz="8" w:color="0000FF"/>
            </w:tcBorders>
            <w:gridSpan w:val="8"/>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Item 1A. Risk Factors</w:t>
              </w:r>
            </w:hyperlink>
          </w:p>
        </w:tc>
        <w:tc>
          <w:tcPr>
            <w:tcW w:w="8560" w:type="dxa"/>
            <w:vAlign w:val="bottom"/>
            <w:gridSpan w:val="23"/>
          </w:tcPr>
          <w:p>
            <w:pPr>
              <w:spacing w:after="0"/>
              <w:rPr>
                <w:sz w:val="18"/>
                <w:szCs w:val="18"/>
                <w:color w:val="auto"/>
              </w:rPr>
            </w:pPr>
          </w:p>
        </w:tc>
        <w:tc>
          <w:tcPr>
            <w:tcW w:w="200" w:type="dxa"/>
            <w:vAlign w:val="bottom"/>
            <w:tcBorders>
              <w:top w:val="single" w:sz="8" w:color="0000FF"/>
            </w:tcBorders>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Borders>
              <w:top w:val="single" w:sz="8" w:color="0000FF"/>
              <w:bottom w:val="single" w:sz="8" w:color="0000FF"/>
            </w:tcBorders>
            <w:gridSpan w:val="3"/>
          </w:tcPr>
          <w:p>
            <w:pPr>
              <w:ind w:left="20"/>
              <w:spacing w:after="0"/>
              <w:rPr>
                <w:rFonts w:ascii="Arial" w:cs="Arial" w:eastAsia="Arial" w:hAnsi="Arial"/>
                <w:sz w:val="18"/>
                <w:szCs w:val="18"/>
                <w:color w:val="0000FF"/>
                <w:w w:val="97"/>
              </w:rPr>
            </w:pPr>
            <w:hyperlink w:anchor="page36">
              <w:r>
                <w:rPr>
                  <w:rFonts w:ascii="Arial" w:cs="Arial" w:eastAsia="Arial" w:hAnsi="Arial"/>
                  <w:sz w:val="18"/>
                  <w:szCs w:val="18"/>
                  <w:color w:val="0000FF"/>
                  <w:w w:val="97"/>
                </w:rPr>
                <w:t>Item 6. Exhibits</w:t>
              </w:r>
            </w:hyperlink>
          </w:p>
        </w:tc>
        <w:tc>
          <w:tcPr>
            <w:tcW w:w="480" w:type="dxa"/>
            <w:vAlign w:val="bottom"/>
            <w:tcBorders>
              <w:top w:val="single" w:sz="8" w:color="0000FF"/>
            </w:tcBorders>
            <w:gridSpan w:val="2"/>
          </w:tcPr>
          <w:p>
            <w:pPr>
              <w:spacing w:after="0"/>
              <w:rPr>
                <w:sz w:val="18"/>
                <w:szCs w:val="18"/>
                <w:color w:val="auto"/>
              </w:rPr>
            </w:pPr>
          </w:p>
        </w:tc>
        <w:tc>
          <w:tcPr>
            <w:tcW w:w="8940" w:type="dxa"/>
            <w:vAlign w:val="bottom"/>
            <w:gridSpan w:val="26"/>
          </w:tcPr>
          <w:p>
            <w:pPr>
              <w:spacing w:after="0"/>
              <w:rPr>
                <w:sz w:val="18"/>
                <w:szCs w:val="18"/>
                <w:color w:val="auto"/>
              </w:rPr>
            </w:pPr>
          </w:p>
        </w:tc>
        <w:tc>
          <w:tcPr>
            <w:tcW w:w="20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35</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980" w:type="dxa"/>
            <w:vAlign w:val="bottom"/>
            <w:gridSpan w:val="32"/>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SIGNATURES</w:t>
              </w:r>
            </w:hyperlink>
          </w:p>
        </w:tc>
        <w:tc>
          <w:tcPr>
            <w:tcW w:w="240" w:type="dxa"/>
            <w:vAlign w:val="bottom"/>
            <w:gridSpan w:val="3"/>
          </w:tcPr>
          <w:p>
            <w:pPr>
              <w:jc w:val="right"/>
              <w:ind w:right="40"/>
              <w:spacing w:after="0"/>
              <w:rPr>
                <w:rFonts w:ascii="Arial" w:cs="Arial" w:eastAsia="Arial" w:hAnsi="Arial"/>
                <w:sz w:val="18"/>
                <w:szCs w:val="18"/>
                <w:color w:val="0000FF"/>
                <w:w w:val="89"/>
              </w:rPr>
            </w:pPr>
            <w:hyperlink w:anchor="page37">
              <w:r>
                <w:rPr>
                  <w:rFonts w:ascii="Arial" w:cs="Arial" w:eastAsia="Arial" w:hAnsi="Arial"/>
                  <w:sz w:val="18"/>
                  <w:szCs w:val="18"/>
                  <w:color w:val="0000FF"/>
                  <w:w w:val="89"/>
                </w:rPr>
                <w:t>36</w:t>
              </w:r>
            </w:hyperlink>
          </w:p>
        </w:tc>
        <w:tc>
          <w:tcPr>
            <w:tcW w:w="0" w:type="dxa"/>
            <w:vAlign w:val="bottom"/>
          </w:tcPr>
          <w:p>
            <w:pPr>
              <w:spacing w:after="0"/>
              <w:rPr>
                <w:sz w:val="1"/>
                <w:szCs w:val="1"/>
                <w:color w:val="auto"/>
              </w:rPr>
            </w:pPr>
          </w:p>
        </w:tc>
      </w:tr>
      <w:tr>
        <w:trPr>
          <w:trHeight w:val="986"/>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BALANCE SHEETS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219"/>
              <w:spacing w:after="0"/>
              <w:rPr>
                <w:sz w:val="20"/>
                <w:szCs w:val="20"/>
                <w:color w:val="auto"/>
              </w:rPr>
            </w:pPr>
            <w:r>
              <w:rPr>
                <w:rFonts w:ascii="Arial" w:cs="Arial" w:eastAsia="Arial" w:hAnsi="Arial"/>
                <w:sz w:val="16"/>
                <w:szCs w:val="16"/>
                <w:b w:val="1"/>
                <w:bCs w:val="1"/>
                <w:color w:val="auto"/>
              </w:rPr>
              <w:t>June 30,</w:t>
            </w:r>
          </w:p>
        </w:tc>
        <w:tc>
          <w:tcPr>
            <w:tcW w:w="440" w:type="dxa"/>
            <w:vAlign w:val="bottom"/>
          </w:tcPr>
          <w:p>
            <w:pPr>
              <w:spacing w:after="0"/>
              <w:rPr>
                <w:sz w:val="16"/>
                <w:szCs w:val="16"/>
                <w:color w:val="auto"/>
              </w:rPr>
            </w:pPr>
          </w:p>
        </w:tc>
        <w:tc>
          <w:tcPr>
            <w:tcW w:w="118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r>
      <w:tr>
        <w:trPr>
          <w:trHeight w:val="215"/>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 except share and per share amounts)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2021</w:t>
            </w:r>
          </w:p>
        </w:tc>
        <w:tc>
          <w:tcPr>
            <w:tcW w:w="4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190"/>
        </w:trPr>
        <w:tc>
          <w:tcPr>
            <w:tcW w:w="6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gridSpan w:val="3"/>
            <w:shd w:val="clear" w:color="auto" w:fill="CCEEFF"/>
          </w:tcPr>
          <w:p>
            <w:pPr>
              <w:jc w:val="right"/>
              <w:spacing w:after="0" w:line="170" w:lineRule="exact"/>
              <w:rPr>
                <w:sz w:val="20"/>
                <w:szCs w:val="20"/>
                <w:color w:val="auto"/>
              </w:rPr>
            </w:pPr>
            <w:r>
              <w:rPr>
                <w:rFonts w:ascii="Arial" w:cs="Arial" w:eastAsia="Arial" w:hAnsi="Arial"/>
                <w:sz w:val="16"/>
                <w:szCs w:val="16"/>
                <w:color w:val="auto"/>
              </w:rPr>
              <w:t>(Unaudited)</w:t>
            </w: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213"/>
        </w:trPr>
        <w:tc>
          <w:tcPr>
            <w:tcW w:w="670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Assets:</w:t>
            </w: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300" w:type="dxa"/>
            <w:vAlign w:val="bottom"/>
            <w:tcBorders>
              <w:top w:val="single" w:sz="8" w:color="CCEEFF"/>
            </w:tcBorders>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283,668</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311,130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304,542</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cash</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13,795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8,011</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Pawn loans</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157,155</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113,290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131,323</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Pawn service charges receivable,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24,965</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20,580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Inventory,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92,242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123,112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95,891</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Notes receivable, net</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28,343</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600,168</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598,584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593,250</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35,387</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29,483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32,458</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Property and equipment,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55,630</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58,098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56,986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Lease right-of-use asset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185,467</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204,591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183,809</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Goodwill</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283,619</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257,326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257,582</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61,922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65,003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58,638</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Notes receivable,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1,173</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asset,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10,292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5,505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8,931</w:t>
            </w: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4,992</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4,572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4,221</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1,238,650</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1,224,302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r>
        <w:trPr>
          <w:trHeight w:val="203"/>
        </w:trPr>
        <w:tc>
          <w:tcPr>
            <w:tcW w:w="6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Liabilities and equity:</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Current maturities of long-term debt, net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Pr>
          <w:p>
            <w:pPr>
              <w:spacing w:after="0"/>
              <w:rPr>
                <w:sz w:val="18"/>
                <w:szCs w:val="18"/>
                <w:color w:val="auto"/>
              </w:rPr>
            </w:pP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Accounts payable, accrued expenses and other current liabilities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84,966</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58,358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71,504</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Customer layaway deposits</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11,884</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11,902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11,008</w:t>
            </w:r>
          </w:p>
        </w:tc>
      </w:tr>
      <w:tr>
        <w:trPr>
          <w:trHeight w:val="216"/>
        </w:trPr>
        <w:tc>
          <w:tcPr>
            <w:tcW w:w="67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Lease liability</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47,241</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48,840</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49,742</w:t>
            </w:r>
          </w:p>
        </w:tc>
      </w:tr>
      <w:tr>
        <w:trPr>
          <w:trHeight w:val="210"/>
        </w:trPr>
        <w:tc>
          <w:tcPr>
            <w:tcW w:w="670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144,091</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119,368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132,467</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Long-term debt, net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260,632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247,618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251,016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Deferred tax liability, net</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1,309</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Lease liability</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149,342</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167,716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153,040</w:t>
            </w: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long-term liabilities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10,058</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7,523</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10,849</w:t>
            </w:r>
          </w:p>
        </w:tc>
      </w:tr>
      <w:tr>
        <w:trPr>
          <w:trHeight w:val="212"/>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565,432</w:t>
            </w:r>
          </w:p>
        </w:tc>
        <w:tc>
          <w:tcPr>
            <w:tcW w:w="4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544,390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547,896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Commitments and Contingencies (Note 13)</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177"/>
        </w:trPr>
        <w:tc>
          <w:tcPr>
            <w:tcW w:w="6700" w:type="dxa"/>
            <w:vAlign w:val="bottom"/>
          </w:tcPr>
          <w:p>
            <w:pPr>
              <w:ind w:left="480"/>
              <w:spacing w:after="0" w:line="178" w:lineRule="exact"/>
              <w:rPr>
                <w:sz w:val="20"/>
                <w:szCs w:val="20"/>
                <w:color w:val="auto"/>
              </w:rPr>
            </w:pPr>
            <w:r>
              <w:rPr>
                <w:rFonts w:ascii="Arial" w:cs="Arial" w:eastAsia="Arial" w:hAnsi="Arial"/>
                <w:sz w:val="16"/>
                <w:szCs w:val="16"/>
                <w:color w:val="auto"/>
              </w:rPr>
              <w:t>Class A Non-voting Common Stock, par value $0.01 per share; shares authorized:</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62"/>
        </w:trPr>
        <w:tc>
          <w:tcPr>
            <w:tcW w:w="6700" w:type="dxa"/>
            <w:vAlign w:val="bottom"/>
          </w:tcPr>
          <w:p>
            <w:pPr>
              <w:ind w:left="480"/>
              <w:spacing w:after="0" w:line="162" w:lineRule="exact"/>
              <w:rPr>
                <w:sz w:val="20"/>
                <w:szCs w:val="20"/>
                <w:color w:val="auto"/>
              </w:rPr>
            </w:pPr>
            <w:r>
              <w:rPr>
                <w:rFonts w:ascii="Arial" w:cs="Arial" w:eastAsia="Arial" w:hAnsi="Arial"/>
                <w:sz w:val="16"/>
                <w:szCs w:val="16"/>
                <w:color w:val="auto"/>
              </w:rPr>
              <w:t>100 million; issued and outstanding: 53,086,438 as of June 30, 2021; 52,097,590 as of</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8"/>
        </w:trPr>
        <w:tc>
          <w:tcPr>
            <w:tcW w:w="6700" w:type="dxa"/>
            <w:vAlign w:val="bottom"/>
          </w:tcPr>
          <w:p>
            <w:pPr>
              <w:ind w:left="480"/>
              <w:spacing w:after="0"/>
              <w:rPr>
                <w:sz w:val="20"/>
                <w:szCs w:val="20"/>
                <w:color w:val="auto"/>
              </w:rPr>
            </w:pPr>
            <w:r>
              <w:rPr>
                <w:rFonts w:ascii="Arial" w:cs="Arial" w:eastAsia="Arial" w:hAnsi="Arial"/>
                <w:sz w:val="16"/>
                <w:szCs w:val="16"/>
                <w:color w:val="auto"/>
              </w:rPr>
              <w:t>June 30, 2020; and 52,332,848 as of September 30, 2020</w:t>
            </w:r>
          </w:p>
        </w:tc>
        <w:tc>
          <w:tcPr>
            <w:tcW w:w="240" w:type="dxa"/>
            <w:vAlign w:val="bottom"/>
          </w:tcPr>
          <w:p>
            <w:pPr>
              <w:spacing w:after="0"/>
              <w:rPr>
                <w:sz w:val="17"/>
                <w:szCs w:val="17"/>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530</w:t>
            </w:r>
          </w:p>
        </w:tc>
        <w:tc>
          <w:tcPr>
            <w:tcW w:w="4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521</w:t>
            </w:r>
          </w:p>
        </w:tc>
      </w:tr>
      <w:tr>
        <w:trPr>
          <w:trHeight w:val="180"/>
        </w:trPr>
        <w:tc>
          <w:tcPr>
            <w:tcW w:w="6700" w:type="dxa"/>
            <w:vAlign w:val="bottom"/>
            <w:shd w:val="clear" w:color="auto" w:fill="CCEEFF"/>
          </w:tcPr>
          <w:p>
            <w:pPr>
              <w:ind w:left="480"/>
              <w:spacing w:after="0" w:line="181" w:lineRule="exact"/>
              <w:rPr>
                <w:sz w:val="20"/>
                <w:szCs w:val="20"/>
                <w:color w:val="auto"/>
              </w:rPr>
            </w:pPr>
            <w:r>
              <w:rPr>
                <w:rFonts w:ascii="Arial" w:cs="Arial" w:eastAsia="Arial" w:hAnsi="Arial"/>
                <w:sz w:val="16"/>
                <w:szCs w:val="16"/>
                <w:color w:val="auto"/>
              </w:rPr>
              <w:t>Class B Voting Common Stock, convertible, par value $0.01 per share; shares</w:t>
            </w: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01"/>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authorized: 3 million; issued and outstanding: 2,970,171</w:t>
            </w: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30</w:t>
            </w:r>
          </w:p>
        </w:tc>
        <w:tc>
          <w:tcPr>
            <w:tcW w:w="4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18"/>
                <w:szCs w:val="18"/>
                <w:color w:val="auto"/>
              </w:rPr>
            </w:pPr>
          </w:p>
        </w:tc>
        <w:tc>
          <w:tcPr>
            <w:tcW w:w="1240" w:type="dxa"/>
            <w:vAlign w:val="bottom"/>
            <w:gridSpan w:val="2"/>
          </w:tcPr>
          <w:p>
            <w:pPr>
              <w:jc w:val="right"/>
              <w:ind w:right="39"/>
              <w:spacing w:after="0"/>
              <w:rPr>
                <w:sz w:val="20"/>
                <w:szCs w:val="20"/>
                <w:color w:val="auto"/>
              </w:rPr>
            </w:pPr>
            <w:r>
              <w:rPr>
                <w:rFonts w:ascii="Arial" w:cs="Arial" w:eastAsia="Arial" w:hAnsi="Arial"/>
                <w:sz w:val="16"/>
                <w:szCs w:val="16"/>
                <w:color w:val="auto"/>
              </w:rPr>
              <w:t>402,522</w:t>
            </w:r>
          </w:p>
        </w:tc>
        <w:tc>
          <w:tcPr>
            <w:tcW w:w="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408,601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398,475</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325,228</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318,169</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(55,092)</w:t>
            </w: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(70,757)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(68,068)</w:t>
            </w:r>
          </w:p>
        </w:tc>
      </w:tr>
      <w:tr>
        <w:trPr>
          <w:trHeight w:val="210"/>
        </w:trPr>
        <w:tc>
          <w:tcPr>
            <w:tcW w:w="67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673,218</w:t>
            </w: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679,912</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649,127</w:t>
            </w:r>
          </w:p>
        </w:tc>
      </w:tr>
      <w:tr>
        <w:trPr>
          <w:trHeight w:val="219"/>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liabilities and equity</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color w:val="auto"/>
              </w:rPr>
              <w:t>1,238,650</w:t>
            </w:r>
          </w:p>
        </w:tc>
        <w:tc>
          <w:tcPr>
            <w:tcW w:w="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1,224,302</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1,197,023</w:t>
            </w:r>
          </w:p>
        </w:tc>
      </w:tr>
    </w:tbl>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4"/>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3"/>
          </w:tcPr>
          <w:p>
            <w:pPr>
              <w:jc w:val="right"/>
              <w:ind w:right="739"/>
              <w:spacing w:after="0"/>
              <w:rPr>
                <w:sz w:val="20"/>
                <w:szCs w:val="20"/>
                <w:color w:val="auto"/>
              </w:rPr>
            </w:pPr>
            <w:r>
              <w:rPr>
                <w:rFonts w:ascii="Arial" w:cs="Arial" w:eastAsia="Arial" w:hAnsi="Arial"/>
                <w:sz w:val="14"/>
                <w:szCs w:val="14"/>
                <w:b w:val="1"/>
                <w:bCs w:val="1"/>
                <w:color w:val="auto"/>
              </w:rPr>
              <w:t>Nine Months Ended</w:t>
            </w:r>
          </w:p>
        </w:tc>
      </w:tr>
      <w:tr>
        <w:trPr>
          <w:trHeight w:val="176"/>
        </w:trPr>
        <w:tc>
          <w:tcPr>
            <w:tcW w:w="52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5"/>
                <w:szCs w:val="15"/>
                <w:color w:val="auto"/>
              </w:rPr>
            </w:pPr>
          </w:p>
        </w:tc>
      </w:tr>
      <w:tr>
        <w:trPr>
          <w:trHeight w:val="183"/>
        </w:trPr>
        <w:tc>
          <w:tcPr>
            <w:tcW w:w="5200" w:type="dxa"/>
            <w:vAlign w:val="bottom"/>
          </w:tcPr>
          <w:p>
            <w:pPr>
              <w:ind w:left="20"/>
              <w:spacing w:after="0"/>
              <w:rPr>
                <w:sz w:val="20"/>
                <w:szCs w:val="20"/>
                <w:color w:val="auto"/>
              </w:rPr>
            </w:pPr>
            <w:r>
              <w:rPr>
                <w:rFonts w:ascii="Arial" w:cs="Arial" w:eastAsia="Arial" w:hAnsi="Arial"/>
                <w:sz w:val="14"/>
                <w:szCs w:val="14"/>
                <w:color w:val="auto"/>
              </w:rPr>
              <w:t>(in thousands, except per share amount)</w:t>
            </w: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2020</w:t>
            </w:r>
          </w:p>
        </w:tc>
      </w:tr>
      <w:tr>
        <w:trPr>
          <w:trHeight w:val="34"/>
        </w:trPr>
        <w:tc>
          <w:tcPr>
            <w:tcW w:w="5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107,808</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136,537</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330,816</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393,095</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5,673</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18,507</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41,709</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60,431</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52,460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187,356</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217,407</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121</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428</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3,727</w:t>
            </w:r>
          </w:p>
        </w:tc>
      </w:tr>
      <w:tr>
        <w:trPr>
          <w:trHeight w:val="209"/>
        </w:trPr>
        <w:tc>
          <w:tcPr>
            <w:tcW w:w="52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174,033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210,224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537,107</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655,938</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60,539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190,872</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261,711</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5,473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16,158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16,076</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33,529</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r>
      <w:tr>
        <w:trPr>
          <w:trHeight w:val="209"/>
        </w:trPr>
        <w:tc>
          <w:tcPr>
            <w:tcW w:w="52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108,021</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102,175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330,159</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359,605</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81,803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82,341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242,261</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259,264</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14,589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40,870</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50,355</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47,060</w:t>
            </w: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7,419</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23,080</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23,174</w:t>
            </w: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90</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1,260</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497</w:t>
            </w:r>
          </w:p>
        </w:tc>
        <w:tc>
          <w:tcPr>
            <w:tcW w:w="4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497</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2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104,308</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106,451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306,798</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381,113</w:t>
            </w:r>
          </w:p>
        </w:tc>
      </w:tr>
      <w:tr>
        <w:trPr>
          <w:trHeight w:val="213"/>
        </w:trPr>
        <w:tc>
          <w:tcPr>
            <w:tcW w:w="52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Operating income (loss)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3,713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23,361</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(21,508)</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5,569</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16,542</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16,589</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4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(2,412)</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(643)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(2,409)</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5,896</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expense (income)</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w:t>
            </w: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(Loss) income before income taxes</w:t>
            </w:r>
          </w:p>
        </w:tc>
        <w:tc>
          <w:tcPr>
            <w:tcW w:w="3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(766)</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(10,238)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11,535</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(41,366)</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 expense (benefit)</w:t>
            </w:r>
          </w:p>
        </w:tc>
        <w:tc>
          <w:tcPr>
            <w:tcW w:w="3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1,804</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(4,751)</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4,476</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r>
      <w:tr>
        <w:trPr>
          <w:trHeight w:val="22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7,059</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(45,123)</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Basic (loss) earnings per share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(0.05)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0.13</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(0.81)</w:t>
            </w: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(loss) earnings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0.13</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(0.81)</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basic shares outstanding</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55,898</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55,639</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55,395</w:t>
            </w: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Weighted-average diluted shares outstanding</w:t>
            </w:r>
          </w:p>
        </w:tc>
        <w:tc>
          <w:tcPr>
            <w:tcW w:w="320" w:type="dxa"/>
            <w:vAlign w:val="bottom"/>
          </w:tcPr>
          <w:p>
            <w:pPr>
              <w:spacing w:after="0"/>
              <w:rPr>
                <w:sz w:val="18"/>
                <w:szCs w:val="18"/>
                <w:color w:val="auto"/>
              </w:rPr>
            </w:pPr>
          </w:p>
        </w:tc>
        <w:tc>
          <w:tcPr>
            <w:tcW w:w="1160" w:type="dxa"/>
            <w:vAlign w:val="bottom"/>
          </w:tcPr>
          <w:p>
            <w:pPr>
              <w:jc w:val="right"/>
              <w:ind w:right="40"/>
              <w:spacing w:after="0"/>
              <w:rPr>
                <w:sz w:val="20"/>
                <w:szCs w:val="20"/>
                <w:color w:val="auto"/>
              </w:rPr>
            </w:pPr>
            <w:r>
              <w:rPr>
                <w:rFonts w:ascii="Arial" w:cs="Arial" w:eastAsia="Arial" w:hAnsi="Arial"/>
                <w:sz w:val="16"/>
                <w:szCs w:val="16"/>
                <w:color w:val="auto"/>
              </w:rPr>
              <w:t>55,898</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55,068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60"/>
              <w:spacing w:after="0"/>
              <w:rPr>
                <w:sz w:val="20"/>
                <w:szCs w:val="20"/>
                <w:color w:val="auto"/>
              </w:rPr>
            </w:pPr>
            <w:r>
              <w:rPr>
                <w:rFonts w:ascii="Arial" w:cs="Arial" w:eastAsia="Arial" w:hAnsi="Arial"/>
                <w:sz w:val="16"/>
                <w:szCs w:val="16"/>
                <w:color w:val="auto"/>
              </w:rPr>
              <w:t>55,653</w:t>
            </w: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55,395</w:t>
            </w: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COMPREHENSIVE INCOME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(45,123)</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Foreign currency translation adjustment, net of tax</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5,416</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12,976</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(18,359)</w:t>
            </w: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Comprehensive income (loss)</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20,035</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(63,482)</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except for balances as of September 30, 2020 and September 30,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880" w:type="dxa"/>
            <w:vAlign w:val="bottom"/>
            <w:gridSpan w:val="4"/>
            <w:vMerge w:val="restart"/>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46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3"/>
                <w:szCs w:val="3"/>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4"/>
        </w:trPr>
        <w:tc>
          <w:tcPr>
            <w:tcW w:w="4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6"/>
        </w:trPr>
        <w:tc>
          <w:tcPr>
            <w:tcW w:w="468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 Income</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6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55,303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398,475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318,169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(68,068)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649,127</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524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296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(730)</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11,277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11,277</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4,299</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December 31, 2020</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55,599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398,269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322,468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(56,791)</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664,502</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consideration for prior period acquisition</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Foreign currency translation loss</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(1,760)</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5,330</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March 31, 2021</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55,844</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399,439</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327,798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(58,551)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669,244</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1,538</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Transfer of consideration for current period acquisition</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213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1,547</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3,459</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(2,570)</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June 30, 2021</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56,057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402,522</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325,228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(55,092)</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673,218</w:t>
            </w:r>
          </w:p>
        </w:tc>
        <w:tc>
          <w:tcPr>
            <w:tcW w:w="0" w:type="dxa"/>
            <w:vAlign w:val="bottom"/>
          </w:tcPr>
          <w:p>
            <w:pPr>
              <w:spacing w:after="0"/>
              <w:rPr>
                <w:sz w:val="1"/>
                <w:szCs w:val="1"/>
                <w:color w:val="auto"/>
              </w:rPr>
            </w:pPr>
          </w:p>
        </w:tc>
      </w:tr>
      <w:tr>
        <w:trPr>
          <w:trHeight w:val="445"/>
        </w:trPr>
        <w:tc>
          <w:tcPr>
            <w:tcW w:w="4680" w:type="dxa"/>
            <w:vAlign w:val="bottom"/>
          </w:tcPr>
          <w:p>
            <w:pPr>
              <w:spacing w:after="0"/>
              <w:rPr>
                <w:sz w:val="24"/>
                <w:szCs w:val="24"/>
                <w:color w:val="auto"/>
              </w:rPr>
            </w:pPr>
          </w:p>
        </w:tc>
        <w:tc>
          <w:tcPr>
            <w:tcW w:w="1880" w:type="dxa"/>
            <w:vAlign w:val="bottom"/>
            <w:gridSpan w:val="4"/>
            <w:vMerge w:val="restart"/>
          </w:tcPr>
          <w:p>
            <w:pPr>
              <w:jc w:val="right"/>
              <w:ind w:right="339"/>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24"/>
                <w:szCs w:val="24"/>
                <w:color w:val="auto"/>
              </w:rPr>
            </w:pPr>
          </w:p>
        </w:tc>
        <w:tc>
          <w:tcPr>
            <w:tcW w:w="10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680" w:type="dxa"/>
            <w:vAlign w:val="bottom"/>
          </w:tcPr>
          <w:p>
            <w:pPr>
              <w:spacing w:after="0"/>
              <w:rPr>
                <w:sz w:val="11"/>
                <w:szCs w:val="11"/>
                <w:color w:val="auto"/>
              </w:rPr>
            </w:pPr>
          </w:p>
        </w:tc>
        <w:tc>
          <w:tcPr>
            <w:tcW w:w="1880" w:type="dxa"/>
            <w:vAlign w:val="bottom"/>
            <w:gridSpan w:val="4"/>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0"/>
        </w:trPr>
        <w:tc>
          <w:tcPr>
            <w:tcW w:w="468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gridSpan w:val="2"/>
            <w:vMerge w:val="restart"/>
          </w:tcPr>
          <w:p>
            <w:pPr>
              <w:jc w:val="center"/>
              <w:ind w:right="280"/>
              <w:spacing w:after="0" w:line="135"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3"/>
                <w:szCs w:val="3"/>
                <w:color w:val="auto"/>
              </w:rPr>
            </w:pPr>
          </w:p>
        </w:tc>
        <w:tc>
          <w:tcPr>
            <w:tcW w:w="880" w:type="dxa"/>
            <w:vAlign w:val="bottom"/>
            <w:gridSpan w:val="2"/>
            <w:vMerge w:val="restart"/>
          </w:tcPr>
          <w:p>
            <w:pPr>
              <w:ind w:left="20"/>
              <w:spacing w:after="0" w:line="135"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3"/>
                <w:szCs w:val="3"/>
                <w:color w:val="auto"/>
              </w:rPr>
            </w:pPr>
          </w:p>
        </w:tc>
        <w:tc>
          <w:tcPr>
            <w:tcW w:w="1320" w:type="dxa"/>
            <w:vAlign w:val="bottom"/>
            <w:gridSpan w:val="2"/>
            <w:vMerge w:val="restart"/>
          </w:tcPr>
          <w:p>
            <w:pPr>
              <w:jc w:val="center"/>
              <w:ind w:right="220"/>
              <w:spacing w:after="0" w:line="135" w:lineRule="exact"/>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75"/>
        </w:trPr>
        <w:tc>
          <w:tcPr>
            <w:tcW w:w="468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9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6"/>
                <w:szCs w:val="6"/>
                <w:color w:val="auto"/>
              </w:rPr>
            </w:pPr>
          </w:p>
        </w:tc>
        <w:tc>
          <w:tcPr>
            <w:tcW w:w="7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Par Value</w:t>
            </w: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 Equity</w:t>
            </w:r>
          </w:p>
        </w:tc>
        <w:tc>
          <w:tcPr>
            <w:tcW w:w="0" w:type="dxa"/>
            <w:vAlign w:val="bottom"/>
          </w:tcPr>
          <w:p>
            <w:pPr>
              <w:spacing w:after="0"/>
              <w:rPr>
                <w:sz w:val="1"/>
                <w:szCs w:val="1"/>
                <w:color w:val="auto"/>
              </w:rPr>
            </w:pPr>
          </w:p>
        </w:tc>
      </w:tr>
      <w:tr>
        <w:trPr>
          <w:trHeight w:val="175"/>
        </w:trPr>
        <w:tc>
          <w:tcPr>
            <w:tcW w:w="4680" w:type="dxa"/>
            <w:vAlign w:val="bottom"/>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 Income</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468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2019</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389,163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744,949</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1,695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1,695</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shd w:val="clear" w:color="auto" w:fill="CCEEFF"/>
          </w:tcPr>
          <w:p>
            <w:pPr>
              <w:jc w:val="right"/>
              <w:ind w:right="60"/>
              <w:spacing w:after="0"/>
              <w:rPr>
                <w:sz w:val="20"/>
                <w:szCs w:val="20"/>
                <w:color w:val="auto"/>
              </w:rPr>
            </w:pPr>
            <w:r>
              <w:rPr>
                <w:rFonts w:ascii="Arial" w:cs="Arial" w:eastAsia="Arial" w:hAnsi="Arial"/>
                <w:sz w:val="16"/>
                <w:szCs w:val="16"/>
                <w:color w:val="auto"/>
              </w:rPr>
              <w:t>463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(1,395)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(1,395)</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6,071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6,071</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80" w:type="dxa"/>
            <w:vAlign w:val="bottom"/>
          </w:tcPr>
          <w:p>
            <w:pPr>
              <w:jc w:val="right"/>
              <w:ind w:right="60"/>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59"/>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(963)</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income</w:t>
            </w:r>
          </w:p>
        </w:tc>
        <w:tc>
          <w:tcPr>
            <w:tcW w:w="980" w:type="dxa"/>
            <w:vAlign w:val="bottom"/>
            <w:tcBorders>
              <w:bottom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1,238</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December 31, 2019</w:t>
            </w:r>
          </w:p>
        </w:tc>
        <w:tc>
          <w:tcPr>
            <w:tcW w:w="8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55,856</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407,440</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389,928</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(46,327)</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751,600</w:t>
            </w: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Release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Foreign currency translation loss</w:t>
            </w: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(29,846)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(29,846)</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and retirement of treasury stock</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(4,195)</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(40,874)</w:t>
            </w:r>
          </w:p>
        </w:tc>
        <w:tc>
          <w:tcPr>
            <w:tcW w:w="0" w:type="dxa"/>
            <w:vAlign w:val="bottom"/>
          </w:tcPr>
          <w:p>
            <w:pPr>
              <w:spacing w:after="0"/>
              <w:rPr>
                <w:sz w:val="1"/>
                <w:szCs w:val="1"/>
                <w:color w:val="auto"/>
              </w:rPr>
            </w:pPr>
          </w:p>
        </w:tc>
      </w:tr>
      <w:tr>
        <w:trPr>
          <w:trHeight w:val="220"/>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March 31, 2020</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55,068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406,171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347,004</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(76,173)</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677,553</w:t>
            </w:r>
          </w:p>
        </w:tc>
        <w:tc>
          <w:tcPr>
            <w:tcW w:w="0" w:type="dxa"/>
            <w:vAlign w:val="bottom"/>
          </w:tcPr>
          <w:p>
            <w:pPr>
              <w:spacing w:after="0"/>
              <w:rPr>
                <w:sz w:val="1"/>
                <w:szCs w:val="1"/>
                <w:color w:val="auto"/>
              </w:rPr>
            </w:pPr>
          </w:p>
        </w:tc>
      </w:tr>
      <w:tr>
        <w:trPr>
          <w:trHeight w:val="213"/>
        </w:trPr>
        <w:tc>
          <w:tcPr>
            <w:tcW w:w="4680" w:type="dxa"/>
            <w:vAlign w:val="bottom"/>
          </w:tcPr>
          <w:p>
            <w:pPr>
              <w:ind w:left="220"/>
              <w:spacing w:after="0"/>
              <w:rPr>
                <w:sz w:val="20"/>
                <w:szCs w:val="20"/>
                <w:color w:val="auto"/>
              </w:rPr>
            </w:pPr>
            <w:r>
              <w:rPr>
                <w:rFonts w:ascii="Arial" w:cs="Arial" w:eastAsia="Arial" w:hAnsi="Arial"/>
                <w:sz w:val="16"/>
                <w:szCs w:val="16"/>
                <w:color w:val="auto"/>
              </w:rPr>
              <w:t>Stock compensation</w:t>
            </w: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2,430</w:t>
            </w:r>
          </w:p>
        </w:tc>
        <w:tc>
          <w:tcPr>
            <w:tcW w:w="0" w:type="dxa"/>
            <w:vAlign w:val="bottom"/>
          </w:tcPr>
          <w:p>
            <w:pPr>
              <w:spacing w:after="0"/>
              <w:rPr>
                <w:sz w:val="1"/>
                <w:szCs w:val="1"/>
                <w:color w:val="auto"/>
              </w:rPr>
            </w:pPr>
          </w:p>
        </w:tc>
      </w:tr>
      <w:tr>
        <w:trPr>
          <w:trHeight w:val="219"/>
        </w:trPr>
        <w:tc>
          <w:tcPr>
            <w:tcW w:w="4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currency translation gain</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5,416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5,416</w:t>
            </w:r>
          </w:p>
        </w:tc>
        <w:tc>
          <w:tcPr>
            <w:tcW w:w="0" w:type="dxa"/>
            <w:vAlign w:val="bottom"/>
          </w:tcPr>
          <w:p>
            <w:pPr>
              <w:spacing w:after="0"/>
              <w:rPr>
                <w:sz w:val="1"/>
                <w:szCs w:val="1"/>
                <w:color w:val="auto"/>
              </w:rPr>
            </w:pPr>
          </w:p>
        </w:tc>
      </w:tr>
      <w:tr>
        <w:trPr>
          <w:trHeight w:val="213"/>
        </w:trPr>
        <w:tc>
          <w:tcPr>
            <w:tcW w:w="46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Net loss</w:t>
            </w:r>
          </w:p>
        </w:tc>
        <w:tc>
          <w:tcPr>
            <w:tcW w:w="9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(5,487)</w:t>
            </w:r>
          </w:p>
        </w:tc>
        <w:tc>
          <w:tcPr>
            <w:tcW w:w="0" w:type="dxa"/>
            <w:vAlign w:val="bottom"/>
          </w:tcPr>
          <w:p>
            <w:pPr>
              <w:spacing w:after="0"/>
              <w:rPr>
                <w:sz w:val="1"/>
                <w:szCs w:val="1"/>
                <w:color w:val="auto"/>
              </w:rPr>
            </w:pPr>
          </w:p>
        </w:tc>
      </w:tr>
      <w:tr>
        <w:trPr>
          <w:trHeight w:val="219"/>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June 30, 2020</w:t>
            </w:r>
          </w:p>
        </w:tc>
        <w:tc>
          <w:tcPr>
            <w:tcW w:w="8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55,068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w:t>
            </w:r>
          </w:p>
        </w:tc>
        <w:tc>
          <w:tcPr>
            <w:tcW w:w="2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408,601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341,517</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(70,757)</w:t>
            </w: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679,912</w:t>
            </w:r>
          </w:p>
        </w:tc>
        <w:tc>
          <w:tcPr>
            <w:tcW w:w="0" w:type="dxa"/>
            <w:vAlign w:val="bottom"/>
          </w:tcPr>
          <w:p>
            <w:pPr>
              <w:spacing w:after="0"/>
              <w:rPr>
                <w:sz w:val="1"/>
                <w:szCs w:val="1"/>
                <w:color w:val="auto"/>
              </w:rPr>
            </w:pPr>
          </w:p>
        </w:tc>
      </w:tr>
    </w:tbl>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EZCORP,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00497F"/>
        </w:rPr>
        <w:t>CONDENSED 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3"/>
          </w:tcPr>
          <w:p>
            <w:pPr>
              <w:jc w:val="right"/>
              <w:ind w:right="65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2"/>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7,059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(45,123)</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Adjustments to reconcile net income (loss) to net cash flows from operating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23,080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23,174</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10,243</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9,814</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Amortization of lease right-of-use asset</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35,885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34,265</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Accretion of notes receivable discount and deferred compensation fee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(3,327)</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Impairment of goodwill and intangible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47,060</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Other adjustments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(331)</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2,128</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Provision for inventory reserve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(6,812)</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w:t>
            </w:r>
          </w:p>
        </w:tc>
      </w:tr>
      <w:tr>
        <w:trPr>
          <w:trHeight w:val="213"/>
        </w:trPr>
        <w:tc>
          <w:tcPr>
            <w:tcW w:w="8240" w:type="dxa"/>
            <w:vAlign w:val="bottom"/>
          </w:tcPr>
          <w:p>
            <w:pPr>
              <w:ind w:left="680"/>
              <w:spacing w:after="0"/>
              <w:rPr>
                <w:sz w:val="20"/>
                <w:szCs w:val="20"/>
                <w:color w:val="auto"/>
              </w:rPr>
            </w:pPr>
            <w:r>
              <w:rPr>
                <w:rFonts w:ascii="Arial" w:cs="Arial" w:eastAsia="Arial" w:hAnsi="Arial"/>
                <w:sz w:val="16"/>
                <w:szCs w:val="16"/>
                <w:color w:val="auto"/>
              </w:rPr>
              <w:t>Stock compensation expense</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3,156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5,093</w:t>
            </w:r>
          </w:p>
        </w:tc>
      </w:tr>
      <w:tr>
        <w:trPr>
          <w:trHeight w:val="219"/>
        </w:trPr>
        <w:tc>
          <w:tcPr>
            <w:tcW w:w="82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Equity in net (income) loss of unconsolidated affiliates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(2,409)</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business acquisitions: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Service charges and fees receivable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(2,832)</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14,076</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Inventory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5,382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12,467</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7,908</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(3,348)</w:t>
            </w:r>
          </w:p>
        </w:tc>
      </w:tr>
      <w:tr>
        <w:trPr>
          <w:trHeight w:val="213"/>
        </w:trPr>
        <w:tc>
          <w:tcPr>
            <w:tcW w:w="8240" w:type="dxa"/>
            <w:vAlign w:val="bottom"/>
          </w:tcPr>
          <w:p>
            <w:pPr>
              <w:ind w:left="48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(51,565)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(40,450)</w:t>
            </w:r>
          </w:p>
        </w:tc>
      </w:tr>
      <w:tr>
        <w:trPr>
          <w:trHeight w:val="219"/>
        </w:trPr>
        <w:tc>
          <w:tcPr>
            <w:tcW w:w="8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Customer layaway deposits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511</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w:t>
            </w:r>
          </w:p>
        </w:tc>
      </w:tr>
      <w:tr>
        <w:trPr>
          <w:trHeight w:val="213"/>
        </w:trPr>
        <w:tc>
          <w:tcPr>
            <w:tcW w:w="8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Income taxes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4,423</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w:t>
            </w:r>
          </w:p>
        </w:tc>
      </w:tr>
      <w:tr>
        <w:trPr>
          <w:trHeight w:val="213"/>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33,122</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56,365</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Investing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Loans made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(423,450)</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(442,752)</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Loans repaid</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260,536</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321,718</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Recovery of pawn loan principal through sale of forfeited collateral</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155,595</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248,290</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Capital expenditures, net</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(14,635)</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(20,867)</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Acquisitions, net of cash acquired</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(15,132)</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Principal collections on notes receivable</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r>
      <w:tr>
        <w:trPr>
          <w:trHeight w:val="213"/>
        </w:trPr>
        <w:tc>
          <w:tcPr>
            <w:tcW w:w="8240" w:type="dxa"/>
            <w:vAlign w:val="bottom"/>
            <w:shd w:val="clear" w:color="auto" w:fill="CCEEFF"/>
          </w:tcPr>
          <w:p>
            <w:pPr>
              <w:ind w:left="800"/>
              <w:spacing w:after="0"/>
              <w:rPr>
                <w:sz w:val="20"/>
                <w:szCs w:val="20"/>
                <w:color w:val="auto"/>
              </w:rPr>
            </w:pPr>
            <w:r>
              <w:rPr>
                <w:rFonts w:ascii="Arial" w:cs="Arial" w:eastAsia="Arial" w:hAnsi="Arial"/>
                <w:sz w:val="16"/>
                <w:szCs w:val="16"/>
                <w:color w:val="auto"/>
              </w:rPr>
              <w:t>Net cash (used in) provided by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(37,086)</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110,389</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Taxes paid related to net share settlement of equity awards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Payout of deferred consideration</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borrowings, net of issuance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Payments on assumed debt and other borrowings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(15,363)</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(316)</w:t>
            </w:r>
          </w:p>
        </w:tc>
      </w:tr>
      <w:tr>
        <w:trPr>
          <w:trHeight w:val="216"/>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Repurchase of common stock</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(5,158)</w:t>
            </w:r>
          </w:p>
        </w:tc>
      </w:tr>
      <w:tr>
        <w:trPr>
          <w:trHeight w:val="210"/>
        </w:trPr>
        <w:tc>
          <w:tcPr>
            <w:tcW w:w="8240" w:type="dxa"/>
            <w:vAlign w:val="bottom"/>
          </w:tcPr>
          <w:p>
            <w:pPr>
              <w:ind w:left="80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(16,202)</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(7,388)</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 and restricted cash</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5,076</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(6,678)</w:t>
            </w:r>
          </w:p>
        </w:tc>
      </w:tr>
      <w:tr>
        <w:trPr>
          <w:trHeight w:val="210"/>
        </w:trPr>
        <w:tc>
          <w:tcPr>
            <w:tcW w:w="8240" w:type="dxa"/>
            <w:vAlign w:val="bottom"/>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(15,090)</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152,688</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312,553</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162,442</w:t>
            </w:r>
          </w:p>
        </w:tc>
      </w:tr>
      <w:tr>
        <w:trPr>
          <w:trHeight w:val="265"/>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297,463</w:t>
            </w:r>
          </w:p>
        </w:tc>
        <w:tc>
          <w:tcPr>
            <w:tcW w:w="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315,130</w:t>
            </w:r>
          </w:p>
        </w:tc>
      </w:tr>
      <w:tr>
        <w:trPr>
          <w:trHeight w:val="213"/>
        </w:trPr>
        <w:tc>
          <w:tcPr>
            <w:tcW w:w="824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Supplemental disclosure of cash flow information</w:t>
            </w:r>
          </w:p>
        </w:tc>
        <w:tc>
          <w:tcPr>
            <w:tcW w:w="320" w:type="dxa"/>
            <w:vAlign w:val="bottom"/>
            <w:tcBorders>
              <w:top w:val="single" w:sz="8" w:color="CCEEFF"/>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219"/>
        </w:trPr>
        <w:tc>
          <w:tcPr>
            <w:tcW w:w="8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283,668</w:t>
            </w:r>
          </w:p>
        </w:tc>
        <w:tc>
          <w:tcPr>
            <w:tcW w:w="4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311,130</w:t>
            </w:r>
          </w:p>
        </w:tc>
      </w:tr>
      <w:tr>
        <w:trPr>
          <w:trHeight w:val="213"/>
        </w:trPr>
        <w:tc>
          <w:tcPr>
            <w:tcW w:w="82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Restricted cash</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13,795</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r>
      <w:tr>
        <w:trPr>
          <w:trHeight w:val="220"/>
        </w:trPr>
        <w:tc>
          <w:tcPr>
            <w:tcW w:w="82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Total cash and cash equivalents and restricted cash</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297,463</w:t>
            </w:r>
          </w:p>
        </w:tc>
        <w:tc>
          <w:tcPr>
            <w:tcW w:w="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315,130</w:t>
            </w:r>
          </w:p>
        </w:tc>
      </w:tr>
      <w:tr>
        <w:trPr>
          <w:trHeight w:val="40"/>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Pawn loans forfeited and transferred to inventory</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145,839</w:t>
            </w:r>
          </w:p>
        </w:tc>
        <w:tc>
          <w:tcPr>
            <w:tcW w:w="46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200,160</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Transfer of consideration for current period acquisition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1,547</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240" w:type="dxa"/>
            <w:vAlign w:val="bottom"/>
          </w:tcPr>
          <w:p>
            <w:pPr>
              <w:ind w:left="220"/>
              <w:spacing w:after="0"/>
              <w:rPr>
                <w:sz w:val="20"/>
                <w:szCs w:val="20"/>
                <w:color w:val="auto"/>
              </w:rPr>
            </w:pPr>
            <w:r>
              <w:rPr>
                <w:rFonts w:ascii="Arial" w:cs="Arial" w:eastAsia="Arial" w:hAnsi="Arial"/>
                <w:sz w:val="16"/>
                <w:szCs w:val="16"/>
                <w:color w:val="auto"/>
              </w:rPr>
              <w:t>Acquisition earn-out contingency</w:t>
            </w:r>
          </w:p>
        </w:tc>
        <w:tc>
          <w:tcPr>
            <w:tcW w:w="32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4,608</w:t>
            </w: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acquisition consideration held as restricted cash</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5,824</w:t>
            </w: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interim condensed consolidated financial statements.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497F"/>
        </w:rPr>
        <w:t>Notes to Interim Condensed Consolidated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 ORGANIZATION AND 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Description of Business</w:t>
      </w:r>
    </w:p>
    <w:p>
      <w:pPr>
        <w:spacing w:after="0" w:line="184"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EZCORP, Inc. (collectively with its subsidiaries, the “Company”, “we”, “us” or “our”) is a leading provider of pawn loans in the United States and Latin America. Pawn loans are non-recourse loans collateralized by tangible property. We also sell merchandise, primarily collateral forfeited from pawn lending operations and pre-owned merchandise purchased from customers.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Basis of Presentation</w:t>
      </w:r>
    </w:p>
    <w:p>
      <w:pPr>
        <w:spacing w:after="0" w:line="184" w:lineRule="exact"/>
        <w:rPr>
          <w:sz w:val="20"/>
          <w:szCs w:val="20"/>
          <w:color w:val="auto"/>
        </w:rPr>
      </w:pPr>
    </w:p>
    <w:p>
      <w:pPr>
        <w:jc w:val="both"/>
        <w:ind w:right="100"/>
        <w:spacing w:after="0" w:line="254" w:lineRule="auto"/>
        <w:rPr>
          <w:sz w:val="20"/>
          <w:szCs w:val="20"/>
          <w:color w:val="auto"/>
        </w:rPr>
      </w:pPr>
      <w:r>
        <w:rPr>
          <w:rFonts w:ascii="Arial" w:cs="Arial" w:eastAsia="Arial" w:hAnsi="Arial"/>
          <w:sz w:val="18"/>
          <w:szCs w:val="18"/>
          <w:color w:val="auto"/>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generally accepted accounting principles for complete financial statements.</w:t>
      </w:r>
    </w:p>
    <w:p>
      <w:pPr>
        <w:spacing w:after="0" w:line="150" w:lineRule="exact"/>
        <w:rPr>
          <w:sz w:val="20"/>
          <w:szCs w:val="20"/>
          <w:color w:val="auto"/>
        </w:rPr>
      </w:pPr>
    </w:p>
    <w:p>
      <w:pPr>
        <w:ind w:right="16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These Condensed Consolidated Financial Statements should be read in conjunction with the audited consolidated financial statements and related notes contained in our </w:t>
      </w:r>
      <w:hyperlink r:id="rId20">
        <w:r>
          <w:rPr>
            <w:rFonts w:ascii="Arial" w:cs="Arial" w:eastAsia="Arial" w:hAnsi="Arial"/>
            <w:sz w:val="18"/>
            <w:szCs w:val="18"/>
            <w:color w:val="auto"/>
          </w:rPr>
          <w:t xml:space="preserve">Annual Report on Form 10-K for the year ended September 30, 2020, </w:t>
        </w:r>
      </w:hyperlink>
      <w:r>
        <w:rPr>
          <w:rFonts w:ascii="Arial" w:cs="Arial" w:eastAsia="Arial" w:hAnsi="Arial"/>
          <w:sz w:val="18"/>
          <w:szCs w:val="18"/>
          <w:color w:val="auto"/>
        </w:rPr>
        <w:t>filed with the SEC on December 14, 2020 (“2020 Annual Report”).</w:t>
      </w:r>
    </w:p>
    <w:p>
      <w:pPr>
        <w:spacing w:after="0" w:line="14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In the opinion of management, the accompanying Condensed Consolidated Financial Statements include all adjustments, consisting of normal recurring adjustments, considered necessary for a fair presentation. Financial results for the three and nine-month periods ended June 30, 2021, are not necessarily indicative of results that may be expected for the fiscal year ending September 30, 2021.</w:t>
      </w:r>
    </w:p>
    <w:p>
      <w:pPr>
        <w:spacing w:after="0" w:line="148"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Our business is subject to seasonal variations, and operating results for the three and nine months ended June 30, 2021 and 2020 (the "current quarter" and "prior-year quarter," respectively) are not necessarily indicative of the results of operations for the full fiscal year.</w:t>
      </w:r>
    </w:p>
    <w:p>
      <w:pPr>
        <w:spacing w:after="0" w:line="144" w:lineRule="exact"/>
        <w:rPr>
          <w:sz w:val="20"/>
          <w:szCs w:val="20"/>
          <w:color w:val="auto"/>
        </w:rPr>
      </w:pPr>
    </w:p>
    <w:p>
      <w:pPr>
        <w:ind w:right="200"/>
        <w:spacing w:after="0" w:line="261" w:lineRule="auto"/>
        <w:rPr>
          <w:rFonts w:ascii="Arial" w:cs="Arial" w:eastAsia="Arial" w:hAnsi="Arial"/>
          <w:sz w:val="18"/>
          <w:szCs w:val="18"/>
          <w:color w:val="auto"/>
        </w:rPr>
      </w:pPr>
      <w:hyperlink r:id="rId20">
        <w:r>
          <w:rPr>
            <w:rFonts w:ascii="Arial" w:cs="Arial" w:eastAsia="Arial" w:hAnsi="Arial"/>
            <w:sz w:val="18"/>
            <w:szCs w:val="18"/>
            <w:color w:val="auto"/>
          </w:rPr>
          <w:t>There have been no changes that have had a material impact in significant accounting policies as described in our Annual Report on Form</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10-K for the year ended September 30, 2020.</w:t>
        </w:r>
      </w:hyperlink>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93"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accompanying Condensed Consolidated Financial Statements include the accounts of EZCORP, Inc. and its wholly owned subsidiaries. We use the equity method of accounting for entities in which we have a 50% or less investment and exercise significant influence. We account for equity investments for which we do not have significant influence and without readily determinable fair values at cost with adjustments for observable changes in price in orderly transactions for identical or similar investments of the same issuer or impairments. All inter-company accounts and transactions have been eliminated in consolidation.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have reclassified certain amounts in prior-period financial statements to conform to the current period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Actual results may result in actual amounts differing from reported amounts.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Impact of COVID-19</w:t>
      </w:r>
    </w:p>
    <w:p>
      <w:pPr>
        <w:spacing w:after="0" w:line="18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COVID-19 pandemic continues to affect the U.S. and global economies, and as previously disclosed in our 2020 Annual Report, the pandemic also affected our businesses in a variety of ways beginning in the second quarter of fiscal 2020 and continuing into fiscal 2021. We cannot estimate the length or severity of the COVID-19 pandemic or the related financial consequences on our business and operations, including whether and when historic economic and operating conditions will resume or the extent to which the disruption may impact our</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business, financial position, results of operations or cash flows. Our estimates, judgments and assumptions related to COVID-19 could ultimately differ over time.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Adopted Accounting Policies</w:t>
      </w:r>
    </w:p>
    <w:p>
      <w:pPr>
        <w:spacing w:after="0" w:line="16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June 2016, the Financial Accounting Standards Board (“FASB”) issued Accounting Standards Update (“ASU”) 2016-13, </w:t>
      </w:r>
      <w:r>
        <w:rPr>
          <w:rFonts w:ascii="Arial" w:cs="Arial" w:eastAsia="Arial" w:hAnsi="Arial"/>
          <w:sz w:val="18"/>
          <w:szCs w:val="18"/>
          <w:i w:val="1"/>
          <w:iCs w:val="1"/>
          <w:color w:val="auto"/>
        </w:rPr>
        <w:t>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 Credit Losses </w:t>
      </w:r>
      <w:r>
        <w:rPr>
          <w:rFonts w:ascii="Arial" w:cs="Arial" w:eastAsia="Arial" w:hAnsi="Arial"/>
          <w:sz w:val="18"/>
          <w:szCs w:val="18"/>
          <w:color w:val="auto"/>
        </w:rPr>
        <w:t>(Topic 326) (“ASU 2016-13”). ASU 2016-13 modifies the measurement of expected credit losses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instruments, requiring entities to estimate an expected lifetime credit loss on financial assets. The ASU amends the impairment model to utilize an expected loss methodology and replaces the incurred loss methodology for financial instruments including trade receivables. The amendment requires entities to consider other factors, such as historical loss experience, current conditions and reasonable and supportable forecasts. ASU 2016-13 was effective on October 1, 2020.</w:t>
      </w:r>
    </w:p>
    <w:p>
      <w:pPr>
        <w:spacing w:after="0" w:line="151"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We adopted ASU 2016-13 effective October 1, 2020 using the modified retrospective approach. There was no net cumulative effect adjustment to retained earnings as of October 1, 2020 as a result of this adoption. This amendment did not have a material impact on our balance sheets or cash flows from operations and did not have a material impact on our operating results.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184"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 August 2020, the FASB issued ASU 2020-06, “Debt—Debt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removes certain settlement conditions that are required for equity contracts to qualify for the derivative scope exception and it also simplifies the diluted earnings per share calculation in certain areas. ASU 2020-06 is effective for the Company for fiscal years beginning after December 15, 2021, including interim periods within those fiscal years. Early adoption is permitted, but no earlier than fiscal years beginning after December 15, 2020 and adoption must be as of the beginning of our annual fiscal year. We are currently evaluating the impact of this standard on our consolidated financial statements and related disclosures.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2: ACQUISITIONS</w:t>
      </w:r>
    </w:p>
    <w:p>
      <w:pPr>
        <w:spacing w:after="0" w:line="2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June 9, 2021, we completed the acquisition of 100% of the common shares of PLO del Bajio S. de R.L. de C.V. (“Bajio”) and gained control of the entity, further expanding our geographic footprint within Mexico with the addition of 128 pawn stores. These stores, operating under the name "Cash Apoyo Efectivo," are located principally in the Mexico City metropolitan area and have strong brand recognition in that market. This is our largest acquisition to date in terms of store-count. We now operate a total of 1,143 pawn stores, 627 of which are in Latin America, including 503 in Mexico.</w:t>
      </w:r>
    </w:p>
    <w:p>
      <w:pPr>
        <w:spacing w:after="0" w:line="13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The total consideration paid for Bajio was $23.6 million, consisting of cash of $17.4 million, of which $11.6 million was paid in cash at closing and the remaining $ 5.8 million is accrued and held as restricted cash to be paid out per the acquisition agreement and 212,870 shares of our Class A Non-Voting Common Stock valued at $1.6 million. In addition, the sellers may be entitled to additional payments of up to $4.6 million over the next two years, contingent on the performance of the acquired stores with growing its loan portfolio. We recorded this earn-out contingency as part of the total consideration as the metrics are considered achievable by Management.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also repaid $14.9 million of Bajio’s existing debt assumed in the acquisition on June 9, 2021.</w:t>
      </w:r>
    </w:p>
    <w:p>
      <w:pPr>
        <w:spacing w:after="0" w:line="158"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assets acquired and liabilities assumed are based upon the estimated fair values at the date of acquisition. The excess purchase price over the estimated fair market value of the new assets acquired has been recorded as goodwill.</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estimated fair value of the assets acquired and liabilities assumed are provisional as management is still gathering additional information to complete the purchase accounting. The preliminary allocation of the consideration for the net acquired assets from this business combination were as follows, in thousands: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4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Earning assets</w:t>
            </w:r>
          </w:p>
        </w:tc>
        <w:tc>
          <w:tcPr>
            <w:tcW w:w="3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9,462</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right-of-use assets</w:t>
            </w:r>
          </w:p>
        </w:tc>
        <w:tc>
          <w:tcPr>
            <w:tcW w:w="3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10,826</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Property and equipment</w:t>
            </w:r>
          </w:p>
        </w:tc>
        <w:tc>
          <w:tcPr>
            <w:tcW w:w="3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4,317</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w:t>
            </w:r>
          </w:p>
        </w:tc>
        <w:tc>
          <w:tcPr>
            <w:tcW w:w="3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Goodwill</w:t>
            </w:r>
          </w:p>
        </w:tc>
        <w:tc>
          <w:tcPr>
            <w:tcW w:w="3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22,957</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w:t>
            </w:r>
          </w:p>
        </w:tc>
      </w:tr>
      <w:tr>
        <w:trPr>
          <w:trHeight w:val="213"/>
        </w:trPr>
        <w:tc>
          <w:tcPr>
            <w:tcW w:w="6740" w:type="dxa"/>
            <w:vAlign w:val="bottom"/>
          </w:tcPr>
          <w:p>
            <w:pPr>
              <w:ind w:left="20"/>
              <w:spacing w:after="0"/>
              <w:rPr>
                <w:sz w:val="20"/>
                <w:szCs w:val="20"/>
                <w:color w:val="auto"/>
              </w:rPr>
            </w:pPr>
            <w:r>
              <w:rPr>
                <w:rFonts w:ascii="Arial" w:cs="Arial" w:eastAsia="Arial" w:hAnsi="Arial"/>
                <w:sz w:val="16"/>
                <w:szCs w:val="16"/>
                <w:color w:val="auto"/>
              </w:rPr>
              <w:t>Accounts payable, deferred taxes and other liabilities</w:t>
            </w:r>
          </w:p>
        </w:tc>
        <w:tc>
          <w:tcPr>
            <w:tcW w:w="34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(3,150)</w:t>
            </w:r>
          </w:p>
        </w:tc>
      </w:tr>
      <w:tr>
        <w:trPr>
          <w:trHeight w:val="219"/>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w:t>
            </w:r>
          </w:p>
        </w:tc>
        <w:tc>
          <w:tcPr>
            <w:tcW w:w="3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(10,826)</w:t>
            </w:r>
          </w:p>
        </w:tc>
      </w:tr>
      <w:tr>
        <w:trPr>
          <w:trHeight w:val="213"/>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Assumed debt</w:t>
            </w:r>
          </w:p>
        </w:tc>
        <w:tc>
          <w:tcPr>
            <w:tcW w:w="3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(14,931)</w:t>
            </w: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consideration</w:t>
            </w:r>
          </w:p>
        </w:tc>
        <w:tc>
          <w:tcPr>
            <w:tcW w:w="34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23,577</w:t>
            </w: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*Intangible assets consist of $4.0 million in trade names.</w:t>
      </w:r>
    </w:p>
    <w:p>
      <w:pPr>
        <w:spacing w:after="0" w:line="26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factors contributing to the recognition of goodwill, which is recorded in our Latin America Pawn segment, were based on several strategic and synergistic benefits we expect to realize from the acquisition, including expansion of our store base as well as the ability to further leverage our pawn expertise, investments in information technology and other back office and support functions of our existing Mexico pawn business. We expect none of the goodwill resulting from this business combination will be deductible for income tax purposes.</w:t>
      </w:r>
    </w:p>
    <w:p>
      <w:pPr>
        <w:spacing w:after="0" w:line="15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The results of Bajio have been included in our condensed consolidated financial statements from June 9, 2021 through June 30, 2021, and are reported in our Latin America Pawn segment. The acquired business contributed revenues of $1.7 million and net income of $0.1 million to us for the period from June 9, 2021 to June 30, 2021.</w:t>
      </w:r>
    </w:p>
    <w:p>
      <w:pPr>
        <w:spacing w:after="0" w:line="14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following unaudited pro forma summary presents consolidated information for us as if the business combination had occurred on October 1, 2019. The pro forma information is not necessarily indicative of our results of operations had the acquisitions been completed on the above date, nor is it necessarily indicative of our future results. The pro forma information does not reflect any cost savings from operating efficiencies or synergies that could result from the acquisitions, nor does it reflect additional revenue opportunities following the acquisition. The pro forma adjustments reflected in the table below are subject to change as additional analysis is performed.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60" w:type="dxa"/>
            <w:vAlign w:val="bottom"/>
            <w:gridSpan w:val="5"/>
          </w:tcPr>
          <w:p>
            <w:pPr>
              <w:jc w:val="center"/>
              <w:ind w:right="440"/>
              <w:spacing w:after="0"/>
              <w:rPr>
                <w:sz w:val="20"/>
                <w:szCs w:val="20"/>
                <w:color w:val="auto"/>
              </w:rPr>
            </w:pPr>
            <w:r>
              <w:rPr>
                <w:rFonts w:ascii="Arial" w:cs="Arial" w:eastAsia="Arial" w:hAnsi="Arial"/>
                <w:sz w:val="18"/>
                <w:szCs w:val="18"/>
                <w:color w:val="auto"/>
                <w:w w:val="99"/>
              </w:rPr>
              <w:t>Three Months Ended</w:t>
            </w:r>
          </w:p>
        </w:tc>
        <w:tc>
          <w:tcPr>
            <w:tcW w:w="320" w:type="dxa"/>
            <w:vAlign w:val="bottom"/>
          </w:tcPr>
          <w:p>
            <w:pPr>
              <w:spacing w:after="0"/>
              <w:rPr>
                <w:sz w:val="18"/>
                <w:szCs w:val="18"/>
                <w:color w:val="auto"/>
              </w:rPr>
            </w:pPr>
          </w:p>
        </w:tc>
        <w:tc>
          <w:tcPr>
            <w:tcW w:w="2660" w:type="dxa"/>
            <w:vAlign w:val="bottom"/>
            <w:gridSpan w:val="4"/>
          </w:tcPr>
          <w:p>
            <w:pPr>
              <w:jc w:val="center"/>
              <w:ind w:right="230"/>
              <w:spacing w:after="0"/>
              <w:rPr>
                <w:sz w:val="20"/>
                <w:szCs w:val="20"/>
                <w:color w:val="auto"/>
              </w:rPr>
            </w:pPr>
            <w:r>
              <w:rPr>
                <w:rFonts w:ascii="Arial" w:cs="Arial" w:eastAsia="Arial" w:hAnsi="Arial"/>
                <w:sz w:val="18"/>
                <w:szCs w:val="18"/>
                <w:color w:val="auto"/>
                <w:w w:val="99"/>
              </w:rPr>
              <w:t>Nine Months Ended</w:t>
            </w:r>
          </w:p>
        </w:tc>
      </w:tr>
      <w:tr>
        <w:trPr>
          <w:trHeight w:val="217"/>
        </w:trPr>
        <w:tc>
          <w:tcPr>
            <w:tcW w:w="5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98"/>
              </w:rPr>
              <w:t>June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18"/>
                <w:szCs w:val="18"/>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(in thousands, except per share amounts)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r>
      <w:tr>
        <w:trPr>
          <w:trHeight w:val="34"/>
        </w:trPr>
        <w:tc>
          <w:tcPr>
            <w:tcW w:w="5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216,083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681,069</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6,775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(42,628)</w:t>
            </w:r>
          </w:p>
        </w:tc>
      </w:tr>
      <w:tr>
        <w:trPr>
          <w:trHeight w:val="230"/>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(loss) earnings per common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color w:val="auto"/>
              </w:rPr>
              <w:t>Diluted (loss) earnings per common share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(0.75)</w:t>
            </w:r>
          </w:p>
        </w:tc>
      </w:tr>
    </w:tbl>
    <w:p>
      <w:pPr>
        <w:spacing w:after="0" w:line="242"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did not have any material, nonrecurring pro forma adjustments directly attributable to the business combination included in the reported pro forma net revenue and net income. These pro forma amounts have been calculated after applying the Company's accounting policies and adjusting the results to reflect the additional amortization that would have been incurred assuming the amortization of the trade name had been applied from October 1, 2019.</w:t>
      </w:r>
    </w:p>
    <w:p>
      <w:pPr>
        <w:spacing w:after="0" w:line="150"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During the three and nine months ended June 30, 2021, we incurred total acquisition costs of $0.2 million and $0.4 million, respectively. The acquisition costs were primarily related to legal, accounting and consulting services, were expensed as incurred through June 30, 2021 and are included in general and administrative expenses in the consolidated statements of operations.</w:t>
      </w:r>
    </w:p>
    <w:p>
      <w:pPr>
        <w:spacing w:after="0" w:line="148"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May 2021, we acquired substantially all of the assets associated with 11 pawn stores in the Houston, Texas area, providing an immediate market-leading position in the South Houston area and enhancing our already strong position in the strategically important Houston metro market. We have concluded that this acquisition was immaterial to our overall consolidated financial results and, therefore, have omitted information that would otherwise be required.</w:t>
      </w:r>
    </w:p>
    <w:p>
      <w:pPr>
        <w:spacing w:after="0" w:line="120"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3: EXPECTED CREDIT LOSSES</w:t>
      </w:r>
    </w:p>
    <w:p>
      <w:pPr>
        <w:spacing w:after="0" w:line="201" w:lineRule="exact"/>
        <w:rPr>
          <w:sz w:val="20"/>
          <w:szCs w:val="20"/>
          <w:color w:val="auto"/>
        </w:rPr>
      </w:pPr>
    </w:p>
    <w:p>
      <w:pPr>
        <w:ind w:right="420"/>
        <w:spacing w:after="0" w:line="261" w:lineRule="auto"/>
        <w:rPr>
          <w:sz w:val="20"/>
          <w:szCs w:val="20"/>
          <w:color w:val="auto"/>
        </w:rPr>
      </w:pPr>
      <w:r>
        <w:rPr>
          <w:rFonts w:ascii="Arial" w:cs="Arial" w:eastAsia="Arial" w:hAnsi="Arial"/>
          <w:sz w:val="18"/>
          <w:szCs w:val="18"/>
          <w:color w:val="auto"/>
        </w:rPr>
        <w:t>We adopted ASU 2016-13 effective October 1, 2020. We have financing receivables within the scope of ASU 2016-13, specifically pawn loans receivables and related pawn service charges receivables.</w:t>
      </w:r>
    </w:p>
    <w:p>
      <w:pPr>
        <w:spacing w:after="0" w:line="144" w:lineRule="exact"/>
        <w:rPr>
          <w:sz w:val="20"/>
          <w:szCs w:val="20"/>
          <w:color w:val="auto"/>
        </w:rPr>
      </w:pPr>
    </w:p>
    <w:p>
      <w:pPr>
        <w:jc w:val="both"/>
        <w:ind w:right="200"/>
        <w:spacing w:after="0" w:line="254" w:lineRule="auto"/>
        <w:rPr>
          <w:sz w:val="20"/>
          <w:szCs w:val="20"/>
          <w:color w:val="auto"/>
        </w:rPr>
      </w:pPr>
      <w:r>
        <w:rPr>
          <w:rFonts w:ascii="Arial" w:cs="Arial" w:eastAsia="Arial" w:hAnsi="Arial"/>
          <w:sz w:val="18"/>
          <w:szCs w:val="18"/>
          <w:color w:val="auto"/>
        </w:rPr>
        <w:t>Our pawn loans are short-term in nature, typically 30-120 days for U.S. Pawn loans and 30 days for Latin America Pawn loans. Under our existing accounting policy, if a pawn loan is deemed to be uncollectible, we do not recognize an allowance for doubtful accounts due to the expected recovery of the loan principal amount through the sale of the collateral. We record the forfeited collateral as inventory at the pawn loan principal amount.</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Pawn service charges are recorded under the interest method over the term of the related pawn loan. Under our existing accounting policy, we accrue for any earned but unpaid pawn service charges at the end each month. We then apply a reserve to pawn service charges receivable at the end of each month using a pawn loan forfeiture rate derived from a trailing twelve-month average, adjusted for seasonality factors.</w:t>
      </w:r>
    </w:p>
    <w:p>
      <w:pPr>
        <w:spacing w:after="0" w:line="150"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We have evaluated, on a collective basis, our pawn loan receivables and pawn service charges receivables and determined the new credit loss standard did not have a material impact on our consolidated financial statements, as our current polices appropriately capture lifetime expected credit losses.</w:t>
      </w:r>
    </w:p>
    <w:p>
      <w:pPr>
        <w:spacing w:after="0" w:line="14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The presentation of pawn loan and pawn service charge receivable as separate line items on our consolidated balance sheet will remain unchanged under the new credit loss standard.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pawn loan and related pawn service charges receivable, net were $157.2 million and $25.0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4: GOODWILL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and in total:</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June 30, 2021</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2020</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241,928</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257,582</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Acquisitions</w:t>
            </w:r>
          </w:p>
        </w:tc>
        <w:tc>
          <w:tcPr>
            <w:tcW w:w="2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2,394</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22,957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25,351</w:t>
            </w:r>
          </w:p>
        </w:tc>
      </w:tr>
      <w:tr>
        <w:trPr>
          <w:trHeight w:val="216"/>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686</w:t>
            </w:r>
          </w:p>
        </w:tc>
      </w:tr>
      <w:tr>
        <w:trPr>
          <w:trHeight w:val="209"/>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Balances as of June 30, 2021</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244,322</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39,297</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283,619</w:t>
            </w:r>
          </w:p>
        </w:tc>
      </w:tr>
    </w:tbl>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9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rPr>
              <w:t>Nine Months Ended June 30, 2020</w:t>
            </w:r>
          </w:p>
        </w:tc>
      </w:tr>
      <w:tr>
        <w:trPr>
          <w:trHeight w:val="212"/>
        </w:trPr>
        <w:tc>
          <w:tcPr>
            <w:tcW w:w="60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Pr>
          <w:p>
            <w:pPr>
              <w:spacing w:after="0"/>
              <w:rPr>
                <w:sz w:val="18"/>
                <w:szCs w:val="18"/>
                <w:color w:val="auto"/>
              </w:rPr>
            </w:pPr>
          </w:p>
        </w:tc>
        <w:tc>
          <w:tcPr>
            <w:tcW w:w="1480" w:type="dxa"/>
            <w:vAlign w:val="bottom"/>
            <w:gridSpan w:val="2"/>
          </w:tcPr>
          <w:p>
            <w:pPr>
              <w:ind w:left="160"/>
              <w:spacing w:after="0"/>
              <w:rPr>
                <w:sz w:val="20"/>
                <w:szCs w:val="20"/>
                <w:color w:val="auto"/>
              </w:rPr>
            </w:pPr>
            <w:r>
              <w:rPr>
                <w:rFonts w:ascii="Arial" w:cs="Arial" w:eastAsia="Arial" w:hAnsi="Arial"/>
                <w:sz w:val="16"/>
                <w:szCs w:val="16"/>
                <w:b w:val="1"/>
                <w:bCs w:val="1"/>
                <w:color w:val="auto"/>
              </w:rPr>
              <w:t>U.S. Pawn</w:t>
            </w:r>
          </w:p>
        </w:tc>
        <w:tc>
          <w:tcPr>
            <w:tcW w:w="17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Latin America Pawn</w:t>
            </w:r>
          </w:p>
        </w:tc>
        <w:tc>
          <w:tcPr>
            <w:tcW w:w="220" w:type="dxa"/>
            <w:vAlign w:val="bottom"/>
          </w:tcPr>
          <w:p>
            <w:pPr>
              <w:spacing w:after="0"/>
              <w:rPr>
                <w:sz w:val="18"/>
                <w:szCs w:val="18"/>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Consolidated</w:t>
            </w:r>
          </w:p>
        </w:tc>
      </w:tr>
      <w:tr>
        <w:trPr>
          <w:trHeight w:val="35"/>
        </w:trPr>
        <w:tc>
          <w:tcPr>
            <w:tcW w:w="6060" w:type="dxa"/>
            <w:vAlign w:val="bottom"/>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3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r>
      <w:tr>
        <w:trPr>
          <w:trHeight w:val="216"/>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2019</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251,752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48,775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300,527</w:t>
            </w:r>
          </w:p>
        </w:tc>
      </w:tr>
      <w:tr>
        <w:trPr>
          <w:trHeight w:val="213"/>
        </w:trPr>
        <w:tc>
          <w:tcPr>
            <w:tcW w:w="6060" w:type="dxa"/>
            <w:vAlign w:val="bottom"/>
          </w:tcPr>
          <w:p>
            <w:pPr>
              <w:ind w:left="20"/>
              <w:spacing w:after="0"/>
              <w:rPr>
                <w:sz w:val="20"/>
                <w:szCs w:val="20"/>
                <w:color w:val="auto"/>
              </w:rPr>
            </w:pPr>
            <w:r>
              <w:rPr>
                <w:rFonts w:ascii="Arial" w:cs="Arial" w:eastAsia="Arial" w:hAnsi="Arial"/>
                <w:sz w:val="16"/>
                <w:szCs w:val="16"/>
                <w:color w:val="auto"/>
              </w:rPr>
              <w:t>Effect of foreign currency translation changes</w:t>
            </w:r>
          </w:p>
        </w:tc>
        <w:tc>
          <w:tcPr>
            <w:tcW w:w="280" w:type="dxa"/>
            <w:vAlign w:val="bottom"/>
          </w:tcPr>
          <w:p>
            <w:pPr>
              <w:spacing w:after="0"/>
              <w:rPr>
                <w:sz w:val="18"/>
                <w:szCs w:val="18"/>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(1,888)</w:t>
            </w:r>
          </w:p>
        </w:tc>
      </w:tr>
      <w:tr>
        <w:trPr>
          <w:trHeight w:val="219"/>
        </w:trPr>
        <w:tc>
          <w:tcPr>
            <w:tcW w:w="6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Measurement period adjustments</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r>
      <w:tr>
        <w:trPr>
          <w:trHeight w:val="21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Impairment charge</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(31,340)</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(41,340)</w:t>
            </w:r>
          </w:p>
        </w:tc>
      </w:tr>
      <w:tr>
        <w:trPr>
          <w:trHeight w:val="210"/>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Balances as of June 30, 2020</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241,928</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15,398</w:t>
            </w:r>
          </w:p>
        </w:tc>
        <w:tc>
          <w:tcPr>
            <w:tcW w:w="1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257,326</w:t>
            </w: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5: OTHER CHARGES</w:t>
      </w:r>
    </w:p>
    <w:p>
      <w:pPr>
        <w:spacing w:after="0" w:line="201" w:lineRule="exact"/>
        <w:rPr>
          <w:sz w:val="20"/>
          <w:szCs w:val="20"/>
          <w:color w:val="auto"/>
        </w:rPr>
      </w:pPr>
    </w:p>
    <w:p>
      <w:pPr>
        <w:jc w:val="both"/>
        <w:ind w:right="260"/>
        <w:spacing w:after="0" w:line="253" w:lineRule="auto"/>
        <w:rPr>
          <w:sz w:val="20"/>
          <w:szCs w:val="20"/>
          <w:color w:val="auto"/>
        </w:rPr>
      </w:pPr>
      <w:r>
        <w:rPr>
          <w:rFonts w:ascii="Arial" w:cs="Arial" w:eastAsia="Arial" w:hAnsi="Arial"/>
          <w:sz w:val="18"/>
          <w:szCs w:val="18"/>
          <w:color w:val="auto"/>
        </w:rPr>
        <w:t>During the fourth quarter of fiscal 2020, we began to implement strategic initiatives to refocus on our core pawn business and optimize our cost structure in order to improve our bottom line performance and position us for sustainable growth. The initiatives focused on workforce reductions, closure of our CASHMAX operations, store closures, write-offs and other miscellaneous charges. We recorded $ 20.4 million of such charges for the quarter ended September 30, 2020, and had accrued charges of $10.7 million remaining at September 30, 2020. We recorded $0.5 million of charges for the three months ended June 30, 2021 related to the closure of store operations in Peru.</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Accrued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Payments</w:t>
            </w:r>
          </w:p>
        </w:tc>
        <w:tc>
          <w:tcPr>
            <w:tcW w:w="120" w:type="dxa"/>
            <w:vAlign w:val="bottom"/>
          </w:tcPr>
          <w:p>
            <w:pPr>
              <w:spacing w:after="0"/>
              <w:rPr>
                <w:sz w:val="16"/>
                <w:szCs w:val="16"/>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Accrued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rPr>
              <w:t>Payments</w:t>
            </w:r>
          </w:p>
        </w:tc>
        <w:tc>
          <w:tcPr>
            <w:tcW w:w="120" w:type="dxa"/>
            <w:vAlign w:val="bottom"/>
          </w:tcPr>
          <w:p>
            <w:pPr>
              <w:spacing w:after="0"/>
              <w:rPr>
                <w:sz w:val="16"/>
                <w:szCs w:val="16"/>
                <w:color w:val="auto"/>
              </w:rPr>
            </w:pPr>
          </w:p>
        </w:tc>
        <w:tc>
          <w:tcPr>
            <w:tcW w:w="980" w:type="dxa"/>
            <w:vAlign w:val="bottom"/>
            <w:vMerge w:val="restart"/>
          </w:tcPr>
          <w:p>
            <w:pPr>
              <w:jc w:val="right"/>
              <w:ind w:right="133"/>
              <w:spacing w:after="0"/>
              <w:rPr>
                <w:sz w:val="20"/>
                <w:szCs w:val="20"/>
                <w:color w:val="auto"/>
              </w:rPr>
            </w:pPr>
            <w:r>
              <w:rPr>
                <w:rFonts w:ascii="Arial" w:cs="Arial" w:eastAsia="Arial" w:hAnsi="Arial"/>
                <w:sz w:val="16"/>
                <w:szCs w:val="16"/>
                <w:b w:val="1"/>
                <w:bCs w:val="1"/>
                <w:color w:val="auto"/>
              </w:rPr>
              <w:t>Accrued</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Charges at</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Charges at</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rPr>
              <w:t>September</w:t>
            </w:r>
          </w:p>
        </w:tc>
        <w:tc>
          <w:tcPr>
            <w:tcW w:w="160" w:type="dxa"/>
            <w:vAlign w:val="bottom"/>
          </w:tcPr>
          <w:p>
            <w:pPr>
              <w:spacing w:after="0"/>
              <w:rPr>
                <w:sz w:val="14"/>
                <w:szCs w:val="14"/>
                <w:color w:val="auto"/>
              </w:rPr>
            </w:pPr>
          </w:p>
        </w:tc>
        <w:tc>
          <w:tcPr>
            <w:tcW w:w="10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Charges</w:t>
            </w:r>
          </w:p>
        </w:tc>
        <w:tc>
          <w:tcPr>
            <w:tcW w:w="140" w:type="dxa"/>
            <w:vAlign w:val="bottom"/>
          </w:tcPr>
          <w:p>
            <w:pPr>
              <w:spacing w:after="0"/>
              <w:rPr>
                <w:sz w:val="14"/>
                <w:szCs w:val="14"/>
                <w:color w:val="auto"/>
              </w:rPr>
            </w:pPr>
          </w:p>
        </w:tc>
        <w:tc>
          <w:tcPr>
            <w:tcW w:w="112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8"/>
              </w:rPr>
              <w:t>and</w:t>
            </w:r>
          </w:p>
        </w:tc>
        <w:tc>
          <w:tcPr>
            <w:tcW w:w="120" w:type="dxa"/>
            <w:vAlign w:val="bottom"/>
          </w:tcPr>
          <w:p>
            <w:pPr>
              <w:spacing w:after="0"/>
              <w:rPr>
                <w:sz w:val="14"/>
                <w:szCs w:val="14"/>
                <w:color w:val="auto"/>
              </w:rPr>
            </w:pPr>
          </w:p>
        </w:tc>
        <w:tc>
          <w:tcPr>
            <w:tcW w:w="10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4"/>
                <w:szCs w:val="14"/>
                <w:color w:val="auto"/>
              </w:rPr>
            </w:pPr>
          </w:p>
        </w:tc>
        <w:tc>
          <w:tcPr>
            <w:tcW w:w="10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Charges</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8"/>
              </w:rPr>
              <w:t>and</w:t>
            </w:r>
          </w:p>
        </w:tc>
        <w:tc>
          <w:tcPr>
            <w:tcW w:w="120" w:type="dxa"/>
            <w:vAlign w:val="bottom"/>
          </w:tcPr>
          <w:p>
            <w:pPr>
              <w:spacing w:after="0"/>
              <w:rPr>
                <w:sz w:val="14"/>
                <w:szCs w:val="14"/>
                <w:color w:val="auto"/>
              </w:rPr>
            </w:pPr>
          </w:p>
        </w:tc>
        <w:tc>
          <w:tcPr>
            <w:tcW w:w="980" w:type="dxa"/>
            <w:vAlign w:val="bottom"/>
          </w:tcPr>
          <w:p>
            <w:pPr>
              <w:jc w:val="right"/>
              <w:ind w:right="33"/>
              <w:spacing w:after="0" w:line="162" w:lineRule="exact"/>
              <w:rPr>
                <w:sz w:val="20"/>
                <w:szCs w:val="20"/>
                <w:color w:val="auto"/>
              </w:rPr>
            </w:pPr>
            <w:r>
              <w:rPr>
                <w:rFonts w:ascii="Arial" w:cs="Arial" w:eastAsia="Arial" w:hAnsi="Arial"/>
                <w:sz w:val="16"/>
                <w:szCs w:val="16"/>
                <w:b w:val="1"/>
                <w:bCs w:val="1"/>
                <w:color w:val="auto"/>
              </w:rPr>
              <w:t>Charges at</w:t>
            </w:r>
          </w:p>
        </w:tc>
        <w:tc>
          <w:tcPr>
            <w:tcW w:w="0" w:type="dxa"/>
            <w:vAlign w:val="bottom"/>
          </w:tcPr>
          <w:p>
            <w:pPr>
              <w:spacing w:after="0"/>
              <w:rPr>
                <w:sz w:val="1"/>
                <w:szCs w:val="1"/>
                <w:color w:val="auto"/>
              </w:rPr>
            </w:pPr>
          </w:p>
        </w:tc>
      </w:tr>
      <w:tr>
        <w:trPr>
          <w:trHeight w:val="215"/>
        </w:trPr>
        <w:tc>
          <w:tcPr>
            <w:tcW w:w="27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980" w:type="dxa"/>
            <w:vAlign w:val="bottom"/>
          </w:tcPr>
          <w:p>
            <w:pPr>
              <w:jc w:val="center"/>
              <w:ind w:right="54"/>
              <w:spacing w:after="0"/>
              <w:rPr>
                <w:sz w:val="20"/>
                <w:szCs w:val="20"/>
                <w:color w:val="auto"/>
              </w:rPr>
            </w:pPr>
            <w:r>
              <w:rPr>
                <w:rFonts w:ascii="Arial" w:cs="Arial" w:eastAsia="Arial" w:hAnsi="Arial"/>
                <w:sz w:val="16"/>
                <w:szCs w:val="16"/>
                <w:b w:val="1"/>
                <w:bCs w:val="1"/>
                <w:color w:val="auto"/>
              </w:rPr>
              <w:t>30, 2020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rPr>
              <w:t>Adjustments</w:t>
            </w:r>
          </w:p>
        </w:tc>
        <w:tc>
          <w:tcPr>
            <w:tcW w:w="120" w:type="dxa"/>
            <w:vAlign w:val="bottom"/>
          </w:tcPr>
          <w:p>
            <w:pPr>
              <w:spacing w:after="0"/>
              <w:rPr>
                <w:sz w:val="18"/>
                <w:szCs w:val="18"/>
                <w:color w:val="auto"/>
              </w:rPr>
            </w:pPr>
          </w:p>
        </w:tc>
        <w:tc>
          <w:tcPr>
            <w:tcW w:w="960" w:type="dxa"/>
            <w:vAlign w:val="bottom"/>
          </w:tcPr>
          <w:p>
            <w:pPr>
              <w:jc w:val="center"/>
              <w:ind w:right="34"/>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Adjustments</w:t>
            </w:r>
          </w:p>
        </w:tc>
        <w:tc>
          <w:tcPr>
            <w:tcW w:w="1100" w:type="dxa"/>
            <w:vAlign w:val="bottom"/>
            <w:gridSpan w:val="2"/>
          </w:tcPr>
          <w:p>
            <w:pPr>
              <w:ind w:left="20"/>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10"/>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charges:</w:t>
            </w: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220"/>
              <w:spacing w:after="0"/>
              <w:rPr>
                <w:sz w:val="20"/>
                <w:szCs w:val="20"/>
                <w:color w:val="auto"/>
              </w:rPr>
            </w:pPr>
            <w:r>
              <w:rPr>
                <w:rFonts w:ascii="Arial" w:cs="Arial" w:eastAsia="Arial" w:hAnsi="Arial"/>
                <w:sz w:val="18"/>
                <w:szCs w:val="18"/>
                <w:color w:val="auto"/>
              </w:rPr>
              <w:t>Labor reduction costs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5,946</w:t>
            </w:r>
          </w:p>
        </w:tc>
        <w:tc>
          <w:tcPr>
            <w:tcW w:w="1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(3,418)</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188"/>
        </w:trPr>
        <w:tc>
          <w:tcPr>
            <w:tcW w:w="27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CASHMAX shutdown</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ind w:left="220"/>
              <w:spacing w:after="0"/>
              <w:rPr>
                <w:sz w:val="20"/>
                <w:szCs w:val="20"/>
                <w:color w:val="auto"/>
              </w:rPr>
            </w:pPr>
            <w:r>
              <w:rPr>
                <w:rFonts w:ascii="Arial" w:cs="Arial" w:eastAsia="Arial" w:hAnsi="Arial"/>
                <w:sz w:val="18"/>
                <w:szCs w:val="18"/>
                <w:color w:val="auto"/>
              </w:rPr>
              <w:t>Store closure costs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(1,806)</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29"/>
        </w:trPr>
        <w:tc>
          <w:tcPr>
            <w:tcW w:w="2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4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10,718</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(6,190)</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4,528</w:t>
            </w: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6: EARNINGS PER SHARE</w:t>
      </w:r>
    </w:p>
    <w:p>
      <w:pPr>
        <w:spacing w:after="0" w:line="20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 following table reconciles the number of common shares used to compute basic and diluted earnings per share attributable to EZCORP Inc., shareholders:</w:t>
      </w: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360"/>
              <w:spacing w:after="0" w:line="171"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639"/>
              <w:spacing w:after="0" w:line="171" w:lineRule="exact"/>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09"/>
        </w:trPr>
        <w:tc>
          <w:tcPr>
            <w:tcW w:w="5200" w:type="dxa"/>
            <w:vAlign w:val="bottom"/>
          </w:tcPr>
          <w:p>
            <w:pPr>
              <w:ind w:left="20"/>
              <w:spacing w:after="0"/>
              <w:rPr>
                <w:sz w:val="20"/>
                <w:szCs w:val="20"/>
                <w:color w:val="auto"/>
              </w:rPr>
            </w:pPr>
            <w:r>
              <w:rPr>
                <w:rFonts w:ascii="Arial" w:cs="Arial" w:eastAsia="Arial" w:hAnsi="Arial"/>
                <w:sz w:val="16"/>
                <w:szCs w:val="16"/>
                <w:color w:val="auto"/>
              </w:rPr>
              <w:t>(in thousands, except per share amounts)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(45,123)</w:t>
            </w:r>
          </w:p>
        </w:tc>
      </w:tr>
      <w:tr>
        <w:trPr>
          <w:trHeight w:val="216"/>
        </w:trPr>
        <w:tc>
          <w:tcPr>
            <w:tcW w:w="5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Average common share outstanding (denominator)</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55,898</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55,068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55,639</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55,395</w:t>
            </w:r>
          </w:p>
        </w:tc>
      </w:tr>
      <w:tr>
        <w:trPr>
          <w:trHeight w:val="219"/>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(Loss) earnings per common share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(0.81)</w:t>
            </w:r>
          </w:p>
        </w:tc>
      </w:tr>
      <w:tr>
        <w:trPr>
          <w:trHeight w:val="203"/>
        </w:trPr>
        <w:tc>
          <w:tcPr>
            <w:tcW w:w="5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earnings per common share</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Average common share outstanding</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55,898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55,068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55,639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55,395</w:t>
            </w:r>
          </w:p>
        </w:tc>
      </w:tr>
      <w:tr>
        <w:trPr>
          <w:trHeight w:val="216"/>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Dilutive effect of restricted stock and convertible notes*</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Diluted average common shares outstanding (denominator)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55,898</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55,068</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55,653</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55,395</w:t>
            </w:r>
          </w:p>
        </w:tc>
      </w:tr>
      <w:tr>
        <w:trPr>
          <w:trHeight w:val="203"/>
        </w:trPr>
        <w:tc>
          <w:tcPr>
            <w:tcW w:w="5200" w:type="dxa"/>
            <w:vAlign w:val="bottom"/>
            <w:tcBorders>
              <w:bottom w:val="single" w:sz="8" w:color="929292"/>
            </w:tcBorders>
            <w:shd w:val="clear" w:color="auto" w:fill="CCEEFF"/>
          </w:tcPr>
          <w:p>
            <w:pPr>
              <w:spacing w:after="0"/>
              <w:rPr>
                <w:sz w:val="17"/>
                <w:szCs w:val="17"/>
                <w:color w:val="auto"/>
              </w:rPr>
            </w:pPr>
          </w:p>
        </w:tc>
        <w:tc>
          <w:tcPr>
            <w:tcW w:w="320" w:type="dxa"/>
            <w:vAlign w:val="bottom"/>
            <w:tcBorders>
              <w:bottom w:val="single" w:sz="8" w:color="929292"/>
            </w:tcBorders>
            <w:shd w:val="clear" w:color="auto" w:fill="CCEEFF"/>
          </w:tcPr>
          <w:p>
            <w:pPr>
              <w:spacing w:after="0"/>
              <w:rPr>
                <w:sz w:val="17"/>
                <w:szCs w:val="17"/>
                <w:color w:val="auto"/>
              </w:rPr>
            </w:pPr>
          </w:p>
        </w:tc>
        <w:tc>
          <w:tcPr>
            <w:tcW w:w="1100" w:type="dxa"/>
            <w:vAlign w:val="bottom"/>
            <w:tcBorders>
              <w:bottom w:val="single" w:sz="8" w:color="929292"/>
            </w:tcBorders>
            <w:shd w:val="clear" w:color="auto" w:fill="CCEEFF"/>
          </w:tcPr>
          <w:p>
            <w:pPr>
              <w:spacing w:after="0"/>
              <w:rPr>
                <w:sz w:val="17"/>
                <w:szCs w:val="17"/>
                <w:color w:val="auto"/>
              </w:rPr>
            </w:pPr>
          </w:p>
        </w:tc>
        <w:tc>
          <w:tcPr>
            <w:tcW w:w="120" w:type="dxa"/>
            <w:vAlign w:val="bottom"/>
            <w:tcBorders>
              <w:bottom w:val="single" w:sz="8" w:color="929292"/>
            </w:tcBorders>
            <w:shd w:val="clear" w:color="auto" w:fill="CCEEFF"/>
          </w:tcPr>
          <w:p>
            <w:pPr>
              <w:spacing w:after="0"/>
              <w:rPr>
                <w:sz w:val="17"/>
                <w:szCs w:val="17"/>
                <w:color w:val="auto"/>
              </w:rPr>
            </w:pPr>
          </w:p>
        </w:tc>
        <w:tc>
          <w:tcPr>
            <w:tcW w:w="400" w:type="dxa"/>
            <w:vAlign w:val="bottom"/>
            <w:tcBorders>
              <w:bottom w:val="single" w:sz="8" w:color="929292"/>
            </w:tcBorders>
            <w:shd w:val="clear" w:color="auto" w:fill="CCEEFF"/>
          </w:tcPr>
          <w:p>
            <w:pPr>
              <w:spacing w:after="0"/>
              <w:rPr>
                <w:sz w:val="17"/>
                <w:szCs w:val="17"/>
                <w:color w:val="auto"/>
              </w:rPr>
            </w:pPr>
          </w:p>
        </w:tc>
        <w:tc>
          <w:tcPr>
            <w:tcW w:w="1020" w:type="dxa"/>
            <w:vAlign w:val="bottom"/>
            <w:tcBorders>
              <w:bottom w:val="single" w:sz="8" w:color="929292"/>
            </w:tcBorders>
            <w:shd w:val="clear" w:color="auto" w:fill="CCEEFF"/>
          </w:tcPr>
          <w:p>
            <w:pPr>
              <w:spacing w:after="0"/>
              <w:rPr>
                <w:sz w:val="17"/>
                <w:szCs w:val="17"/>
                <w:color w:val="auto"/>
              </w:rPr>
            </w:pPr>
          </w:p>
        </w:tc>
        <w:tc>
          <w:tcPr>
            <w:tcW w:w="100" w:type="dxa"/>
            <w:vAlign w:val="bottom"/>
            <w:tcBorders>
              <w:bottom w:val="single" w:sz="8" w:color="929292"/>
            </w:tcBorders>
            <w:shd w:val="clear" w:color="auto" w:fill="CCEEFF"/>
          </w:tcPr>
          <w:p>
            <w:pPr>
              <w:spacing w:after="0"/>
              <w:rPr>
                <w:sz w:val="17"/>
                <w:szCs w:val="17"/>
                <w:color w:val="auto"/>
              </w:rPr>
            </w:pPr>
          </w:p>
        </w:tc>
        <w:tc>
          <w:tcPr>
            <w:tcW w:w="340" w:type="dxa"/>
            <w:vAlign w:val="bottom"/>
            <w:tcBorders>
              <w:bottom w:val="single" w:sz="8" w:color="929292"/>
            </w:tcBorders>
            <w:shd w:val="clear" w:color="auto" w:fill="CCEEFF"/>
          </w:tcPr>
          <w:p>
            <w:pPr>
              <w:spacing w:after="0"/>
              <w:rPr>
                <w:sz w:val="17"/>
                <w:szCs w:val="17"/>
                <w:color w:val="auto"/>
              </w:rPr>
            </w:pPr>
          </w:p>
        </w:tc>
        <w:tc>
          <w:tcPr>
            <w:tcW w:w="1100" w:type="dxa"/>
            <w:vAlign w:val="bottom"/>
            <w:tcBorders>
              <w:bottom w:val="single" w:sz="8" w:color="929292"/>
            </w:tcBorders>
            <w:shd w:val="clear" w:color="auto" w:fill="CCEEFF"/>
          </w:tcPr>
          <w:p>
            <w:pPr>
              <w:spacing w:after="0"/>
              <w:rPr>
                <w:sz w:val="17"/>
                <w:szCs w:val="17"/>
                <w:color w:val="auto"/>
              </w:rPr>
            </w:pPr>
          </w:p>
        </w:tc>
        <w:tc>
          <w:tcPr>
            <w:tcW w:w="100" w:type="dxa"/>
            <w:vAlign w:val="bottom"/>
            <w:tcBorders>
              <w:bottom w:val="single" w:sz="8" w:color="929292"/>
            </w:tcBorders>
            <w:shd w:val="clear" w:color="auto" w:fill="CCEEFF"/>
          </w:tcPr>
          <w:p>
            <w:pPr>
              <w:spacing w:after="0"/>
              <w:rPr>
                <w:sz w:val="17"/>
                <w:szCs w:val="17"/>
                <w:color w:val="auto"/>
              </w:rPr>
            </w:pPr>
          </w:p>
        </w:tc>
        <w:tc>
          <w:tcPr>
            <w:tcW w:w="420" w:type="dxa"/>
            <w:vAlign w:val="bottom"/>
            <w:tcBorders>
              <w:bottom w:val="single" w:sz="8" w:color="929292"/>
            </w:tcBorders>
            <w:shd w:val="clear" w:color="auto" w:fill="CCEEFF"/>
          </w:tcPr>
          <w:p>
            <w:pPr>
              <w:spacing w:after="0"/>
              <w:rPr>
                <w:sz w:val="17"/>
                <w:szCs w:val="17"/>
                <w:color w:val="auto"/>
              </w:rPr>
            </w:pPr>
          </w:p>
        </w:tc>
        <w:tc>
          <w:tcPr>
            <w:tcW w:w="1020" w:type="dxa"/>
            <w:vAlign w:val="bottom"/>
            <w:tcBorders>
              <w:bottom w:val="single" w:sz="8" w:color="929292"/>
            </w:tcBorders>
            <w:shd w:val="clear" w:color="auto" w:fill="CCEEFF"/>
          </w:tcPr>
          <w:p>
            <w:pPr>
              <w:spacing w:after="0"/>
              <w:rPr>
                <w:sz w:val="17"/>
                <w:szCs w:val="17"/>
                <w:color w:val="auto"/>
              </w:rPr>
            </w:pPr>
          </w:p>
        </w:tc>
      </w:tr>
      <w:tr>
        <w:trPr>
          <w:trHeight w:val="217"/>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Diluted (loss) earnings per common share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(0.05)</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(0.81)</w:t>
            </w:r>
          </w:p>
        </w:tc>
      </w:tr>
      <w:tr>
        <w:trPr>
          <w:trHeight w:val="94"/>
        </w:trPr>
        <w:tc>
          <w:tcPr>
            <w:tcW w:w="5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shd w:val="clear" w:color="auto" w:fill="CCEEFF"/>
          </w:tcPr>
          <w:p>
            <w:pPr>
              <w:spacing w:after="0"/>
              <w:rPr>
                <w:sz w:val="8"/>
                <w:szCs w:val="8"/>
                <w:color w:val="auto"/>
              </w:rPr>
            </w:pPr>
          </w:p>
        </w:tc>
        <w:tc>
          <w:tcPr>
            <w:tcW w:w="1020" w:type="dxa"/>
            <w:vAlign w:val="bottom"/>
            <w:shd w:val="clear" w:color="auto" w:fill="CCEEFF"/>
          </w:tcPr>
          <w:p>
            <w:pPr>
              <w:spacing w:after="0"/>
              <w:rPr>
                <w:sz w:val="8"/>
                <w:szCs w:val="8"/>
                <w:color w:val="auto"/>
              </w:rPr>
            </w:pPr>
          </w:p>
        </w:tc>
      </w:tr>
      <w:tr>
        <w:trPr>
          <w:trHeight w:val="177"/>
        </w:trPr>
        <w:tc>
          <w:tcPr>
            <w:tcW w:w="5200" w:type="dxa"/>
            <w:vAlign w:val="bottom"/>
          </w:tcPr>
          <w:p>
            <w:pPr>
              <w:ind w:left="20"/>
              <w:spacing w:after="0" w:line="178" w:lineRule="exact"/>
              <w:rPr>
                <w:sz w:val="20"/>
                <w:szCs w:val="20"/>
                <w:color w:val="auto"/>
              </w:rPr>
            </w:pPr>
            <w:r>
              <w:rPr>
                <w:rFonts w:ascii="Arial" w:cs="Arial" w:eastAsia="Arial" w:hAnsi="Arial"/>
                <w:sz w:val="16"/>
                <w:szCs w:val="16"/>
                <w:color w:val="auto"/>
              </w:rPr>
              <w:t>Potential common shares excluded from the calculation of diluted</w:t>
            </w: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8"/>
        </w:trPr>
        <w:tc>
          <w:tcPr>
            <w:tcW w:w="5200" w:type="dxa"/>
            <w:vAlign w:val="bottom"/>
          </w:tcPr>
          <w:p>
            <w:pPr>
              <w:ind w:left="20"/>
              <w:spacing w:after="0"/>
              <w:rPr>
                <w:sz w:val="20"/>
                <w:szCs w:val="20"/>
                <w:color w:val="auto"/>
              </w:rPr>
            </w:pPr>
            <w:r>
              <w:rPr>
                <w:rFonts w:ascii="Arial" w:cs="Arial" w:eastAsia="Arial" w:hAnsi="Arial"/>
                <w:sz w:val="16"/>
                <w:szCs w:val="16"/>
                <w:color w:val="auto"/>
              </w:rPr>
              <w:t>earnings per share above: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2,677</w:t>
            </w:r>
          </w:p>
        </w:tc>
      </w:tr>
    </w:tbl>
    <w:p>
      <w:pPr>
        <w:spacing w:after="0" w:line="9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Includes time-based share-based awards and Convertible Notes. See Note 10 for discussion of the terms and conditions of the potential impact of the 2024 Convertible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Notes and 2025 Convertible Notes. This amount excludes all potential common shares for periods when there is a loss from continuing operations.</w:t>
      </w:r>
    </w:p>
    <w:p>
      <w:pPr>
        <w:spacing w:after="0" w:line="1" w:lineRule="exact"/>
        <w:rPr>
          <w:sz w:val="20"/>
          <w:szCs w:val="20"/>
          <w:color w:val="auto"/>
        </w:rPr>
      </w:pPr>
    </w:p>
    <w:p>
      <w:pPr>
        <w:ind w:left="340" w:right="80" w:hanging="332"/>
        <w:spacing w:after="0" w:line="258" w:lineRule="auto"/>
        <w:tabs>
          <w:tab w:leader="none" w:pos="288"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antidilutive share-based awards as well as performance-based share-based awards that are contingently issuable, but for which the condition for issuance has not been met as of the end of the reporting period.</w:t>
      </w: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7: LEASES</w:t>
      </w:r>
    </w:p>
    <w:p>
      <w:pPr>
        <w:spacing w:after="0" w:line="20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We determine if a contract contains a lease at inception. Our lease portfolio consists primarily of operating leases for pawn store locations and corporate offices with lease terms ranging from three to ten years.</w:t>
      </w:r>
    </w:p>
    <w:p>
      <w:pPr>
        <w:spacing w:after="0" w:line="14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The information below provides a summary of our leasing activities. See Note 12 in our 2020 Annual Report for additional information about our leasing activities.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balances of our operating leases: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5"/>
        </w:trPr>
        <w:tc>
          <w:tcPr>
            <w:tcW w:w="67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Right-of-use asset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185,467</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204,591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183,809</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liability, current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47,241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49,742</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liability, non-current</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149,342</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167,716</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153,040</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lease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196,583</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216,556</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202,782</w:t>
            </w: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the composition of our lease costs: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64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expense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15,624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47,603</w:t>
            </w: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3,025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9,768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8,925</w:t>
            </w:r>
          </w:p>
        </w:tc>
      </w:tr>
      <w:tr>
        <w:trPr>
          <w:trHeight w:val="219"/>
        </w:trPr>
        <w:tc>
          <w:tcPr>
            <w:tcW w:w="5200" w:type="dxa"/>
            <w:vAlign w:val="bottom"/>
            <w:tcBorders>
              <w:bottom w:val="single" w:sz="8" w:color="auto"/>
            </w:tcBorders>
            <w:shd w:val="clear" w:color="auto" w:fill="CCEEFF"/>
          </w:tcPr>
          <w:p>
            <w:pPr>
              <w:ind w:left="20"/>
              <w:spacing w:after="0" w:line="219"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(1)</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(845)</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lease expense</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18,455</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18,649</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54,435</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6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106" w:lineRule="exact"/>
        <w:rPr>
          <w:sz w:val="20"/>
          <w:szCs w:val="20"/>
          <w:color w:val="auto"/>
        </w:rPr>
      </w:pPr>
    </w:p>
    <w:p>
      <w:pPr>
        <w:ind w:left="220"/>
        <w:spacing w:after="0"/>
        <w:rPr>
          <w:sz w:val="20"/>
          <w:szCs w:val="20"/>
          <w:color w:val="auto"/>
        </w:rPr>
      </w:pPr>
      <w:r>
        <w:rPr>
          <w:rFonts w:ascii="Arial" w:cs="Arial" w:eastAsia="Arial" w:hAnsi="Arial"/>
          <w:sz w:val="14"/>
          <w:szCs w:val="14"/>
          <w:color w:val="auto"/>
        </w:rPr>
        <w:t>(1) Includes sublease rental income.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Lease expense is recognized on a straight-line basis over the lease term with variable lease expense recognized in the period in which the costs are incurred. The components of lease expense are included in "Store" and "General and Administrative" expense, based on the underlying lease use.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Other supplemental information includes the following for our operating leases:</w:t>
      </w:r>
    </w:p>
    <w:p>
      <w:pPr>
        <w:spacing w:after="0" w:line="30"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Nine Months Ended</w:t>
      </w:r>
    </w:p>
    <w:p>
      <w:pPr>
        <w:jc w:val="center"/>
        <w:ind w:left="7740"/>
        <w:spacing w:after="0"/>
        <w:rPr>
          <w:sz w:val="20"/>
          <w:szCs w:val="20"/>
          <w:color w:val="auto"/>
        </w:rPr>
      </w:pPr>
      <w:r>
        <w:rPr>
          <w:rFonts w:ascii="Arial" w:cs="Arial" w:eastAsia="Arial" w:hAnsi="Arial"/>
          <w:sz w:val="16"/>
          <w:szCs w:val="16"/>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2020</w:t>
            </w:r>
          </w:p>
        </w:tc>
      </w:tr>
      <w:tr>
        <w:trPr>
          <w:trHeight w:val="34"/>
        </w:trPr>
        <w:tc>
          <w:tcPr>
            <w:tcW w:w="7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16"/>
        </w:trPr>
        <w:tc>
          <w:tcPr>
            <w:tcW w:w="8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 xml:space="preserve">Weighted-average remaining contractual lease term </w:t>
            </w:r>
            <w:r>
              <w:rPr>
                <w:rFonts w:ascii="Arial" w:cs="Arial" w:eastAsia="Arial" w:hAnsi="Arial"/>
                <w:sz w:val="16"/>
                <w:szCs w:val="16"/>
                <w:i w:val="1"/>
                <w:iCs w:val="1"/>
                <w:color w:val="auto"/>
              </w:rPr>
              <w:t>(years)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210"/>
        </w:trPr>
        <w:tc>
          <w:tcPr>
            <w:tcW w:w="8860" w:type="dxa"/>
            <w:vAlign w:val="bottom"/>
            <w:gridSpan w:val="2"/>
          </w:tcPr>
          <w:p>
            <w:pPr>
              <w:ind w:left="20"/>
              <w:spacing w:after="0"/>
              <w:rPr>
                <w:sz w:val="20"/>
                <w:szCs w:val="20"/>
                <w:color w:val="auto"/>
              </w:rPr>
            </w:pPr>
            <w:r>
              <w:rPr>
                <w:rFonts w:ascii="Arial" w:cs="Arial" w:eastAsia="Arial" w:hAnsi="Arial"/>
                <w:sz w:val="16"/>
                <w:szCs w:val="16"/>
                <w:color w:val="auto"/>
              </w:rPr>
              <w:t>Weighted-average incremental borrowing rate</w:t>
            </w:r>
          </w:p>
        </w:tc>
        <w:tc>
          <w:tcPr>
            <w:tcW w:w="580" w:type="dxa"/>
            <w:vAlign w:val="bottom"/>
          </w:tcPr>
          <w:p>
            <w:pPr>
              <w:jc w:val="right"/>
              <w:spacing w:after="0"/>
              <w:rPr>
                <w:sz w:val="20"/>
                <w:szCs w:val="20"/>
                <w:color w:val="auto"/>
              </w:rPr>
            </w:pPr>
            <w:r>
              <w:rPr>
                <w:rFonts w:ascii="Arial" w:cs="Arial" w:eastAsia="Arial" w:hAnsi="Arial"/>
                <w:sz w:val="16"/>
                <w:szCs w:val="16"/>
                <w:color w:val="auto"/>
              </w:rPr>
              <w:t>7.86 %</w:t>
            </w:r>
          </w:p>
        </w:tc>
        <w:tc>
          <w:tcPr>
            <w:tcW w:w="1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8.25 %</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June 30, 2021 were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Remaining 2021</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14,491</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2022</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59,908</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2023</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47,637</w:t>
            </w:r>
          </w:p>
        </w:tc>
      </w:tr>
      <w:tr>
        <w:trPr>
          <w:trHeight w:val="213"/>
        </w:trPr>
        <w:tc>
          <w:tcPr>
            <w:tcW w:w="6340" w:type="dxa"/>
            <w:vAlign w:val="bottom"/>
          </w:tcPr>
          <w:p>
            <w:pPr>
              <w:ind w:left="20"/>
              <w:spacing w:after="0"/>
              <w:rPr>
                <w:sz w:val="20"/>
                <w:szCs w:val="20"/>
                <w:color w:val="auto"/>
              </w:rPr>
            </w:pPr>
            <w:r>
              <w:rPr>
                <w:rFonts w:ascii="Arial" w:cs="Arial" w:eastAsia="Arial" w:hAnsi="Arial"/>
                <w:sz w:val="16"/>
                <w:szCs w:val="16"/>
                <w:color w:val="auto"/>
              </w:rPr>
              <w:t>Fiscal 2024</w:t>
            </w:r>
          </w:p>
        </w:tc>
        <w:tc>
          <w:tcPr>
            <w:tcW w:w="38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35,724</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2025</w:t>
            </w:r>
          </w:p>
        </w:tc>
        <w:tc>
          <w:tcPr>
            <w:tcW w:w="38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24,970</w:t>
            </w:r>
          </w:p>
        </w:tc>
      </w:tr>
      <w:tr>
        <w:trPr>
          <w:trHeight w:val="213"/>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57,358</w:t>
            </w:r>
          </w:p>
        </w:tc>
      </w:tr>
      <w:tr>
        <w:trPr>
          <w:trHeight w:val="212"/>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lease payments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240,088</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Portion representing interest</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43,505</w:t>
            </w:r>
          </w:p>
        </w:tc>
      </w:tr>
      <w:tr>
        <w:trPr>
          <w:trHeight w:val="213"/>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Present value of operating lease liabilities</w:t>
            </w:r>
          </w:p>
        </w:tc>
        <w:tc>
          <w:tcPr>
            <w:tcW w:w="38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196,583</w:t>
            </w:r>
          </w:p>
        </w:tc>
      </w:tr>
      <w:tr>
        <w:trPr>
          <w:trHeight w:val="213"/>
        </w:trPr>
        <w:tc>
          <w:tcPr>
            <w:tcW w:w="63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Less: Current portion</w:t>
            </w:r>
          </w:p>
        </w:tc>
        <w:tc>
          <w:tcPr>
            <w:tcW w:w="38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47,241</w:t>
            </w:r>
          </w:p>
        </w:tc>
      </w:tr>
      <w:tr>
        <w:trPr>
          <w:trHeight w:val="220"/>
        </w:trPr>
        <w:tc>
          <w:tcPr>
            <w:tcW w:w="6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Non-current portion</w:t>
            </w:r>
          </w:p>
        </w:tc>
        <w:tc>
          <w:tcPr>
            <w:tcW w:w="38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149,342</w:t>
            </w:r>
          </w:p>
        </w:tc>
      </w:tr>
    </w:tbl>
    <w:p>
      <w:pPr>
        <w:spacing w:after="0" w:line="33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We recorded $ 33.5 million and $10.1 million in non-cash additions to our right of use assets and lease liabilities for the nine months ended June 30, 2021 and June 30, 2020, respectively.</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8: STRATEGIC INVESTMENTS</w:t>
      </w:r>
    </w:p>
    <w:p>
      <w:pPr>
        <w:spacing w:after="0" w:line="20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On April 14, 2021, we received an additional 9,519,277 shares in Cash Converters International Limited ("Cash Converters International") resulting from the reinvestment of a dividend, bringing our total ownership to 223,702,991 shares, or 35.65% of Cash Converters International as of June 30, 2021.</w:t>
      </w:r>
    </w:p>
    <w:p>
      <w:pPr>
        <w:spacing w:after="0" w:line="148"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following tables present summary financial information for Cash Converters International’s most recently reported results at December 31, 2020 after translation to U.S.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5"/>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170,412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164,906</w:t>
            </w:r>
          </w:p>
        </w:tc>
      </w:tr>
      <w:tr>
        <w:trPr>
          <w:trHeight w:val="213"/>
        </w:trPr>
        <w:tc>
          <w:tcPr>
            <w:tcW w:w="8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Non-current assets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189,810</w:t>
            </w: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199,277</w:t>
            </w:r>
          </w:p>
        </w:tc>
      </w:tr>
      <w:tr>
        <w:trPr>
          <w:trHeight w:val="220"/>
        </w:trPr>
        <w:tc>
          <w:tcPr>
            <w:tcW w:w="8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assets</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360,222</w:t>
            </w: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364,183</w:t>
            </w:r>
          </w:p>
        </w:tc>
      </w:tr>
      <w:tr>
        <w:trPr>
          <w:trHeight w:val="41"/>
        </w:trPr>
        <w:tc>
          <w:tcPr>
            <w:tcW w:w="8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59,962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93,958</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58,368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60,503</w:t>
            </w:r>
          </w:p>
        </w:tc>
      </w:tr>
      <w:tr>
        <w:trPr>
          <w:trHeight w:val="216"/>
        </w:trPr>
        <w:tc>
          <w:tcPr>
            <w:tcW w:w="8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Shareholders’ equity</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241,892</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209,722</w:t>
            </w:r>
          </w:p>
        </w:tc>
      </w:tr>
      <w:tr>
        <w:trPr>
          <w:trHeight w:val="220"/>
        </w:trPr>
        <w:tc>
          <w:tcPr>
            <w:tcW w:w="8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liabilities and shareholders’ equity</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360,222</w:t>
            </w: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364,183</w:t>
            </w:r>
          </w:p>
        </w:tc>
      </w:tr>
    </w:tbl>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39"/>
              <w:spacing w:after="0"/>
              <w:rPr>
                <w:sz w:val="20"/>
                <w:szCs w:val="20"/>
                <w:color w:val="auto"/>
              </w:rPr>
            </w:pPr>
            <w:r>
              <w:rPr>
                <w:rFonts w:ascii="Arial" w:cs="Arial" w:eastAsia="Arial" w:hAnsi="Arial"/>
                <w:sz w:val="16"/>
                <w:szCs w:val="16"/>
                <w:b w:val="1"/>
                <w:bCs w:val="1"/>
                <w:color w:val="auto"/>
              </w:rPr>
              <w:t>Half-Year Ended December 31,</w:t>
            </w:r>
          </w:p>
        </w:tc>
      </w:tr>
      <w:tr>
        <w:trPr>
          <w:trHeight w:val="212"/>
        </w:trPr>
        <w:tc>
          <w:tcPr>
            <w:tcW w:w="8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5"/>
        </w:trPr>
        <w:tc>
          <w:tcPr>
            <w:tcW w:w="8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16"/>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revenues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71,153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center"/>
              <w:ind w:left="399"/>
              <w:spacing w:after="0"/>
              <w:rPr>
                <w:sz w:val="20"/>
                <w:szCs w:val="20"/>
                <w:color w:val="auto"/>
              </w:rPr>
            </w:pPr>
            <w:r>
              <w:rPr>
                <w:rFonts w:ascii="Arial" w:cs="Arial" w:eastAsia="Arial" w:hAnsi="Arial"/>
                <w:sz w:val="16"/>
                <w:szCs w:val="16"/>
                <w:color w:val="auto"/>
                <w:w w:val="98"/>
              </w:rPr>
              <w:t>98,531</w:t>
            </w:r>
          </w:p>
        </w:tc>
      </w:tr>
      <w:tr>
        <w:trPr>
          <w:trHeight w:val="213"/>
        </w:trPr>
        <w:tc>
          <w:tcPr>
            <w:tcW w:w="82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51,231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center"/>
              <w:ind w:left="399"/>
              <w:spacing w:after="0"/>
              <w:rPr>
                <w:sz w:val="20"/>
                <w:szCs w:val="20"/>
                <w:color w:val="auto"/>
              </w:rPr>
            </w:pPr>
            <w:r>
              <w:rPr>
                <w:rFonts w:ascii="Arial" w:cs="Arial" w:eastAsia="Arial" w:hAnsi="Arial"/>
                <w:sz w:val="16"/>
                <w:szCs w:val="16"/>
                <w:color w:val="auto"/>
                <w:w w:val="98"/>
              </w:rPr>
              <w:t>59,250</w:t>
            </w:r>
          </w:p>
        </w:tc>
      </w:tr>
      <w:tr>
        <w:trPr>
          <w:trHeight w:val="219"/>
        </w:trPr>
        <w:tc>
          <w:tcPr>
            <w:tcW w:w="8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profit (loss)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379"/>
              <w:spacing w:after="0"/>
              <w:rPr>
                <w:sz w:val="20"/>
                <w:szCs w:val="20"/>
                <w:color w:val="auto"/>
              </w:rPr>
            </w:pPr>
            <w:r>
              <w:rPr>
                <w:rFonts w:ascii="Arial" w:cs="Arial" w:eastAsia="Arial" w:hAnsi="Arial"/>
                <w:sz w:val="16"/>
                <w:szCs w:val="16"/>
                <w:color w:val="auto"/>
              </w:rPr>
              <w:t>(13,280)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212529"/>
        </w:rPr>
        <w:t>See Note 9 for the fair value and carrying value of our investment in Cash Converters International.</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9: FAIR VALUE MEASUREMENTS</w:t>
      </w:r>
    </w:p>
    <w:p>
      <w:pPr>
        <w:spacing w:after="0" w:line="2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spacing w:after="0" w:line="15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 Quoted market prices in active markets for identical assets or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 Other observable market-based inputs or unobservable inputs that are corroborated by market data.</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 Unobservable inputs that are not corroborated by market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elected not to measure at fair value any eligible items for which fair value measurement is optional.</w:t>
      </w:r>
    </w:p>
    <w:p>
      <w:pPr>
        <w:spacing w:after="0" w:line="17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There were no transfers in or out of Level 1, Level 2 or Level 3 for financial assets or liabilities measured at fair value on a recurring basis during the periods presented.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 on a Recurring Basis</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As of June 30, 2021, June 30, 2020 and September 30, 2020, we did not have any financial assets or liabilities measured at fair value on a recurring basis.</w:t>
      </w: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Assets and Liabilities Not Measured at Fair Value</w:t>
      </w:r>
    </w:p>
    <w:p>
      <w:pPr>
        <w:spacing w:after="0" w:line="193" w:lineRule="exact"/>
        <w:rPr>
          <w:sz w:val="20"/>
          <w:szCs w:val="20"/>
          <w:color w:val="auto"/>
        </w:rPr>
      </w:pPr>
    </w:p>
    <w:p>
      <w:pPr>
        <w:ind w:right="480"/>
        <w:spacing w:after="0" w:line="261" w:lineRule="auto"/>
        <w:rPr>
          <w:sz w:val="20"/>
          <w:szCs w:val="20"/>
          <w:color w:val="auto"/>
        </w:rPr>
      </w:pPr>
      <w:r>
        <w:rPr>
          <w:rFonts w:ascii="Arial" w:cs="Arial" w:eastAsia="Arial" w:hAnsi="Arial"/>
          <w:sz w:val="18"/>
          <w:szCs w:val="18"/>
          <w:color w:val="auto"/>
        </w:rPr>
        <w:t>The tables below present our estimates of fair value of financial assets and liabilities that were not measured at fair value on a recurring basis: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9"/>
              </w:rPr>
              <w:t>Carrying Value</w:t>
            </w: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June 30, 2021</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1,173</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1,173</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35,387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35,970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7,470</w:t>
            </w: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121,910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150,219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150,219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154,129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335"/>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rPr>
              <w:t>Carrying Value</w:t>
            </w: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1"/>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3560" w:type="dxa"/>
            <w:vAlign w:val="bottom"/>
            <w:tcBorders>
              <w:top w:val="single" w:sz="8" w:color="auto"/>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10"/>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Notes receivable from Grupo Finmart, net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3,866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3,945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3,945</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w:t>
            </w: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29,483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33,602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25,779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7,823</w:t>
            </w:r>
          </w:p>
        </w:tc>
      </w:tr>
      <w:tr>
        <w:trPr>
          <w:trHeight w:val="219"/>
        </w:trPr>
        <w:tc>
          <w:tcPr>
            <w:tcW w:w="46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3"/>
        </w:trPr>
        <w:tc>
          <w:tcPr>
            <w:tcW w:w="4600" w:type="dxa"/>
            <w:vAlign w:val="bottom"/>
          </w:tcPr>
          <w:p>
            <w:pPr>
              <w:ind w:left="20"/>
              <w:spacing w:after="0"/>
              <w:rPr>
                <w:sz w:val="20"/>
                <w:szCs w:val="20"/>
                <w:color w:val="auto"/>
              </w:rPr>
            </w:pPr>
            <w:r>
              <w:rPr>
                <w:rFonts w:ascii="Arial" w:cs="Arial" w:eastAsia="Arial" w:hAnsi="Arial"/>
                <w:sz w:val="16"/>
                <w:szCs w:val="16"/>
                <w:color w:val="auto"/>
              </w:rPr>
              <w:t>Financial 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2024 Convertible Notes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2025 Convertible Notes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131,378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125,235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125,235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8.5% unsecured debt due 2024</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r>
      <w:tr>
        <w:trPr>
          <w:trHeight w:val="210"/>
        </w:trPr>
        <w:tc>
          <w:tcPr>
            <w:tcW w:w="4600" w:type="dxa"/>
            <w:vAlign w:val="bottom"/>
          </w:tcPr>
          <w:p>
            <w:pPr>
              <w:ind w:left="220"/>
              <w:spacing w:after="0"/>
              <w:rPr>
                <w:sz w:val="20"/>
                <w:szCs w:val="20"/>
                <w:color w:val="auto"/>
              </w:rPr>
            </w:pPr>
            <w:r>
              <w:rPr>
                <w:rFonts w:ascii="Arial" w:cs="Arial" w:eastAsia="Arial" w:hAnsi="Arial"/>
                <w:sz w:val="16"/>
                <w:szCs w:val="16"/>
                <w:color w:val="auto"/>
              </w:rPr>
              <w:t>CASHMAX secured borrowing facility</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295</w:t>
            </w:r>
          </w:p>
        </w:tc>
      </w:tr>
      <w:tr>
        <w:trPr>
          <w:trHeight w:val="408"/>
        </w:trPr>
        <w:tc>
          <w:tcPr>
            <w:tcW w:w="46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9"/>
              </w:rPr>
              <w:t>Carrying Value</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ind w:left="160"/>
              <w:spacing w:after="0"/>
              <w:rPr>
                <w:sz w:val="20"/>
                <w:szCs w:val="20"/>
                <w:color w:val="auto"/>
              </w:rPr>
            </w:pPr>
            <w:r>
              <w:rPr>
                <w:rFonts w:ascii="Arial" w:cs="Arial" w:eastAsia="Arial" w:hAnsi="Arial"/>
                <w:sz w:val="16"/>
                <w:szCs w:val="16"/>
                <w:b w:val="1"/>
                <w:bCs w:val="1"/>
                <w:color w:val="auto"/>
              </w:rPr>
              <w:t>Estimated Fair Value</w:t>
            </w: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r>
        <w:trPr>
          <w:trHeight w:val="213"/>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rPr>
              <w:t>September 30,</w:t>
            </w:r>
          </w:p>
        </w:tc>
        <w:tc>
          <w:tcPr>
            <w:tcW w:w="1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September 30,</w:t>
            </w:r>
          </w:p>
        </w:tc>
        <w:tc>
          <w:tcPr>
            <w:tcW w:w="22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center"/>
              <w:ind w:right="139"/>
              <w:spacing w:after="0"/>
              <w:rPr>
                <w:sz w:val="20"/>
                <w:szCs w:val="20"/>
                <w:color w:val="auto"/>
              </w:rPr>
            </w:pPr>
            <w:r>
              <w:rPr>
                <w:rFonts w:ascii="Arial" w:cs="Arial" w:eastAsia="Arial" w:hAnsi="Arial"/>
                <w:sz w:val="16"/>
                <w:szCs w:val="16"/>
                <w:b w:val="1"/>
                <w:bCs w:val="1"/>
                <w:color w:val="auto"/>
              </w:rPr>
              <w:t>Fair Value Measurement Using</w:t>
            </w:r>
          </w:p>
        </w:tc>
      </w:tr>
      <w:tr>
        <w:trPr>
          <w:trHeight w:val="209"/>
        </w:trPr>
        <w:tc>
          <w:tcPr>
            <w:tcW w:w="46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ind w:left="100"/>
              <w:spacing w:after="0"/>
              <w:rPr>
                <w:sz w:val="20"/>
                <w:szCs w:val="20"/>
                <w:color w:val="auto"/>
              </w:rPr>
            </w:pPr>
            <w:r>
              <w:rPr>
                <w:rFonts w:ascii="Arial" w:cs="Arial" w:eastAsia="Arial" w:hAnsi="Arial"/>
                <w:sz w:val="16"/>
                <w:szCs w:val="16"/>
                <w:b w:val="1"/>
                <w:bCs w:val="1"/>
                <w:color w:val="auto"/>
              </w:rPr>
              <w:t>Level 1</w:t>
            </w:r>
          </w:p>
        </w:tc>
        <w:tc>
          <w:tcPr>
            <w:tcW w:w="200" w:type="dxa"/>
            <w:vAlign w:val="bottom"/>
          </w:tcPr>
          <w:p>
            <w:pPr>
              <w:spacing w:after="0"/>
              <w:rPr>
                <w:sz w:val="18"/>
                <w:szCs w:val="18"/>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Level 2</w:t>
            </w:r>
          </w:p>
        </w:tc>
        <w:tc>
          <w:tcPr>
            <w:tcW w:w="200" w:type="dxa"/>
            <w:vAlign w:val="bottom"/>
          </w:tcPr>
          <w:p>
            <w:pPr>
              <w:spacing w:after="0"/>
              <w:rPr>
                <w:sz w:val="18"/>
                <w:szCs w:val="18"/>
                <w:color w:val="auto"/>
              </w:rPr>
            </w:pPr>
          </w:p>
        </w:tc>
        <w:tc>
          <w:tcPr>
            <w:tcW w:w="980" w:type="dxa"/>
            <w:vAlign w:val="bottom"/>
          </w:tcPr>
          <w:p>
            <w:pPr>
              <w:jc w:val="right"/>
              <w:ind w:right="239"/>
              <w:spacing w:after="0"/>
              <w:rPr>
                <w:sz w:val="20"/>
                <w:szCs w:val="20"/>
                <w:color w:val="auto"/>
              </w:rPr>
            </w:pPr>
            <w:r>
              <w:rPr>
                <w:rFonts w:ascii="Arial" w:cs="Arial" w:eastAsia="Arial" w:hAnsi="Arial"/>
                <w:sz w:val="16"/>
                <w:szCs w:val="16"/>
                <w:b w:val="1"/>
                <w:bCs w:val="1"/>
                <w:color w:val="auto"/>
              </w:rPr>
              <w:t>Level 3</w:t>
            </w:r>
          </w:p>
        </w:tc>
      </w:tr>
      <w:tr>
        <w:trPr>
          <w:trHeight w:val="35"/>
        </w:trPr>
        <w:tc>
          <w:tcPr>
            <w:tcW w:w="4600" w:type="dxa"/>
            <w:vAlign w:val="bottom"/>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top w:val="single" w:sz="8" w:color="auto"/>
            </w:tcBorders>
          </w:tcPr>
          <w:p>
            <w:pPr>
              <w:spacing w:after="0"/>
              <w:rPr>
                <w:sz w:val="3"/>
                <w:szCs w:val="3"/>
                <w:color w:val="auto"/>
              </w:rPr>
            </w:pPr>
          </w:p>
        </w:tc>
        <w:tc>
          <w:tcPr>
            <w:tcW w:w="980" w:type="dxa"/>
            <w:vAlign w:val="bottom"/>
            <w:tcBorders>
              <w:top w:val="single" w:sz="8" w:color="auto"/>
            </w:tcBorders>
          </w:tcPr>
          <w:p>
            <w:pPr>
              <w:spacing w:after="0"/>
              <w:rPr>
                <w:sz w:val="3"/>
                <w:szCs w:val="3"/>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assets: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2.89% promissory note receivable due April 2024</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1,148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1,148</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7,764</w:t>
            </w:r>
          </w:p>
        </w:tc>
      </w:tr>
      <w:tr>
        <w:trPr>
          <w:trHeight w:val="216"/>
        </w:trPr>
        <w:tc>
          <w:tcPr>
            <w:tcW w:w="4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3"/>
        </w:trPr>
        <w:tc>
          <w:tcPr>
            <w:tcW w:w="4600" w:type="dxa"/>
            <w:vAlign w:val="bottom"/>
          </w:tcPr>
          <w:p>
            <w:pPr>
              <w:ind w:left="220"/>
              <w:spacing w:after="0"/>
              <w:rPr>
                <w:sz w:val="20"/>
                <w:szCs w:val="20"/>
                <w:color w:val="auto"/>
              </w:rPr>
            </w:pPr>
            <w:r>
              <w:rPr>
                <w:rFonts w:ascii="Arial" w:cs="Arial" w:eastAsia="Arial" w:hAnsi="Arial"/>
                <w:sz w:val="16"/>
                <w:szCs w:val="16"/>
                <w:color w:val="auto"/>
              </w:rPr>
              <w:t>2024 Convertible Notes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117,193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129,979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129,979</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6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2025 Convertible Notes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133,164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137,569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4600" w:type="dxa"/>
            <w:vAlign w:val="bottom"/>
          </w:tcPr>
          <w:p>
            <w:pPr>
              <w:ind w:left="220"/>
              <w:spacing w:after="0"/>
              <w:rPr>
                <w:sz w:val="20"/>
                <w:szCs w:val="20"/>
                <w:color w:val="auto"/>
              </w:rPr>
            </w:pPr>
            <w:r>
              <w:rPr>
                <w:rFonts w:ascii="Arial" w:cs="Arial" w:eastAsia="Arial" w:hAnsi="Arial"/>
                <w:sz w:val="16"/>
                <w:szCs w:val="16"/>
                <w:color w:val="auto"/>
              </w:rPr>
              <w:t>8.5% unsecured debt due 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872</w:t>
            </w:r>
          </w:p>
        </w:tc>
      </w:tr>
    </w:tbl>
    <w:p>
      <w:pPr>
        <w:spacing w:after="0" w:line="22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Due to the short-term nature of cash and cash equivalents, pawn loans, pawn service charges receivable and other debt, we estimate that the carrying value approximates fair value. We consider our cash and cash equivalents to be measured using Level 1 inputs and our pawn loans, pawn service charges receivable and other debt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spacing w:after="0" w:line="15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In March 2019, we received $1.1 million in previously escrowed seller funds as a result of settling certain indemnification claims with the seller of GPMX. In April 2019, we loaned the $ 1.1 million back to the seller of GPMX in exchange for a promissory note. The note bears interest at the rate of 2.89% per annum and is secured by certain marketable securities owned by the seller and held in a U.S. brokerage account. All principal and accrued interest is due and payable in April 2024. The note approximated its carrying value as of June 30, 2021.</w:t>
      </w:r>
    </w:p>
    <w:p>
      <w:pPr>
        <w:spacing w:after="0" w:line="15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use the equity method of accounting to account for our 35.65% ownership in Cash Converters International. These inputs are comprised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We use the equity method of accounting to account for our 13.14% ownership in Rich Data Corporation, a previously consolidated variable interest entity for which we no longer have the power to direct the activities that most significantly affect its economic performance. We believe its fair value approximates carrying value although such fair value is highly variable and includes significant unobservable inputs.</w:t>
      </w:r>
    </w:p>
    <w:p>
      <w:pPr>
        <w:spacing w:after="0" w:line="14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measured the fair value of the 2024 and 2025 Convertible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pacing w:after="0" w:line="14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 September 2020, we received the final payment from AlphaCredit on the notes receivable related to the sale of Grupo Finmart and recorded the amount under “Restricted cash” in our consolidated balance sheet as of June 30, 2021. In August 2019, AlphaCredit notified us of an indemnity claim for certain pre-closing taxes, but the nature, extent and validity of such claim has yet to be determined.</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10: DEBT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debt instruments outstanding: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6"/>
                <w:szCs w:val="16"/>
                <w:b w:val="1"/>
                <w:bCs w:val="1"/>
                <w:color w:val="auto"/>
              </w:rPr>
              <w:t>September 30, 2020</w:t>
            </w:r>
          </w:p>
        </w:tc>
        <w:tc>
          <w:tcPr>
            <w:tcW w:w="0" w:type="dxa"/>
            <w:vAlign w:val="bottom"/>
          </w:tcPr>
          <w:p>
            <w:pPr>
              <w:spacing w:after="0"/>
              <w:rPr>
                <w:sz w:val="1"/>
                <w:szCs w:val="1"/>
                <w:color w:val="auto"/>
              </w:rPr>
            </w:pPr>
          </w:p>
        </w:tc>
      </w:tr>
      <w:tr>
        <w:trPr>
          <w:trHeight w:val="159"/>
        </w:trPr>
        <w:tc>
          <w:tcPr>
            <w:tcW w:w="2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rPr>
              <w:t>Debt</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Discount</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Discount</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and</w:t>
            </w:r>
          </w:p>
        </w:tc>
        <w:tc>
          <w:tcPr>
            <w:tcW w:w="9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7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and</w:t>
            </w:r>
          </w:p>
        </w:tc>
        <w:tc>
          <w:tcPr>
            <w:tcW w:w="98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and</w:t>
            </w:r>
          </w:p>
        </w:tc>
        <w:tc>
          <w:tcPr>
            <w:tcW w:w="88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9"/>
              </w:rPr>
              <w:t>Issuance</w:t>
            </w:r>
          </w:p>
        </w:tc>
        <w:tc>
          <w:tcPr>
            <w:tcW w:w="98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Issuance</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24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b w:val="1"/>
                <w:bCs w:val="1"/>
                <w:color w:val="auto"/>
                <w:w w:val="99"/>
              </w:rPr>
              <w:t>Amount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Costs</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Costs</w:t>
            </w:r>
          </w:p>
        </w:tc>
        <w:tc>
          <w:tcPr>
            <w:tcW w:w="120" w:type="dxa"/>
            <w:vAlign w:val="bottom"/>
          </w:tcPr>
          <w:p>
            <w:pPr>
              <w:spacing w:after="0"/>
              <w:rPr>
                <w:sz w:val="18"/>
                <w:szCs w:val="18"/>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35"/>
        </w:trPr>
        <w:tc>
          <w:tcPr>
            <w:tcW w:w="224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86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115,681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117,193</w:t>
            </w:r>
          </w:p>
        </w:tc>
        <w:tc>
          <w:tcPr>
            <w:tcW w:w="0" w:type="dxa"/>
            <w:vAlign w:val="bottom"/>
          </w:tcPr>
          <w:p>
            <w:pPr>
              <w:spacing w:after="0"/>
              <w:rPr>
                <w:sz w:val="1"/>
                <w:szCs w:val="1"/>
                <w:color w:val="auto"/>
              </w:rPr>
            </w:pPr>
          </w:p>
        </w:tc>
      </w:tr>
      <w:tr>
        <w:trPr>
          <w:trHeight w:val="213"/>
        </w:trPr>
        <w:tc>
          <w:tcPr>
            <w:tcW w:w="224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(33,778)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138,722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172,500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131,378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(39,336)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133,164</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8.5% unsecured debt due</w:t>
            </w: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c>
          <w:tcPr>
            <w:tcW w:w="0" w:type="dxa"/>
            <w:vAlign w:val="bottom"/>
          </w:tcPr>
          <w:p>
            <w:pPr>
              <w:spacing w:after="0"/>
              <w:rPr>
                <w:sz w:val="1"/>
                <w:szCs w:val="1"/>
                <w:color w:val="auto"/>
              </w:rPr>
            </w:pPr>
          </w:p>
        </w:tc>
      </w:tr>
      <w:tr>
        <w:trPr>
          <w:trHeight w:val="177"/>
        </w:trPr>
        <w:tc>
          <w:tcPr>
            <w:tcW w:w="2240" w:type="dxa"/>
            <w:vAlign w:val="bottom"/>
          </w:tcPr>
          <w:p>
            <w:pPr>
              <w:ind w:left="20"/>
              <w:spacing w:after="0" w:line="178" w:lineRule="exact"/>
              <w:rPr>
                <w:sz w:val="20"/>
                <w:szCs w:val="20"/>
                <w:color w:val="auto"/>
              </w:rPr>
            </w:pPr>
            <w:r>
              <w:rPr>
                <w:rFonts w:ascii="Arial" w:cs="Arial" w:eastAsia="Arial" w:hAnsi="Arial"/>
                <w:sz w:val="16"/>
                <w:szCs w:val="16"/>
                <w:color w:val="auto"/>
              </w:rPr>
              <w:t>CASHMAX secured borrowing</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facility*</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260,632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317,543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247,886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317,122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(65,893)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251,229</w:t>
            </w:r>
          </w:p>
        </w:tc>
        <w:tc>
          <w:tcPr>
            <w:tcW w:w="0" w:type="dxa"/>
            <w:vAlign w:val="bottom"/>
          </w:tcPr>
          <w:p>
            <w:pPr>
              <w:spacing w:after="0"/>
              <w:rPr>
                <w:sz w:val="1"/>
                <w:szCs w:val="1"/>
                <w:color w:val="auto"/>
              </w:rPr>
            </w:pPr>
          </w:p>
        </w:tc>
      </w:tr>
      <w:tr>
        <w:trPr>
          <w:trHeight w:val="213"/>
        </w:trPr>
        <w:tc>
          <w:tcPr>
            <w:tcW w:w="2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60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ind w:left="6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0" w:type="dxa"/>
            <w:vAlign w:val="bottom"/>
          </w:tcPr>
          <w:p>
            <w:pPr>
              <w:spacing w:after="0"/>
              <w:rPr>
                <w:sz w:val="1"/>
                <w:szCs w:val="1"/>
                <w:color w:val="auto"/>
              </w:rPr>
            </w:pPr>
          </w:p>
        </w:tc>
      </w:tr>
      <w:tr>
        <w:trPr>
          <w:trHeight w:val="220"/>
        </w:trPr>
        <w:tc>
          <w:tcPr>
            <w:tcW w:w="2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Total long-term debt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(55,618)</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260,632</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317,275</w:t>
            </w:r>
          </w:p>
        </w:tc>
        <w:tc>
          <w:tcPr>
            <w:tcW w:w="2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(69,657)</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247,618</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316,909</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(65,893)</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251,016</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 Amount translated from Guatemalan quetzals and Canadian dollars as of applicable period end. Certain disclosures omitted due to materiality considerations.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contractual maturities related to the debt instruments as of June 30, 2021:</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8"/>
          </w:tcPr>
          <w:p>
            <w:pPr>
              <w:ind w:left="400"/>
              <w:spacing w:after="0"/>
              <w:rPr>
                <w:sz w:val="20"/>
                <w:szCs w:val="20"/>
                <w:color w:val="auto"/>
              </w:rPr>
            </w:pPr>
            <w:r>
              <w:rPr>
                <w:rFonts w:ascii="Arial" w:cs="Arial" w:eastAsia="Arial" w:hAnsi="Arial"/>
                <w:sz w:val="16"/>
                <w:szCs w:val="16"/>
                <w:b w:val="1"/>
                <w:bCs w:val="1"/>
                <w:color w:val="auto"/>
              </w:rPr>
              <w:t>Schedule of Contractual Maturities</w:t>
            </w: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6"/>
                <w:szCs w:val="16"/>
                <w:b w:val="1"/>
                <w:bCs w:val="1"/>
                <w:color w:val="auto"/>
              </w:rPr>
              <w:t>Total</w:t>
            </w:r>
          </w:p>
        </w:tc>
        <w:tc>
          <w:tcPr>
            <w:tcW w:w="1540" w:type="dxa"/>
            <w:vAlign w:val="bottom"/>
            <w:gridSpan w:val="3"/>
            <w:vMerge w:val="restart"/>
          </w:tcPr>
          <w:p>
            <w:pPr>
              <w:ind w:left="60"/>
              <w:spacing w:after="0"/>
              <w:rPr>
                <w:sz w:val="20"/>
                <w:szCs w:val="20"/>
                <w:color w:val="auto"/>
              </w:rPr>
            </w:pPr>
            <w:r>
              <w:rPr>
                <w:rFonts w:ascii="Arial" w:cs="Arial" w:eastAsia="Arial" w:hAnsi="Arial"/>
                <w:sz w:val="16"/>
                <w:szCs w:val="16"/>
                <w:b w:val="1"/>
                <w:bCs w:val="1"/>
                <w:color w:val="auto"/>
              </w:rPr>
              <w:t>Less Than 1 Year</w:t>
            </w:r>
          </w:p>
        </w:tc>
        <w:tc>
          <w:tcPr>
            <w:tcW w:w="1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1 - 3 Years</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3 - 5 Years</w:t>
            </w:r>
          </w:p>
        </w:tc>
        <w:tc>
          <w:tcPr>
            <w:tcW w:w="180" w:type="dxa"/>
            <w:vAlign w:val="bottom"/>
          </w:tcPr>
          <w:p>
            <w:pPr>
              <w:spacing w:after="0"/>
              <w:rPr>
                <w:sz w:val="13"/>
                <w:szCs w:val="13"/>
                <w:color w:val="auto"/>
              </w:rPr>
            </w:pPr>
          </w:p>
        </w:tc>
        <w:tc>
          <w:tcPr>
            <w:tcW w:w="126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rPr>
              <w:t>More Than 5</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540" w:type="dxa"/>
            <w:vAlign w:val="bottom"/>
            <w:gridSpan w:val="3"/>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center"/>
              <w:ind w:right="99"/>
              <w:spacing w:after="0"/>
              <w:rPr>
                <w:sz w:val="20"/>
                <w:szCs w:val="20"/>
                <w:color w:val="auto"/>
              </w:rPr>
            </w:pPr>
            <w:r>
              <w:rPr>
                <w:rFonts w:ascii="Arial" w:cs="Arial" w:eastAsia="Arial" w:hAnsi="Arial"/>
                <w:sz w:val="16"/>
                <w:szCs w:val="16"/>
                <w:b w:val="1"/>
                <w:bCs w:val="1"/>
                <w:color w:val="auto"/>
              </w:rPr>
              <w:t>Years</w:t>
            </w:r>
          </w:p>
        </w:tc>
        <w:tc>
          <w:tcPr>
            <w:tcW w:w="0" w:type="dxa"/>
            <w:vAlign w:val="bottom"/>
          </w:tcPr>
          <w:p>
            <w:pPr>
              <w:spacing w:after="0"/>
              <w:rPr>
                <w:sz w:val="1"/>
                <w:szCs w:val="1"/>
                <w:color w:val="auto"/>
              </w:rPr>
            </w:pPr>
          </w:p>
        </w:tc>
      </w:tr>
      <w:tr>
        <w:trPr>
          <w:trHeight w:val="35"/>
        </w:trPr>
        <w:tc>
          <w:tcPr>
            <w:tcW w:w="366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90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8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top w:val="single" w:sz="8" w:color="auto"/>
            </w:tcBorders>
          </w:tcPr>
          <w:p>
            <w:pPr>
              <w:spacing w:after="0"/>
              <w:rPr>
                <w:sz w:val="3"/>
                <w:szCs w:val="3"/>
                <w:color w:val="auto"/>
              </w:rPr>
            </w:pPr>
          </w:p>
        </w:tc>
        <w:tc>
          <w:tcPr>
            <w:tcW w:w="12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172,500</w:t>
            </w: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6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316,250</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 Excludes the potential impact of embedded derivatives as discussed below.</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presents the Company's interest expense related to the Convertible Notes for the three and nine months ended June 30, 2021 and 2020:</w:t>
      </w:r>
    </w:p>
    <w:tbl>
      <w:tblPr>
        <w:tblLayout w:type="fixed"/>
        <w:tblInd w:w="0" w:type="dxa"/>
        <w:tblCellMar>
          <w:top w:w="0" w:type="dxa"/>
          <w:left w:w="0" w:type="dxa"/>
          <w:bottom w:w="0" w:type="dxa"/>
          <w:right w:w="0" w:type="dxa"/>
        </w:tblCellMar>
      </w:tblPr>
      <w:tr>
        <w:trPr>
          <w:trHeight w:val="172"/>
        </w:trPr>
        <w:tc>
          <w:tcPr>
            <w:tcW w:w="5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40" w:type="dxa"/>
            <w:vAlign w:val="bottom"/>
            <w:gridSpan w:val="5"/>
          </w:tcPr>
          <w:p>
            <w:pPr>
              <w:ind w:left="360"/>
              <w:spacing w:after="0" w:line="171" w:lineRule="exact"/>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4"/>
                <w:szCs w:val="14"/>
                <w:color w:val="auto"/>
              </w:rPr>
            </w:pPr>
          </w:p>
        </w:tc>
        <w:tc>
          <w:tcPr>
            <w:tcW w:w="2640" w:type="dxa"/>
            <w:vAlign w:val="bottom"/>
            <w:gridSpan w:val="4"/>
          </w:tcPr>
          <w:p>
            <w:pPr>
              <w:jc w:val="right"/>
              <w:ind w:right="639"/>
              <w:spacing w:after="0" w:line="171" w:lineRule="exact"/>
              <w:rPr>
                <w:sz w:val="20"/>
                <w:szCs w:val="20"/>
                <w:color w:val="auto"/>
              </w:rPr>
            </w:pPr>
            <w:r>
              <w:rPr>
                <w:rFonts w:ascii="Arial" w:cs="Arial" w:eastAsia="Arial" w:hAnsi="Arial"/>
                <w:sz w:val="16"/>
                <w:szCs w:val="16"/>
                <w:b w:val="1"/>
                <w:bCs w:val="1"/>
                <w:color w:val="auto"/>
              </w:rPr>
              <w:t>Nine Months Ended</w:t>
            </w:r>
          </w:p>
        </w:tc>
      </w:tr>
      <w:tr>
        <w:trPr>
          <w:trHeight w:val="215"/>
        </w:trPr>
        <w:tc>
          <w:tcPr>
            <w:tcW w:w="5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20" w:type="dxa"/>
            <w:vAlign w:val="bottom"/>
            <w:tcBorders>
              <w:bottom w:val="single" w:sz="8" w:color="auto"/>
            </w:tcBorders>
          </w:tcPr>
          <w:p>
            <w:pPr>
              <w:spacing w:after="0"/>
              <w:rPr>
                <w:sz w:val="18"/>
                <w:szCs w:val="18"/>
                <w:color w:val="auto"/>
              </w:rPr>
            </w:pPr>
          </w:p>
        </w:tc>
      </w:tr>
      <w:tr>
        <w:trPr>
          <w:trHeight w:val="210"/>
        </w:trPr>
        <w:tc>
          <w:tcPr>
            <w:tcW w:w="52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r>
      <w:tr>
        <w:trPr>
          <w:trHeight w:val="35"/>
        </w:trPr>
        <w:tc>
          <w:tcPr>
            <w:tcW w:w="5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2024 Convertible Notes: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1,033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3,100</w:t>
            </w:r>
          </w:p>
        </w:tc>
        <w:tc>
          <w:tcPr>
            <w:tcW w:w="100" w:type="dxa"/>
            <w:vAlign w:val="bottom"/>
          </w:tcPr>
          <w:p>
            <w:pPr>
              <w:spacing w:after="0"/>
              <w:rPr>
                <w:sz w:val="18"/>
                <w:szCs w:val="18"/>
                <w:color w:val="auto"/>
              </w:rPr>
            </w:pPr>
          </w:p>
        </w:tc>
        <w:tc>
          <w:tcPr>
            <w:tcW w:w="42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3,100</w:t>
            </w: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1,602</w:t>
            </w:r>
          </w:p>
        </w:tc>
        <w:tc>
          <w:tcPr>
            <w:tcW w:w="1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4,716</w:t>
            </w: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4,370</w:t>
            </w:r>
          </w:p>
        </w:tc>
      </w:tr>
      <w:tr>
        <w:trPr>
          <w:trHeight w:val="219"/>
        </w:trPr>
        <w:tc>
          <w:tcPr>
            <w:tcW w:w="52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2,635</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7,816</w:t>
            </w: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7,470</w:t>
            </w:r>
          </w:p>
        </w:tc>
      </w:tr>
      <w:tr>
        <w:trPr>
          <w:trHeight w:val="203"/>
        </w:trPr>
        <w:tc>
          <w:tcPr>
            <w:tcW w:w="5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5200" w:type="dxa"/>
            <w:vAlign w:val="bottom"/>
          </w:tcPr>
          <w:p>
            <w:pPr>
              <w:ind w:left="20"/>
              <w:spacing w:after="0"/>
              <w:rPr>
                <w:sz w:val="20"/>
                <w:szCs w:val="20"/>
                <w:color w:val="auto"/>
              </w:rPr>
            </w:pPr>
            <w:r>
              <w:rPr>
                <w:rFonts w:ascii="Arial" w:cs="Arial" w:eastAsia="Arial" w:hAnsi="Arial"/>
                <w:sz w:val="16"/>
                <w:szCs w:val="16"/>
                <w:color w:val="auto"/>
              </w:rPr>
              <w:t>2025 Convertible Notes: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2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Contractual interest expense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3,072</w:t>
            </w:r>
          </w:p>
        </w:tc>
      </w:tr>
      <w:tr>
        <w:trPr>
          <w:trHeight w:val="213"/>
        </w:trPr>
        <w:tc>
          <w:tcPr>
            <w:tcW w:w="52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Amortization of debt discount and deferred financing costs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1,886</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5,168</w:t>
            </w:r>
          </w:p>
        </w:tc>
      </w:tr>
      <w:tr>
        <w:trPr>
          <w:trHeight w:val="219"/>
        </w:trPr>
        <w:tc>
          <w:tcPr>
            <w:tcW w:w="52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Total interest expense</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2,910</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2,778</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8,631</w:t>
            </w:r>
          </w:p>
        </w:tc>
        <w:tc>
          <w:tcPr>
            <w:tcW w:w="1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8,240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2.875% Convertible Senior Notes Due 2024</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July 2017, we issued $143.75 million aggregate principal amount of 2.875% Convertible Senior Notes Due 2024 (the “2024 Convertible Notes”). The 2024 Convertible Notes were issued pursuant to an indenture dated July 5, 2017 (the "2017 Indenture") by and between the Company and Wells Fargo Bank, National Association, as the original trustee. Effective October 1, 2019, Truist (formerly BB&amp;T) assumed the duties and responsibilities as trustee under the 2017 Indenture. The 2024 Convertible Notes were issued in a private offering under Rule 144A under the Securities Act of 1933. The 2024 Convertible Notes pay interest semi-annually in arrears at a rate of 2.875% per annum on January 1 and July 1 of each year, commencing January 1, 2018, and mature on July 1, 2024 (the "2024 Maturity Date"), unless converted, redeemed or repurchased in accordance with the terms prior to such date. At maturity, the holders of the 2024 Convertible Notes will be entitled to receive cash equal to the principal of the 2024 Convertible Notes plus accrued interest.</w:t>
      </w:r>
    </w:p>
    <w:p>
      <w:pPr>
        <w:spacing w:after="0" w:line="151"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The carrying amount of the 2024 Convertible Notes as a separate equity-classified instrument (the “2024 Convertible Notes Embedded Derivative”) included in “Additional paid-in capital” in our condensed consolidated balance sheets as of June 30, 2021 was $39.8 million, ($25.3 million, net of tax). The effective interest rate for the three and nine months ended June 30, 2021 was approximately 9%. As of June 30, 2021, the remaining unamortized debt discount and issuance costs will be amortized through the 2024 Maturity Date assuming no early conversion.</w:t>
      </w:r>
    </w:p>
    <w:p>
      <w:pPr>
        <w:spacing w:after="0" w:line="15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2024 Convertible Notes are convertible into cash or shares of Class A Common Stock, or any combination thereof, at our option subject to satisfaction of certain conditions and during the periods described in the 2017 Indenture, based on an initial conversion rate of 100 shares of Class A Common Stock per $1,000 principal amount of 2024 Convertible Notes (equivalent to an initial conversion price of $10.00 per share of Class A Common Stock). We account for the Class A Common Stock issuable upon conversion under the treasury stock method. To the extent the average share price is over $10.00 per share for any fiscal quarter, we are required to recognize incremental dilution of our earnings per share.</w:t>
      </w:r>
    </w:p>
    <w:p>
      <w:pPr>
        <w:spacing w:after="0" w:line="15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If, among other triggers described in the 2017 Indenture, the market price of the Class A Common Stock meets the threshold based on at least 20 of the final 30 trading days of the quarter for the 2024 Convertible Notes to become convertible at the option of the holders during the subsequent quarter, we may be required to classify the 2024 Convertible Notes as current on our condensed consolidated balance sheets for each quarter in which such triggers are met. The stock trading price condition and other triggers are measured on a quarter-by-quarter basis and were not met as of June 30, 2021. As of June 30, 2021, the if-converted value of the 2024 Convertible Notes did not exceed the principal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252525"/>
        </w:rPr>
        <w:t>2.375% 2025 Convertible Senior Notes Due 2025</w:t>
      </w:r>
    </w:p>
    <w:p>
      <w:pPr>
        <w:spacing w:after="0" w:line="19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May 2018, we issued $172.5 million aggregate principal amount of 2.375% Convertible Senior Notes Due 2025 (the “2025 Convertible Notes”). The 2025 Convertible Notes were issued pursuant to an indenture dated May 14, 2018 (the "2018 Indenture") by and between the Company and Wells Fargo Bank, National Association, as the original trustee. Effective October 1, 2019, Truist (formerly BB&amp;T) assumed the duties and responsibilities as trustee under the 2018 Indenture. The 2025 Convertible Notes were issued in a private offering under Rule 144A under the Securities Act of 1933. The 2025 Convertible Notes pay interest semi-annually in arrears at a rate of 2.375% per annum on May 1 and November 1 of each year, commencing November 1, 2018, and mature on May 1, 2025 (the "2025 Maturity Date"), unless converted, redeemed or repurchased in accordance with the terms prior to such date. The carrying amount of the 2025 Convertible Notes as a separate equity-classified instrument (the “2025 Convertible Notes Embedded Derivative”) included in “Additional paid-in capital” in our condensed consolidated balance sheets as of June 30, 2021 was $49.6 million, ($39.1 million, net of tax). The effective interest rate for the three and nine months ended June 30, 2021 was approximately 9%. As of June 30, 2021, the remaining unamortized debt discount and issuance costs will be amortized through the 2025 Maturity Date assuming no early conversion.</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0"/>
        <w:spacing w:after="0" w:line="250" w:lineRule="auto"/>
        <w:rPr>
          <w:sz w:val="20"/>
          <w:szCs w:val="20"/>
          <w:color w:val="auto"/>
        </w:rPr>
      </w:pPr>
      <w:r>
        <w:rPr>
          <w:rFonts w:ascii="Arial" w:cs="Arial" w:eastAsia="Arial" w:hAnsi="Arial"/>
          <w:sz w:val="18"/>
          <w:szCs w:val="18"/>
          <w:color w:val="auto"/>
        </w:rPr>
        <w:t>The 2025 Convertible Notes are convertible into cash or shares of Class A Common Stock, or any combination thereof, at our option subject to satisfaction of certain conditions and during the periods described in the 2018 Indenture, based on an initial conversion rate</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of 62.8931 shares of Class A Common Stock per $1,000 principal amount of 2025 Convertible Notes (equivalent to an initial conversion price of $15.90 per share of Class A Common Stock). We account for the Class A Common Stock issuable upon conversion under the treasury stock method. To the extent the average share price is over $15.90 per share for any fiscal quarter or year-to-date period, we are required to recognize incremental dilution of our earnings per share.</w:t>
      </w:r>
    </w:p>
    <w:p>
      <w:pPr>
        <w:spacing w:after="0" w:line="15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If, among other triggers described in the 2018 Indenture, the market price of the Class A Common Stock meets the threshold based on at least 20 of the final 30 trading days of the quarter for the 2025 Convertible Notes to become convertible at the option of the holders during the subsequent quarter, we may be required to classify the 2025 Convertible Notes as current on our condensed consolidated balance sheets for each quarter in which such triggers are met. The stock trading price condition and other triggers are measured on a quarter-by-quarter basis and were not met as of June 30, 2021. As of June 30, 2021, the if-converted value of the 2025 Convertible Notes did not exceed the principal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CASHMA</w:t>
      </w:r>
      <w:r>
        <w:rPr>
          <w:rFonts w:ascii="Arial" w:cs="Arial" w:eastAsia="Arial" w:hAnsi="Arial"/>
          <w:sz w:val="18"/>
          <w:szCs w:val="18"/>
          <w:b w:val="1"/>
          <w:bCs w:val="1"/>
          <w:i w:val="1"/>
          <w:iCs w:val="1"/>
          <w:color w:val="auto"/>
        </w:rPr>
        <w:t>X</w:t>
      </w:r>
      <w:r>
        <w:rPr>
          <w:rFonts w:ascii="Arial" w:cs="Arial" w:eastAsia="Arial" w:hAnsi="Arial"/>
          <w:sz w:val="18"/>
          <w:szCs w:val="18"/>
          <w:b w:val="1"/>
          <w:bCs w:val="1"/>
          <w:color w:val="auto"/>
        </w:rPr>
        <w:t xml:space="preserve"> Secured Borrowing Facility</w:t>
      </w:r>
    </w:p>
    <w:p>
      <w:pPr>
        <w:spacing w:after="0" w:line="19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November 2018, we entered into a receivable's securitization facility with a third-party lender to provide funding for installment loan originations in our Canadian CASHMAX business. We terminated this facility in September 2020 as part of the closure of the operations of our CASHMAX business. See our 2020 Annual Report for additional information regarding the closure of our Canadian operations.</w:t>
      </w:r>
    </w:p>
    <w:p>
      <w:pPr>
        <w:spacing w:after="0" w:line="118"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11: SHARE-BASED COMPENSATION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Repurchase Program</w:t>
      </w:r>
    </w:p>
    <w:p>
      <w:pPr>
        <w:spacing w:after="0" w:line="193"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December 2019, the Company's Board of Directors (the "Board") authorized the repurchase of up to $60.0 million of our Class A Common Stock over three years. Repurchases under the program were suspended in March 2020 in order to preserve liquidity as a result of uncertainties related to the COVID-19 pandemic. No share repurchases under the program have been made during fiscal 2021. During fiscal 2020, we repurchased and retired 943,149 shares of our Class A Common Stock for $5.2 million, which was allocated between "Additional paid-in capital" and "Retained earnings" in our condensed consolidated balance sheets.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Compensation</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spacing w:after="0" w:line="154"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December 2020, we granted 143,145 restricted stock awards to our non-employee directors at a grant date fair value of $5.03. These awards vested in February 2021 (79,525 awards) and March 2021 (63,620 awards). In February 2021, we granted 127,744 restricted stock awards to our non-employee directors at a grant date fair value of $5.01, which awards will vest at the next annual meeting of stockholders, but no later than March 31, 2022.</w:t>
      </w:r>
    </w:p>
    <w:p>
      <w:pPr>
        <w:spacing w:after="0" w:line="150" w:lineRule="exact"/>
        <w:rPr>
          <w:sz w:val="20"/>
          <w:szCs w:val="20"/>
          <w:color w:val="auto"/>
        </w:rPr>
      </w:pPr>
    </w:p>
    <w:p>
      <w:pPr>
        <w:jc w:val="both"/>
        <w:ind w:right="140"/>
        <w:spacing w:after="0" w:line="291" w:lineRule="auto"/>
        <w:rPr>
          <w:sz w:val="20"/>
          <w:szCs w:val="20"/>
          <w:color w:val="auto"/>
        </w:rPr>
      </w:pPr>
      <w:r>
        <w:rPr>
          <w:rFonts w:ascii="Arial" w:cs="Arial" w:eastAsia="Arial" w:hAnsi="Arial"/>
          <w:sz w:val="17"/>
          <w:szCs w:val="17"/>
          <w:color w:val="auto"/>
        </w:rPr>
        <w:t>In January 2021, we granted 289,592 restricted stock awards to employees at a grant date fair value of $ 4.68 and 275,107 restricted stock awards to employees at a grant date fair value of $4.71. These awards vest on September 30, 2021 and September 30, 2022, respectively.</w:t>
      </w:r>
    </w:p>
    <w:p>
      <w:pPr>
        <w:spacing w:after="0" w:line="12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In February 2021, we granted 392,419 restricted stock awards to employees at a grant date fair value of $4.96, which vest on September 30, 2023.</w:t>
      </w:r>
    </w:p>
    <w:p>
      <w:pPr>
        <w:spacing w:after="0" w:line="14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During the first quarter of fiscal 2020, we granted 222,912 shares of restricted stock awards to non-employee directors based on a share price of $6.46. These awards vested on September 30, 2020.</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12: INCOME TAXES</w:t>
      </w:r>
    </w:p>
    <w:p>
      <w:pPr>
        <w:spacing w:after="0" w:line="20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March 27, 2020, the Coronavirus Aid, Relief, and Economic Security (CARES) Act was signed into law and includes certain income tax provisions relevant to businesses. We recognized the effect on the consolidated financial statements in the period ended March 31, 2020. For the period ended June 30, 2021, the CARES Act has not had a material impact on our consolidated financial statements. At this time, we do not expect the impact of the CARES Act to have a material impact on our consolidated financial statements for the year ending September 30, 2021.</w:t>
      </w:r>
    </w:p>
    <w:p>
      <w:pPr>
        <w:sectPr>
          <w:pgSz w:w="11900" w:h="16838" w:orient="portrait"/>
          <w:cols w:equalWidth="0" w:num="1">
            <w:col w:w="11200"/>
          </w:cols>
          <w:pgMar w:left="320" w:top="144" w:right="37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13: COMMITMENTS AND CONTINGENCIES</w:t>
      </w:r>
    </w:p>
    <w:p>
      <w:pPr>
        <w:spacing w:after="0" w:line="20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Because these matters are inherently unpredictable and unfavorable developments or resolutions can occur, assessing contingencies requires judgments and is highly subjective about future events. The amount of resulting loss may differ from these estimates.</w:t>
      </w:r>
    </w:p>
    <w:p>
      <w:pPr>
        <w:spacing w:after="0" w:line="137"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While we are unable to determine the ultimate outcome of any current litigation or regulatory actions, we do not believe the resolution of any particular matter will have a material adverse effect on our financial condition, results of operations or liquidity.</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14: SEGMENT INFORMATION</w:t>
      </w:r>
    </w:p>
    <w:p>
      <w:pPr>
        <w:spacing w:after="0" w:line="2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operations are primarily managed on a geographical basis and are comprised of three reportable segments. The factors for determining our reportable segments include the manner in which our chief operating decision maker (CODM) evaluates performance for purposes of allocating resources and assessing performance. During the first quarter of fiscal 2021, the financial information of our Lana business activities were no longer reviewed by the CODM for evaluating performance since Lana no longer has business activities. Rather, Lana offers support activities to U.S. Pawn. As a result, Lana is no longer an operating or reportable segment. Our historical segment results have been recast to conform to current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currently report our segments as follows: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U.S. Pawn —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Latin America Pawn — all pawn activities in Mexico and other parts of Latin America;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International — primarily our equity interest in the net income of Cash Converters International and Rich Data Corporation.</w:t>
      </w:r>
    </w:p>
    <w:p>
      <w:pPr>
        <w:spacing w:after="0" w:line="17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color w:val="auto"/>
        </w:rPr>
        <w:t>There are no inter-segment revenues presented below, and the amounts below were determined in accordance with the same accounting principles used in our condensed consolidated financial statements.</w:t>
      </w:r>
    </w:p>
    <w:p>
      <w:pPr>
        <w:spacing w:after="0" w:line="14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The following tables present revenue for each reportable segment, disaggregated revenue within our three reportable segments and Corporate, segment profits and segment contribution.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June 30, 2021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84,465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23,343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107,808</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107,808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5,673</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44,039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16,392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60,431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60,431</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130,444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174,033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174,033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60,539</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83,256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24,676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108,021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108,021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62,507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19,296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81,803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81,803</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14,589</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7,419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5,569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18,149</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3,566</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22,429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22,429</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(23,195)</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rPr>
              <w:t>Three Months Ended June 30, 2020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116,258</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20,279</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136,537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136,537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20,303</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41,069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52,460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52,460</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924</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174,496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34,844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210,224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210,224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91,859</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12,875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16,158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16,158</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85,783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15,508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102,175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102,175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66,243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15,041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82,341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82,341</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16,176</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7,679</w:t>
            </w:r>
          </w:p>
        </w:tc>
        <w:tc>
          <w:tcPr>
            <w:tcW w:w="0" w:type="dxa"/>
            <w:vAlign w:val="bottom"/>
          </w:tcPr>
          <w:p>
            <w:pPr>
              <w:spacing w:after="0"/>
              <w:rPr>
                <w:sz w:val="1"/>
                <w:szCs w:val="1"/>
                <w:color w:val="auto"/>
              </w:rPr>
            </w:pPr>
          </w:p>
        </w:tc>
      </w:tr>
      <w:tr>
        <w:trPr>
          <w:trHeight w:val="180"/>
        </w:trPr>
        <w:tc>
          <w:tcPr>
            <w:tcW w:w="350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(Gain) loss on sale or disposal of assets and</w:t>
            </w: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5,379</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1,183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1,183</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16,557</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14,345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14,345</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(24,583)</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Nine Months Ended June 30, 2021</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260,545</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70,271</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330,816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330,816</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18,507</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143,836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43,520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187,356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187,356</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413,957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122,812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537,107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537,107</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45,691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190,872</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7,871</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8,205</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16,076</w:t>
            </w:r>
          </w:p>
        </w:tc>
        <w:tc>
          <w:tcPr>
            <w:tcW w:w="0" w:type="dxa"/>
            <w:vAlign w:val="bottom"/>
          </w:tcPr>
          <w:p>
            <w:pPr>
              <w:spacing w:after="0"/>
              <w:rPr>
                <w:sz w:val="1"/>
                <w:szCs w:val="1"/>
                <w:color w:val="auto"/>
              </w:rPr>
            </w:pPr>
          </w:p>
        </w:tc>
      </w:tr>
      <w:tr>
        <w:trPr>
          <w:trHeight w:val="213"/>
        </w:trPr>
        <w:tc>
          <w:tcPr>
            <w:tcW w:w="35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260,905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68,916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330,159</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188,256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242,261</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40,870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40,870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23,080</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16,542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16,542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Equity in net income of unconsolidated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affiliates</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(2,409)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(2,409)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(389)</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Segment contribution</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64,650</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11,149</w:t>
            </w:r>
          </w:p>
        </w:tc>
        <w:tc>
          <w:tcPr>
            <w:tcW w:w="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78,729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78,729</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(67,194)</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11,535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7"/>
          </w:tcPr>
          <w:p>
            <w:pPr>
              <w:ind w:left="80"/>
              <w:spacing w:after="0"/>
              <w:rPr>
                <w:sz w:val="20"/>
                <w:szCs w:val="20"/>
                <w:color w:val="auto"/>
              </w:rPr>
            </w:pPr>
            <w:r>
              <w:rPr>
                <w:rFonts w:ascii="Arial" w:cs="Arial" w:eastAsia="Arial" w:hAnsi="Arial"/>
                <w:sz w:val="16"/>
                <w:szCs w:val="16"/>
                <w:b w:val="1"/>
                <w:bCs w:val="1"/>
                <w:color w:val="auto"/>
              </w:rPr>
              <w:t>Nine Months Ended June 30, 2020</w:t>
            </w: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U.S. Pawn</w:t>
            </w:r>
          </w:p>
        </w:tc>
        <w:tc>
          <w:tcPr>
            <w:tcW w:w="120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rPr>
              <w:t>Latin America</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9"/>
              </w:rPr>
              <w:t>Total</w:t>
            </w:r>
          </w:p>
        </w:tc>
        <w:tc>
          <w:tcPr>
            <w:tcW w:w="160" w:type="dxa"/>
            <w:vAlign w:val="bottom"/>
          </w:tcPr>
          <w:p>
            <w:pPr>
              <w:spacing w:after="0"/>
              <w:rPr>
                <w:sz w:val="13"/>
                <w:szCs w:val="13"/>
                <w:color w:val="auto"/>
              </w:rPr>
            </w:pPr>
          </w:p>
        </w:tc>
        <w:tc>
          <w:tcPr>
            <w:tcW w:w="11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rPr>
              <w:t>Corporate</w:t>
            </w:r>
          </w:p>
        </w:tc>
        <w:tc>
          <w:tcPr>
            <w:tcW w:w="122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35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Arial" w:cs="Arial" w:eastAsia="Arial" w:hAnsi="Arial"/>
                <w:sz w:val="16"/>
                <w:szCs w:val="16"/>
                <w:b w:val="1"/>
                <w:bCs w:val="1"/>
                <w:color w:val="auto"/>
              </w:rPr>
              <w:t>Pawn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International</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Segments</w:t>
            </w: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Items</w:t>
            </w:r>
          </w:p>
        </w:tc>
        <w:tc>
          <w:tcPr>
            <w:tcW w:w="12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35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11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88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Merchandise sales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314,059</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79,036</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393,095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393,095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41,709</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166,859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217,407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217,407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revenues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3,727</w:t>
            </w:r>
          </w:p>
        </w:tc>
        <w:tc>
          <w:tcPr>
            <w:tcW w:w="0" w:type="dxa"/>
            <w:vAlign w:val="bottom"/>
          </w:tcPr>
          <w:p>
            <w:pPr>
              <w:spacing w:after="0"/>
              <w:rPr>
                <w:sz w:val="1"/>
                <w:szCs w:val="1"/>
                <w:color w:val="auto"/>
              </w:rPr>
            </w:pPr>
          </w:p>
        </w:tc>
      </w:tr>
      <w:tr>
        <w:trPr>
          <w:trHeight w:val="209"/>
        </w:trPr>
        <w:tc>
          <w:tcPr>
            <w:tcW w:w="3500" w:type="dxa"/>
            <w:vAlign w:val="bottom"/>
          </w:tcPr>
          <w:p>
            <w:pPr>
              <w:ind w:left="480"/>
              <w:spacing w:after="0"/>
              <w:rPr>
                <w:sz w:val="20"/>
                <w:szCs w:val="20"/>
                <w:color w:val="auto"/>
              </w:rPr>
            </w:pPr>
            <w:r>
              <w:rPr>
                <w:rFonts w:ascii="Arial" w:cs="Arial" w:eastAsia="Arial" w:hAnsi="Arial"/>
                <w:sz w:val="16"/>
                <w:szCs w:val="16"/>
                <w:color w:val="auto"/>
              </w:rPr>
              <w:t>Total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513,930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138,438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3,570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655,938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655,938</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Merchandise cost of goods sold</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202,488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59,223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261,711</w:t>
            </w:r>
          </w:p>
        </w:tc>
        <w:tc>
          <w:tcPr>
            <w:tcW w:w="0" w:type="dxa"/>
            <w:vAlign w:val="bottom"/>
          </w:tcPr>
          <w:p>
            <w:pPr>
              <w:spacing w:after="0"/>
              <w:rPr>
                <w:sz w:val="1"/>
                <w:szCs w:val="1"/>
                <w:color w:val="auto"/>
              </w:rPr>
            </w:pPr>
          </w:p>
        </w:tc>
      </w:tr>
      <w:tr>
        <w:trPr>
          <w:trHeight w:val="213"/>
        </w:trPr>
        <w:tc>
          <w:tcPr>
            <w:tcW w:w="3500" w:type="dxa"/>
            <w:vAlign w:val="bottom"/>
          </w:tcPr>
          <w:p>
            <w:pPr>
              <w:ind w:left="20"/>
              <w:spacing w:after="0"/>
              <w:rPr>
                <w:sz w:val="20"/>
                <w:szCs w:val="20"/>
                <w:color w:val="auto"/>
              </w:rPr>
            </w:pPr>
            <w:r>
              <w:rPr>
                <w:rFonts w:ascii="Arial" w:cs="Arial" w:eastAsia="Arial" w:hAnsi="Arial"/>
                <w:sz w:val="16"/>
                <w:szCs w:val="16"/>
                <w:color w:val="auto"/>
              </w:rPr>
              <w:t>Jewelry scrapping cost of goods sold</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25,430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33,529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33,529</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cost of revenues</w:t>
            </w: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w:t>
            </w:r>
          </w:p>
        </w:tc>
        <w:tc>
          <w:tcPr>
            <w:tcW w:w="0" w:type="dxa"/>
            <w:vAlign w:val="bottom"/>
          </w:tcPr>
          <w:p>
            <w:pPr>
              <w:spacing w:after="0"/>
              <w:rPr>
                <w:sz w:val="1"/>
                <w:szCs w:val="1"/>
                <w:color w:val="auto"/>
              </w:rPr>
            </w:pPr>
          </w:p>
        </w:tc>
      </w:tr>
      <w:tr>
        <w:trPr>
          <w:trHeight w:val="210"/>
        </w:trPr>
        <w:tc>
          <w:tcPr>
            <w:tcW w:w="3500" w:type="dxa"/>
            <w:vAlign w:val="bottom"/>
          </w:tcPr>
          <w:p>
            <w:pPr>
              <w:ind w:left="480"/>
              <w:spacing w:after="0"/>
              <w:rPr>
                <w:sz w:val="20"/>
                <w:szCs w:val="20"/>
                <w:color w:val="auto"/>
              </w:rPr>
            </w:pPr>
            <w:r>
              <w:rPr>
                <w:rFonts w:ascii="Arial" w:cs="Arial" w:eastAsia="Arial" w:hAnsi="Arial"/>
                <w:sz w:val="16"/>
                <w:szCs w:val="16"/>
                <w:color w:val="auto"/>
              </w:rPr>
              <w:t>Net revenues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286,012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71,047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359,605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359,605</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and corporate expenses (income):</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201,921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53,493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3,850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259,264</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50,355</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Impairment of goodwill, intangible and other</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assets</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10,000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35,936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47,060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47,060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13,861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23,174</w:t>
            </w:r>
          </w:p>
        </w:tc>
        <w:tc>
          <w:tcPr>
            <w:tcW w:w="0" w:type="dxa"/>
            <w:vAlign w:val="bottom"/>
          </w:tcPr>
          <w:p>
            <w:pPr>
              <w:spacing w:after="0"/>
              <w:rPr>
                <w:sz w:val="1"/>
                <w:szCs w:val="1"/>
                <w:color w:val="auto"/>
              </w:rPr>
            </w:pPr>
          </w:p>
        </w:tc>
      </w:tr>
      <w:tr>
        <w:trPr>
          <w:trHeight w:val="177"/>
        </w:trPr>
        <w:tc>
          <w:tcPr>
            <w:tcW w:w="3500" w:type="dxa"/>
            <w:vAlign w:val="bottom"/>
          </w:tcPr>
          <w:p>
            <w:pPr>
              <w:ind w:left="220"/>
              <w:spacing w:after="0" w:line="178" w:lineRule="exact"/>
              <w:rPr>
                <w:sz w:val="20"/>
                <w:szCs w:val="20"/>
                <w:color w:val="auto"/>
              </w:rPr>
            </w:pPr>
            <w:r>
              <w:rPr>
                <w:rFonts w:ascii="Arial" w:cs="Arial" w:eastAsia="Arial" w:hAnsi="Arial"/>
                <w:sz w:val="16"/>
                <w:szCs w:val="16"/>
                <w:color w:val="auto"/>
              </w:rPr>
              <w:t>(Gain) loss on sale or disposal of assets and</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500" w:type="dxa"/>
            <w:vAlign w:val="bottom"/>
          </w:tcPr>
          <w:p>
            <w:pPr>
              <w:ind w:left="220"/>
              <w:spacing w:after="0"/>
              <w:rPr>
                <w:sz w:val="20"/>
                <w:szCs w:val="20"/>
                <w:color w:val="auto"/>
              </w:rPr>
            </w:pPr>
            <w:r>
              <w:rPr>
                <w:rFonts w:ascii="Arial" w:cs="Arial" w:eastAsia="Arial" w:hAnsi="Arial"/>
                <w:sz w:val="16"/>
                <w:szCs w:val="16"/>
                <w:color w:val="auto"/>
              </w:rPr>
              <w:t>other</w:t>
            </w: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1,260</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16,589</w:t>
            </w:r>
          </w:p>
        </w:tc>
        <w:tc>
          <w:tcPr>
            <w:tcW w:w="0" w:type="dxa"/>
            <w:vAlign w:val="bottom"/>
          </w:tcPr>
          <w:p>
            <w:pPr>
              <w:spacing w:after="0"/>
              <w:rPr>
                <w:sz w:val="1"/>
                <w:szCs w:val="1"/>
                <w:color w:val="auto"/>
              </w:rPr>
            </w:pPr>
          </w:p>
        </w:tc>
      </w:tr>
      <w:tr>
        <w:trPr>
          <w:trHeight w:val="213"/>
        </w:trPr>
        <w:tc>
          <w:tcPr>
            <w:tcW w:w="350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(2,412)</w:t>
            </w:r>
          </w:p>
        </w:tc>
        <w:tc>
          <w:tcPr>
            <w:tcW w:w="0" w:type="dxa"/>
            <w:vAlign w:val="bottom"/>
          </w:tcPr>
          <w:p>
            <w:pPr>
              <w:spacing w:after="0"/>
              <w:rPr>
                <w:sz w:val="1"/>
                <w:szCs w:val="1"/>
                <w:color w:val="auto"/>
              </w:rPr>
            </w:pPr>
          </w:p>
        </w:tc>
      </w:tr>
      <w:tr>
        <w:trPr>
          <w:trHeight w:val="219"/>
        </w:trPr>
        <w:tc>
          <w:tcPr>
            <w:tcW w:w="3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net loss of unconsolidated affiliates</w:t>
            </w: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5,896</w:t>
            </w:r>
          </w:p>
        </w:tc>
        <w:tc>
          <w:tcPr>
            <w:tcW w:w="0" w:type="dxa"/>
            <w:vAlign w:val="bottom"/>
          </w:tcPr>
          <w:p>
            <w:pPr>
              <w:spacing w:after="0"/>
              <w:rPr>
                <w:sz w:val="1"/>
                <w:szCs w:val="1"/>
                <w:color w:val="auto"/>
              </w:rPr>
            </w:pPr>
          </w:p>
        </w:tc>
      </w:tr>
      <w:tr>
        <w:trPr>
          <w:trHeight w:val="213"/>
        </w:trPr>
        <w:tc>
          <w:tcPr>
            <w:tcW w:w="35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(income) expense</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10"/>
        </w:trPr>
        <w:tc>
          <w:tcPr>
            <w:tcW w:w="3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Segment contribution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65,532</w:t>
            </w: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(22,752)</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(8,842)</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33,938</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33,938</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(75,304)</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(41,366)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NOTE 15: SUPPLEMENTAL CONSOLIDATED FINANCIAL INFORMATION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supplemental information on net amounts included in our condensed consolidated balance sheets: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Pr>
          <w:p>
            <w:pPr>
              <w:spacing w:after="0"/>
              <w:rPr>
                <w:sz w:val="16"/>
                <w:szCs w:val="16"/>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2020</w:t>
            </w:r>
          </w:p>
        </w:tc>
        <w:tc>
          <w:tcPr>
            <w:tcW w:w="140" w:type="dxa"/>
            <w:vAlign w:val="bottom"/>
          </w:tcPr>
          <w:p>
            <w:pPr>
              <w:spacing w:after="0"/>
              <w:rPr>
                <w:sz w:val="16"/>
                <w:szCs w:val="16"/>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5"/>
        </w:trPr>
        <w:tc>
          <w:tcPr>
            <w:tcW w:w="67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12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pawn service charges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27,259</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Allowance for uncollectible pawn service charges receivable</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(6,683)</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(6,242)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(6,679)</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Pawn service charges receivable,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24,965</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17,432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20,580</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133,319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108,205</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Inventory reserves</w:t>
            </w: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(6,519)</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(12,314)</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Inventory,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92,242</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123,112</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95,891</w:t>
            </w:r>
          </w:p>
        </w:tc>
        <w:tc>
          <w:tcPr>
            <w:tcW w:w="0" w:type="dxa"/>
            <w:vAlign w:val="bottom"/>
          </w:tcPr>
          <w:p>
            <w:pPr>
              <w:spacing w:after="0"/>
              <w:rPr>
                <w:sz w:val="1"/>
                <w:szCs w:val="1"/>
                <w:color w:val="auto"/>
              </w:rPr>
            </w:pPr>
          </w:p>
        </w:tc>
      </w:tr>
      <w:tr>
        <w:trPr>
          <w:trHeight w:val="203"/>
        </w:trPr>
        <w:tc>
          <w:tcPr>
            <w:tcW w:w="6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Prepaid expenses and other</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10,614</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receivable and other</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6,813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6,991</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taxes receivable</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13,954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9,961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15,298</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28,343</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25,754</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32,903</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283,304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265,149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267,509</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(227,674)</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(207,051)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(210,523)</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Property and equipment,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55,630</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58,098</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56,986</w:t>
            </w:r>
          </w:p>
        </w:tc>
        <w:tc>
          <w:tcPr>
            <w:tcW w:w="0" w:type="dxa"/>
            <w:vAlign w:val="bottom"/>
          </w:tcPr>
          <w:p>
            <w:pPr>
              <w:spacing w:after="0"/>
              <w:rPr>
                <w:sz w:val="1"/>
                <w:szCs w:val="1"/>
                <w:color w:val="auto"/>
              </w:rPr>
            </w:pPr>
          </w:p>
        </w:tc>
      </w:tr>
      <w:tr>
        <w:trPr>
          <w:trHeight w:val="203"/>
        </w:trPr>
        <w:tc>
          <w:tcPr>
            <w:tcW w:w="6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19,325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15,304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19,114</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Accrued expenses and other</w:t>
            </w: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65,641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43,054</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52,390</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Accounts payable,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84,966</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58,358</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71,504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right="680"/>
        <w:spacing w:after="0" w:line="288" w:lineRule="auto"/>
        <w:rPr>
          <w:sz w:val="20"/>
          <w:szCs w:val="20"/>
          <w:color w:val="auto"/>
        </w:rPr>
      </w:pPr>
      <w:r>
        <w:rPr>
          <w:rFonts w:ascii="Arial" w:cs="Arial" w:eastAsia="Arial" w:hAnsi="Arial"/>
          <w:sz w:val="25"/>
          <w:szCs w:val="25"/>
          <w:b w:val="1"/>
          <w:bCs w:val="1"/>
          <w:color w:val="00497F"/>
        </w:rPr>
        <w:t>ITEM 2. MANAGEMENT'S DISCUSSION AND ANALYSIS OF FINANCIAL CONDITION AND RESULTS OF OPERATIONS</w:t>
      </w:r>
    </w:p>
    <w:p>
      <w:pPr>
        <w:spacing w:after="0" w:line="96" w:lineRule="exact"/>
        <w:rPr>
          <w:sz w:val="20"/>
          <w:szCs w:val="20"/>
          <w:color w:val="auto"/>
        </w:rPr>
      </w:pPr>
    </w:p>
    <w:p>
      <w:pPr>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w:t>
      </w:r>
      <w:hyperlink r:id="rId20">
        <w:r>
          <w:rPr>
            <w:rFonts w:ascii="Arial" w:cs="Arial" w:eastAsia="Arial" w:hAnsi="Arial"/>
            <w:sz w:val="18"/>
            <w:szCs w:val="18"/>
            <w:color w:val="auto"/>
          </w:rPr>
          <w:t>those anticipated in these forward-looking statements. See "Part I, Item 1A — Risk Factors" of our Annual Report on Form 10-K for the year</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ended September 30, 2020, as supplemented by the information set forth in “Part I, Item 3 — Quantitative and Qualitative Disclosures about</w:t>
        </w:r>
      </w:hyperlink>
      <w:r>
        <w:rPr>
          <w:rFonts w:ascii="Arial" w:cs="Arial" w:eastAsia="Arial" w:hAnsi="Arial"/>
          <w:sz w:val="18"/>
          <w:szCs w:val="18"/>
          <w:color w:val="auto"/>
        </w:rPr>
        <w:t xml:space="preserve"> Market Risk” and "Part II, Item 1A — Risk Factors" of this Report, for a discussion of certain risks, uncertainties and assumptions associated with these statements.</w:t>
      </w:r>
    </w:p>
    <w:p>
      <w:pPr>
        <w:spacing w:after="0" w:line="122"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Business Overview</w:t>
      </w:r>
    </w:p>
    <w:p>
      <w:pPr>
        <w:spacing w:after="0" w:line="20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EZCORP is a Delaware corporation headquartered in Austin, Texas. We are a leading provider of pawn loans in the United States and Latin America. Pawn loans are nonrecourse loans collateralized by personal property. We also sell merchandise, primarily collateral forfeited from unpaid loans or goods purchased directly from customers.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exist to serve our customers’ short-term cash needs, helping them to live and enjoy their lives. We are focused on three strategic pillars: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194945</wp:posOffset>
            </wp:positionV>
            <wp:extent cx="5760720" cy="6940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60720" cy="694055"/>
                    </a:xfrm>
                    <a:prstGeom prst="rect">
                      <a:avLst/>
                    </a:prstGeom>
                    <a:noFill/>
                  </pic:spPr>
                </pic:pic>
              </a:graphicData>
            </a:graphic>
          </wp:anchor>
        </w:drawing>
      </w:r>
    </w:p>
    <w:p>
      <w:pPr>
        <w:spacing w:after="0" w:line="287" w:lineRule="exact"/>
        <w:rPr>
          <w:sz w:val="20"/>
          <w:szCs w:val="20"/>
          <w:color w:val="auto"/>
        </w:rPr>
      </w:pPr>
    </w:p>
    <w:tbl>
      <w:tblPr>
        <w:tblLayout w:type="fixed"/>
        <w:tblInd w:w="980" w:type="dxa"/>
        <w:tblCellMar>
          <w:top w:w="0" w:type="dxa"/>
          <w:left w:w="0" w:type="dxa"/>
          <w:bottom w:w="0" w:type="dxa"/>
          <w:right w:w="0" w:type="dxa"/>
        </w:tblCellMar>
      </w:tblPr>
      <w:tr>
        <w:trPr>
          <w:trHeight w:val="247"/>
        </w:trPr>
        <w:tc>
          <w:tcPr>
            <w:tcW w:w="2480" w:type="dxa"/>
            <w:vAlign w:val="bottom"/>
            <w:shd w:val="clear" w:color="auto" w:fill="026DCE"/>
          </w:tcPr>
          <w:p>
            <w:pPr>
              <w:ind w:left="40"/>
              <w:spacing w:after="0"/>
              <w:rPr>
                <w:sz w:val="20"/>
                <w:szCs w:val="20"/>
                <w:color w:val="auto"/>
              </w:rPr>
            </w:pPr>
            <w:r>
              <w:rPr>
                <w:rFonts w:ascii="Arial" w:cs="Arial" w:eastAsia="Arial" w:hAnsi="Arial"/>
                <w:sz w:val="18"/>
                <w:szCs w:val="18"/>
                <w:b w:val="1"/>
                <w:bCs w:val="1"/>
                <w:color w:val="FFFFFF"/>
              </w:rPr>
              <w:t>Strengthen the Core</w:t>
            </w:r>
          </w:p>
        </w:tc>
        <w:tc>
          <w:tcPr>
            <w:tcW w:w="658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Renewed focus on the unique and essential elements of our pawn business</w:t>
            </w:r>
          </w:p>
        </w:tc>
        <w:tc>
          <w:tcPr>
            <w:tcW w:w="0" w:type="dxa"/>
            <w:vAlign w:val="bottom"/>
          </w:tcPr>
          <w:p>
            <w:pPr>
              <w:spacing w:after="0"/>
              <w:rPr>
                <w:sz w:val="1"/>
                <w:szCs w:val="1"/>
                <w:color w:val="auto"/>
              </w:rPr>
            </w:pPr>
          </w:p>
        </w:tc>
      </w:tr>
      <w:tr>
        <w:trPr>
          <w:trHeight w:val="185"/>
        </w:trPr>
        <w:tc>
          <w:tcPr>
            <w:tcW w:w="2480" w:type="dxa"/>
            <w:vAlign w:val="bottom"/>
            <w:shd w:val="clear" w:color="auto" w:fill="026DCE"/>
          </w:tcPr>
          <w:p>
            <w:pPr>
              <w:ind w:left="40"/>
              <w:spacing w:after="0" w:line="185" w:lineRule="exact"/>
              <w:rPr>
                <w:sz w:val="20"/>
                <w:szCs w:val="20"/>
                <w:color w:val="auto"/>
              </w:rPr>
            </w:pPr>
            <w:r>
              <w:rPr>
                <w:rFonts w:ascii="Arial" w:cs="Arial" w:eastAsia="Arial" w:hAnsi="Arial"/>
                <w:sz w:val="18"/>
                <w:szCs w:val="18"/>
                <w:b w:val="1"/>
                <w:bCs w:val="1"/>
                <w:color w:val="FFFFFF"/>
              </w:rPr>
              <w:t>Cost Reduction and</w:t>
            </w:r>
          </w:p>
        </w:tc>
        <w:tc>
          <w:tcPr>
            <w:tcW w:w="6580" w:type="dxa"/>
            <w:vAlign w:val="bottom"/>
            <w:shd w:val="clear" w:color="auto" w:fill="80C9FF"/>
          </w:tcPr>
          <w:p>
            <w:pPr>
              <w:ind w:left="40"/>
              <w:spacing w:after="0" w:line="185" w:lineRule="exact"/>
              <w:rPr>
                <w:sz w:val="20"/>
                <w:szCs w:val="20"/>
                <w:color w:val="auto"/>
              </w:rPr>
            </w:pPr>
            <w:r>
              <w:rPr>
                <w:rFonts w:ascii="Arial" w:cs="Arial" w:eastAsia="Arial" w:hAnsi="Arial"/>
                <w:sz w:val="18"/>
                <w:szCs w:val="18"/>
                <w:b w:val="1"/>
                <w:bCs w:val="1"/>
                <w:color w:val="FFFFFF"/>
              </w:rPr>
              <w:t>Significant and sustained adjustment of cost base through ongoing</w:t>
            </w:r>
          </w:p>
        </w:tc>
        <w:tc>
          <w:tcPr>
            <w:tcW w:w="0" w:type="dxa"/>
            <w:vAlign w:val="bottom"/>
          </w:tcPr>
          <w:p>
            <w:pPr>
              <w:spacing w:after="0"/>
              <w:rPr>
                <w:sz w:val="1"/>
                <w:szCs w:val="1"/>
                <w:color w:val="auto"/>
              </w:rPr>
            </w:pPr>
          </w:p>
        </w:tc>
      </w:tr>
      <w:tr>
        <w:trPr>
          <w:trHeight w:val="234"/>
        </w:trPr>
        <w:tc>
          <w:tcPr>
            <w:tcW w:w="2480" w:type="dxa"/>
            <w:vAlign w:val="bottom"/>
            <w:shd w:val="clear" w:color="auto" w:fill="026DCE"/>
          </w:tcPr>
          <w:p>
            <w:pPr>
              <w:ind w:left="40"/>
              <w:spacing w:after="0"/>
              <w:rPr>
                <w:sz w:val="20"/>
                <w:szCs w:val="20"/>
                <w:color w:val="auto"/>
              </w:rPr>
            </w:pPr>
            <w:r>
              <w:rPr>
                <w:rFonts w:ascii="Arial" w:cs="Arial" w:eastAsia="Arial" w:hAnsi="Arial"/>
                <w:sz w:val="18"/>
                <w:szCs w:val="18"/>
                <w:b w:val="1"/>
                <w:bCs w:val="1"/>
                <w:color w:val="FFFFFF"/>
              </w:rPr>
              <w:t>Simplification</w:t>
            </w:r>
          </w:p>
        </w:tc>
        <w:tc>
          <w:tcPr>
            <w:tcW w:w="6580" w:type="dxa"/>
            <w:vAlign w:val="bottom"/>
            <w:shd w:val="clear" w:color="auto" w:fill="80C9FF"/>
          </w:tcPr>
          <w:p>
            <w:pPr>
              <w:ind w:left="40"/>
              <w:spacing w:after="0"/>
              <w:rPr>
                <w:sz w:val="20"/>
                <w:szCs w:val="20"/>
                <w:color w:val="auto"/>
              </w:rPr>
            </w:pPr>
            <w:r>
              <w:rPr>
                <w:rFonts w:ascii="Arial" w:cs="Arial" w:eastAsia="Arial" w:hAnsi="Arial"/>
                <w:sz w:val="18"/>
                <w:szCs w:val="18"/>
                <w:b w:val="1"/>
                <w:bCs w:val="1"/>
                <w:color w:val="FFFFFF"/>
              </w:rPr>
              <w:t>simplification</w:t>
            </w:r>
          </w:p>
        </w:tc>
        <w:tc>
          <w:tcPr>
            <w:tcW w:w="0" w:type="dxa"/>
            <w:vAlign w:val="bottom"/>
          </w:tcPr>
          <w:p>
            <w:pPr>
              <w:spacing w:after="0"/>
              <w:rPr>
                <w:sz w:val="1"/>
                <w:szCs w:val="1"/>
                <w:color w:val="auto"/>
              </w:rPr>
            </w:pPr>
          </w:p>
        </w:tc>
      </w:tr>
      <w:tr>
        <w:trPr>
          <w:trHeight w:val="185"/>
        </w:trPr>
        <w:tc>
          <w:tcPr>
            <w:tcW w:w="2480" w:type="dxa"/>
            <w:vAlign w:val="bottom"/>
            <w:vMerge w:val="restart"/>
            <w:shd w:val="clear" w:color="auto" w:fill="026DCE"/>
          </w:tcPr>
          <w:p>
            <w:pPr>
              <w:ind w:left="40"/>
              <w:spacing w:after="0"/>
              <w:rPr>
                <w:sz w:val="20"/>
                <w:szCs w:val="20"/>
                <w:color w:val="auto"/>
              </w:rPr>
            </w:pPr>
            <w:r>
              <w:rPr>
                <w:rFonts w:ascii="Arial" w:cs="Arial" w:eastAsia="Arial" w:hAnsi="Arial"/>
                <w:sz w:val="18"/>
                <w:szCs w:val="18"/>
                <w:b w:val="1"/>
                <w:bCs w:val="1"/>
                <w:color w:val="FFFFFF"/>
              </w:rPr>
              <w:t>Innovate and Grow</w:t>
            </w:r>
          </w:p>
        </w:tc>
        <w:tc>
          <w:tcPr>
            <w:tcW w:w="6580" w:type="dxa"/>
            <w:vAlign w:val="bottom"/>
            <w:shd w:val="clear" w:color="auto" w:fill="80C9FF"/>
          </w:tcPr>
          <w:p>
            <w:pPr>
              <w:ind w:left="40"/>
              <w:spacing w:after="0" w:line="185" w:lineRule="exact"/>
              <w:rPr>
                <w:sz w:val="20"/>
                <w:szCs w:val="20"/>
                <w:color w:val="auto"/>
              </w:rPr>
            </w:pPr>
            <w:r>
              <w:rPr>
                <w:rFonts w:ascii="Arial" w:cs="Arial" w:eastAsia="Arial" w:hAnsi="Arial"/>
                <w:sz w:val="18"/>
                <w:szCs w:val="18"/>
                <w:b w:val="1"/>
                <w:bCs w:val="1"/>
                <w:color w:val="FFFFFF"/>
              </w:rPr>
              <w:t>Broaden customer engagement to service more customers more frequently</w:t>
            </w:r>
          </w:p>
        </w:tc>
        <w:tc>
          <w:tcPr>
            <w:tcW w:w="0" w:type="dxa"/>
            <w:vAlign w:val="bottom"/>
          </w:tcPr>
          <w:p>
            <w:pPr>
              <w:spacing w:after="0"/>
              <w:rPr>
                <w:sz w:val="1"/>
                <w:szCs w:val="1"/>
                <w:color w:val="auto"/>
              </w:rPr>
            </w:pPr>
          </w:p>
        </w:tc>
      </w:tr>
      <w:tr>
        <w:trPr>
          <w:trHeight w:val="135"/>
        </w:trPr>
        <w:tc>
          <w:tcPr>
            <w:tcW w:w="2480" w:type="dxa"/>
            <w:vAlign w:val="bottom"/>
            <w:vMerge w:val="continue"/>
            <w:shd w:val="clear" w:color="auto" w:fill="026DCE"/>
          </w:tcPr>
          <w:p>
            <w:pPr>
              <w:spacing w:after="0"/>
              <w:rPr>
                <w:sz w:val="11"/>
                <w:szCs w:val="11"/>
                <w:color w:val="auto"/>
              </w:rPr>
            </w:pPr>
          </w:p>
        </w:tc>
        <w:tc>
          <w:tcPr>
            <w:tcW w:w="6580" w:type="dxa"/>
            <w:vAlign w:val="bottom"/>
            <w:vMerge w:val="restart"/>
            <w:shd w:val="clear" w:color="auto" w:fill="80C9FF"/>
          </w:tcPr>
          <w:p>
            <w:pPr>
              <w:ind w:left="40"/>
              <w:spacing w:after="0"/>
              <w:rPr>
                <w:sz w:val="20"/>
                <w:szCs w:val="20"/>
                <w:color w:val="auto"/>
              </w:rPr>
            </w:pPr>
            <w:r>
              <w:rPr>
                <w:rFonts w:ascii="Arial" w:cs="Arial" w:eastAsia="Arial" w:hAnsi="Arial"/>
                <w:sz w:val="18"/>
                <w:szCs w:val="18"/>
                <w:b w:val="1"/>
                <w:bCs w:val="1"/>
                <w:color w:val="FFFFFF"/>
              </w:rPr>
              <w:t>in more locations</w:t>
            </w:r>
          </w:p>
        </w:tc>
        <w:tc>
          <w:tcPr>
            <w:tcW w:w="0" w:type="dxa"/>
            <w:vAlign w:val="bottom"/>
          </w:tcPr>
          <w:p>
            <w:pPr>
              <w:spacing w:after="0"/>
              <w:rPr>
                <w:sz w:val="1"/>
                <w:szCs w:val="1"/>
                <w:color w:val="auto"/>
              </w:rPr>
            </w:pPr>
          </w:p>
        </w:tc>
      </w:tr>
      <w:tr>
        <w:trPr>
          <w:trHeight w:val="95"/>
        </w:trPr>
        <w:tc>
          <w:tcPr>
            <w:tcW w:w="2480" w:type="dxa"/>
            <w:vAlign w:val="bottom"/>
            <w:shd w:val="clear" w:color="auto" w:fill="026DCE"/>
          </w:tcPr>
          <w:p>
            <w:pPr>
              <w:spacing w:after="0"/>
              <w:rPr>
                <w:sz w:val="8"/>
                <w:szCs w:val="8"/>
                <w:color w:val="auto"/>
              </w:rPr>
            </w:pPr>
          </w:p>
        </w:tc>
        <w:tc>
          <w:tcPr>
            <w:tcW w:w="6580" w:type="dxa"/>
            <w:vAlign w:val="bottom"/>
            <w:vMerge w:val="continue"/>
            <w:shd w:val="clear" w:color="auto" w:fill="80C9FF"/>
          </w:tcPr>
          <w:p>
            <w:pPr>
              <w:spacing w:after="0"/>
              <w:rPr>
                <w:sz w:val="8"/>
                <w:szCs w:val="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Pawn Activities</w:t>
      </w:r>
    </w:p>
    <w:p>
      <w:pPr>
        <w:spacing w:after="0" w:line="18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At our pawn stores, we offer pawn loans, which are typically small, nonrecourse loans collateralized by tangible personal property. We earn pawn service charges on our pawn loans, which varies by state and loan size. Collateral for our pawn loans consists of tangible personal property, generally jewelry, consumer electronics, tools, sporting goods and musical instruments. Security for our pawn loans is provided via the estimated resale value of the collateralized personal property and the perceived probability of the loans' redemption.</w:t>
      </w:r>
    </w:p>
    <w:p>
      <w:pPr>
        <w:spacing w:after="0" w:line="15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Our ability to offer quality pre-owned goods at prices significantly lower than original retail prices attracts value-conscious customers. The gross profit on sales of inventory depends primarily on our assessment of the loan or purchase value at the time the property is either accepted as loan collateral or purchased and our ability to sell that merchandise in a timely manner. As a significant portion of our inventory and sales involve gold and jewelry, our results can be influenced by the market price of gold and diamonds.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Growth and Expansion</w:t>
      </w:r>
    </w:p>
    <w:p>
      <w:pPr>
        <w:spacing w:after="0" w:line="184" w:lineRule="exact"/>
        <w:rPr>
          <w:sz w:val="20"/>
          <w:szCs w:val="20"/>
          <w:color w:val="auto"/>
        </w:rPr>
      </w:pPr>
    </w:p>
    <w:p>
      <w:pPr>
        <w:ind w:right="320"/>
        <w:spacing w:after="0" w:line="252" w:lineRule="auto"/>
        <w:rPr>
          <w:sz w:val="20"/>
          <w:szCs w:val="20"/>
          <w:color w:val="auto"/>
        </w:rPr>
      </w:pPr>
      <w:r>
        <w:rPr>
          <w:rFonts w:ascii="Arial" w:cs="Arial" w:eastAsia="Arial" w:hAnsi="Arial"/>
          <w:sz w:val="18"/>
          <w:szCs w:val="18"/>
          <w:color w:val="auto"/>
        </w:rPr>
        <w:t>Our strategy is to expand the number of locations we operate through opening new (“de novo”) locations and through acquisitions in both Latin America and the United States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the availability of qualified personnel. We see opportunity for further expansion through acquisitions and de novo openings in Latin America and acquisitions in the United States.</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Seasonality and Quarterly Results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the United States, pawn service charges are historically highest in our fourth fiscal quarter (July through September) due to a higher average loan balance during the summer lending season and lowest in our third fiscal quarter (April through June) following the tax refund season and merchandise sales are highest in our first and second fiscal quarters (October through March) due to the holiday season, jewelry sales surrounding Valentine’s Day and the availability of tax refunds. In Latin America, most of our customers receive additional compensation from their employers in December, and many receive additional compensation in June or July, applying downward pressure on loan balances and fueling some merchandise sales in those periods. As a net effect of these and other factors and excluding discrete charges, our consolidated profit before tax is generally highest in our first fiscal quarter (October through December) and lowest in our third</w:t>
      </w:r>
    </w:p>
    <w:p>
      <w:pPr>
        <w:sectPr>
          <w:pgSz w:w="11900" w:h="16838" w:orient="portrait"/>
          <w:cols w:equalWidth="0" w:num="1">
            <w:col w:w="11220"/>
          </w:cols>
          <w:pgMar w:left="320" w:top="144" w:right="359" w:bottom="144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color w:val="auto"/>
        </w:rPr>
        <w:t>fiscal quarter (April through June). These historical trends have been impacted by COVID-19. However, we expect these historical trends to return in the future.</w:t>
      </w:r>
    </w:p>
    <w:p>
      <w:pPr>
        <w:spacing w:after="0" w:line="222"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Financial Highlights</w:t>
      </w:r>
    </w:p>
    <w:p>
      <w:pPr>
        <w:spacing w:after="0" w:line="20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remain focused on optimizing our balance of pawn loans outstanding (“PLO”) and the resulting higher pawn service charges (“PSC”). The following chart presents sources of net revenues, including PSC, merchandise sales gross profit ("Merchandise sales GP") and jewelry scrapping gross profit ("Jewelry Scrapping GP")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59690</wp:posOffset>
            </wp:positionV>
            <wp:extent cx="5743575" cy="27857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The following chart presents sources of net revenues by geographic disbursement for the three and nine months ended June 30, 2021 and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57785</wp:posOffset>
            </wp:positionV>
            <wp:extent cx="5743575" cy="27857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743575" cy="27857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Business Developments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COVID-19</w:t>
      </w:r>
    </w:p>
    <w:p>
      <w:pPr>
        <w:spacing w:after="0" w:line="184" w:lineRule="exact"/>
        <w:rPr>
          <w:sz w:val="20"/>
          <w:szCs w:val="20"/>
          <w:color w:val="auto"/>
        </w:rPr>
      </w:pPr>
    </w:p>
    <w:p>
      <w:pPr>
        <w:jc w:val="both"/>
        <w:ind w:right="100"/>
        <w:spacing w:after="0" w:line="271" w:lineRule="auto"/>
        <w:rPr>
          <w:sz w:val="20"/>
          <w:szCs w:val="20"/>
          <w:color w:val="auto"/>
        </w:rPr>
      </w:pPr>
      <w:r>
        <w:rPr>
          <w:rFonts w:ascii="Arial" w:cs="Arial" w:eastAsia="Arial" w:hAnsi="Arial"/>
          <w:sz w:val="17"/>
          <w:szCs w:val="17"/>
          <w:color w:val="auto"/>
        </w:rPr>
        <w:t>The COVID-19 pandemic continues to affect the U.S. and global economies, and as disclosed in our 2020 Annual Report on Form 10-K, the pandemic also affected our business in a variety of ways beginning in the second quarter of fiscal 2020 and continuing into fiscal 2021. The full extent and duration of the COVID-19 impact on the global economy generally, and on our business specifically, is currently unknown. We expect the impact of the pandemic, and the recovery therefrom, will continue to adversely affect net revenues and earnings in fiscal 2021. A prolonged pandemic and recovery may have an adverse effect on our results of operations, financial position and liquidity in future periods.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Reinvestment of Dividends</w:t>
      </w:r>
    </w:p>
    <w:p>
      <w:pPr>
        <w:spacing w:after="0" w:line="18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On February 21, 2021, Cash Converters International announced that its board of directors declared an interim dividend of AUD $0.01 per share, which was payable on April 14, 2021 to ordinary shareholders of record as of the close of business on March 25, 2021. We elected to receive our dividend entitlement in the form of additional ordinary shares pursuant to Cash Converters International's pre-existing Dividend Reinvestment Plan. Under that plan, on April 14, 2021, we received an additional 9,519,277 shares, bringing our total ownership to 223,702,991 shares, representing 35.65% of Cash Converters International's total outstanding ordinary shares.</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Acquisitions</w:t>
      </w:r>
    </w:p>
    <w:p>
      <w:pPr>
        <w:spacing w:after="0" w:line="18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On June 9, 2021, we completed the acquisition of 100% of the common shares of PLO del Bajio S. de R.L. de C.V. (“Bajio”) and gained control of the entity, further expanding our geographic footprint within Mexico with the addition of 128 pawn stores. These stores, operating under the name "Cash Apoyo Efectivo," are located principally in the Mexico City metropolitan area and have strong brand recognition in that market. This is our largest acquisition to date in terms of store-count. The total consideration paid for Bajio was $23.6 million, consisting of cash of $17.4 million, of which $11.6 million was paid in cash at closing and the remaining $5.8 million is accrued and held as restricted cash to be paid out per the acquisition agreement, and 212,870 shares of our Class A Non-Voting Common Stock valued at $1.6 million. In addition, the sellers may be entitled to additional payments of up to $4.6 million over the next two years, contingent on the performance of the acquired stores with growing its loan portfolio. We also repaid $14.9 million of Bajio’s existing debt assumed in the acquisition.</w:t>
      </w:r>
    </w:p>
    <w:p>
      <w:pPr>
        <w:spacing w:after="0" w:line="15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In May 2021, we acquired 11 pawn stores in the Houston, Texas area, providing an immediate market-leading position in the South Houston area and enhancing our already strong position in the strategically important Houston metro market.</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Strategic Initiatives</w:t>
      </w:r>
    </w:p>
    <w:p>
      <w:pPr>
        <w:spacing w:after="0" w:line="170"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During the fourth quarter of fiscal 2020, we began to implement strategic initiatives to refocus on our core pawn business and optimize our cost structure in order to improve our bottom line performance and position us for sustainable growth. During the third quarter of fiscal 2021, due to uneconomic rate caps and limited synergies across our platform, we finalized our decision for the closure of our 11 stores in Peru and incurred costs of $0.5 million related to the closure.</w:t>
      </w:r>
    </w:p>
    <w:p>
      <w:pPr>
        <w:spacing w:after="0" w:line="119" w:lineRule="exact"/>
        <w:rPr>
          <w:sz w:val="20"/>
          <w:szCs w:val="20"/>
          <w:color w:val="auto"/>
        </w:rPr>
      </w:pPr>
    </w:p>
    <w:p>
      <w:pPr>
        <w:spacing w:after="0"/>
        <w:rPr>
          <w:sz w:val="20"/>
          <w:szCs w:val="20"/>
          <w:color w:val="auto"/>
        </w:rPr>
      </w:pPr>
      <w:r>
        <w:rPr>
          <w:rFonts w:ascii="Arial" w:cs="Arial" w:eastAsia="Arial" w:hAnsi="Arial"/>
          <w:sz w:val="25"/>
          <w:szCs w:val="25"/>
          <w:b w:val="1"/>
          <w:bCs w:val="1"/>
          <w:color w:val="365F91"/>
        </w:rPr>
        <w:t>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Constant Currency Financial Information</w:t>
      </w:r>
    </w:p>
    <w:p>
      <w:pPr>
        <w:spacing w:after="0" w:line="184" w:lineRule="exact"/>
        <w:rPr>
          <w:sz w:val="20"/>
          <w:szCs w:val="20"/>
          <w:color w:val="auto"/>
        </w:rPr>
      </w:pPr>
    </w:p>
    <w:p>
      <w:pPr>
        <w:ind w:right="220"/>
        <w:spacing w:after="0" w:line="251"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GAAP, we provide certain other non-GAAP financial information on a constant currency basis ("constant currency"). We use constant currency results to evaluate our Latin America Pawn operations, which are denominated primarily in Mexican pesos, Guatemalan quetzales and other Latin American currencies. We believe presentation of constant currency results is meaningful and useful in understanding the activities and business metrics of our Latin America Pawn operations and reflect an additional way of viewing aspects of our business that, when viewed with GAAP results, provide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spacing w:after="0" w:line="15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Constant currency results, where presented, also exclude the foreign currency gain or loss. The end-of-period and approximate average exchange rates for each applicable currency as compared to U.S. dollars as of and for the three and nine months ended June 30, 2021 and June 30, 2020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420" w:type="dxa"/>
            <w:vAlign w:val="bottom"/>
            <w:gridSpan w:val="3"/>
            <w:vMerge w:val="restart"/>
          </w:tcPr>
          <w:p>
            <w:pPr>
              <w:ind w:left="740"/>
              <w:spacing w:after="0"/>
              <w:rPr>
                <w:sz w:val="20"/>
                <w:szCs w:val="20"/>
                <w:color w:val="auto"/>
              </w:rPr>
            </w:pPr>
            <w:r>
              <w:rPr>
                <w:rFonts w:ascii="Arial" w:cs="Arial" w:eastAsia="Arial" w:hAnsi="Arial"/>
                <w:sz w:val="16"/>
                <w:szCs w:val="16"/>
                <w:b w:val="1"/>
                <w:bCs w:val="1"/>
                <w:color w:val="auto"/>
              </w:rPr>
              <w:t>June 30,</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3"/>
          </w:tcPr>
          <w:p>
            <w:pPr>
              <w:ind w:left="280"/>
              <w:spacing w:after="0"/>
              <w:rPr>
                <w:sz w:val="20"/>
                <w:szCs w:val="20"/>
                <w:color w:val="auto"/>
              </w:rPr>
            </w:pPr>
            <w:r>
              <w:rPr>
                <w:rFonts w:ascii="Arial" w:cs="Arial" w:eastAsia="Arial" w:hAnsi="Arial"/>
                <w:sz w:val="16"/>
                <w:szCs w:val="16"/>
                <w:b w:val="1"/>
                <w:bCs w:val="1"/>
                <w:color w:val="auto"/>
              </w:rPr>
              <w:t>Three Months Ended</w:t>
            </w:r>
          </w:p>
        </w:tc>
        <w:tc>
          <w:tcPr>
            <w:tcW w:w="21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1420" w:type="dxa"/>
            <w:vAlign w:val="bottom"/>
            <w:tcBorders>
              <w:bottom w:val="single" w:sz="8" w:color="auto"/>
            </w:tcBorders>
            <w:gridSpan w:val="3"/>
            <w:vMerge w:val="continue"/>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Borders>
              <w:bottom w:val="single" w:sz="8" w:color="auto"/>
            </w:tcBorders>
            <w:gridSpan w:val="3"/>
          </w:tcPr>
          <w:p>
            <w:pPr>
              <w:ind w:left="760"/>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40" w:type="dxa"/>
            <w:vAlign w:val="bottom"/>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2021</w:t>
            </w: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35"/>
        </w:trPr>
        <w:tc>
          <w:tcPr>
            <w:tcW w:w="45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Mexican peso</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20.0</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w:t>
            </w:r>
          </w:p>
        </w:tc>
        <w:tc>
          <w:tcPr>
            <w:tcW w:w="0" w:type="dxa"/>
            <w:vAlign w:val="bottom"/>
          </w:tcPr>
          <w:p>
            <w:pPr>
              <w:spacing w:after="0"/>
              <w:rPr>
                <w:sz w:val="1"/>
                <w:szCs w:val="1"/>
                <w:color w:val="auto"/>
              </w:rPr>
            </w:pPr>
          </w:p>
        </w:tc>
      </w:tr>
      <w:tr>
        <w:trPr>
          <w:trHeight w:val="213"/>
        </w:trPr>
        <w:tc>
          <w:tcPr>
            <w:tcW w:w="4540" w:type="dxa"/>
            <w:vAlign w:val="bottom"/>
          </w:tcPr>
          <w:p>
            <w:pPr>
              <w:ind w:left="20"/>
              <w:spacing w:after="0"/>
              <w:rPr>
                <w:sz w:val="20"/>
                <w:szCs w:val="20"/>
                <w:color w:val="auto"/>
              </w:rPr>
            </w:pPr>
            <w:r>
              <w:rPr>
                <w:rFonts w:ascii="Arial" w:cs="Arial" w:eastAsia="Arial" w:hAnsi="Arial"/>
                <w:sz w:val="16"/>
                <w:szCs w:val="16"/>
                <w:color w:val="auto"/>
              </w:rPr>
              <w:t>Guatemalan quetzal</w:t>
            </w:r>
          </w:p>
        </w:tc>
        <w:tc>
          <w:tcPr>
            <w:tcW w:w="10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color w:val="auto"/>
              </w:rPr>
              <w:t>7.6</w:t>
            </w:r>
          </w:p>
        </w:tc>
        <w:tc>
          <w:tcPr>
            <w:tcW w:w="720" w:type="dxa"/>
            <w:vAlign w:val="bottom"/>
          </w:tcPr>
          <w:p>
            <w:pPr>
              <w:jc w:val="right"/>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4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Honduran lempira</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99"/>
              <w:spacing w:after="0"/>
              <w:rPr>
                <w:sz w:val="20"/>
                <w:szCs w:val="20"/>
                <w:color w:val="auto"/>
              </w:rPr>
            </w:pPr>
            <w:r>
              <w:rPr>
                <w:rFonts w:ascii="Arial" w:cs="Arial" w:eastAsia="Arial" w:hAnsi="Arial"/>
                <w:sz w:val="16"/>
                <w:szCs w:val="16"/>
                <w:color w:val="auto"/>
              </w:rPr>
              <w:t>23.7</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10"/>
        </w:trPr>
        <w:tc>
          <w:tcPr>
            <w:tcW w:w="4540" w:type="dxa"/>
            <w:vAlign w:val="bottom"/>
          </w:tcPr>
          <w:p>
            <w:pPr>
              <w:ind w:left="20"/>
              <w:spacing w:after="0"/>
              <w:rPr>
                <w:sz w:val="20"/>
                <w:szCs w:val="20"/>
                <w:color w:val="auto"/>
              </w:rPr>
            </w:pPr>
            <w:r>
              <w:rPr>
                <w:rFonts w:ascii="Arial" w:cs="Arial" w:eastAsia="Arial" w:hAnsi="Arial"/>
                <w:sz w:val="16"/>
                <w:szCs w:val="16"/>
                <w:color w:val="auto"/>
              </w:rPr>
              <w:t>Peruvian sol</w:t>
            </w:r>
          </w:p>
        </w:tc>
        <w:tc>
          <w:tcPr>
            <w:tcW w:w="10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40" w:type="dxa"/>
            <w:vAlign w:val="bottom"/>
          </w:tcPr>
          <w:p>
            <w:pPr>
              <w:jc w:val="right"/>
              <w:ind w:right="399"/>
              <w:spacing w:after="0"/>
              <w:rPr>
                <w:sz w:val="20"/>
                <w:szCs w:val="20"/>
                <w:color w:val="auto"/>
              </w:rPr>
            </w:pPr>
            <w:r>
              <w:rPr>
                <w:rFonts w:ascii="Arial" w:cs="Arial" w:eastAsia="Arial" w:hAnsi="Arial"/>
                <w:sz w:val="16"/>
                <w:szCs w:val="16"/>
                <w:color w:val="auto"/>
              </w:rPr>
              <w:t>3.8</w:t>
            </w:r>
          </w:p>
        </w:tc>
        <w:tc>
          <w:tcPr>
            <w:tcW w:w="720" w:type="dxa"/>
            <w:vAlign w:val="bottom"/>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We manage our business and report our financial results in three reportable operating segments;</w:t>
      </w:r>
    </w:p>
    <w:p>
      <w:pPr>
        <w:spacing w:after="0" w:line="17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Pawn — Represents all pawn activities in the United States;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Latin America Pawn — Represents all pawn activities in Mexico and other parts of Latin America; and</w:t>
      </w:r>
    </w:p>
    <w:p>
      <w:pPr>
        <w:spacing w:after="0" w:line="171" w:lineRule="exact"/>
        <w:rPr>
          <w:rFonts w:ascii="Arial" w:cs="Arial" w:eastAsia="Arial" w:hAnsi="Arial"/>
          <w:sz w:val="18"/>
          <w:szCs w:val="18"/>
          <w:color w:val="auto"/>
        </w:rPr>
      </w:pPr>
    </w:p>
    <w:p>
      <w:pPr>
        <w:ind w:left="660" w:right="40" w:hanging="328"/>
        <w:spacing w:after="0" w:line="256" w:lineRule="auto"/>
        <w:tabs>
          <w:tab w:leader="none" w:pos="669" w:val="left"/>
        </w:tabs>
        <w:numPr>
          <w:ilvl w:val="0"/>
          <w:numId w:val="7"/>
        </w:numPr>
        <w:rPr>
          <w:rFonts w:ascii="Arial" w:cs="Arial" w:eastAsia="Arial" w:hAnsi="Arial"/>
          <w:sz w:val="18"/>
          <w:szCs w:val="18"/>
          <w:color w:val="auto"/>
        </w:rPr>
      </w:pPr>
      <w:r>
        <w:rPr>
          <w:rFonts w:ascii="Arial" w:cs="Arial" w:eastAsia="Arial" w:hAnsi="Arial"/>
          <w:sz w:val="18"/>
          <w:szCs w:val="18"/>
          <w:color w:val="auto"/>
        </w:rPr>
        <w:t>Other International — Represents our equity interest in the net income of Cash Converters International and Rich Data Corporation and our financial services stores in Canada, operating under the CASHMAX brand. In the fourth quarter of fiscal 2020, we closed our stores in Canada, and closing activities related to CASHMAX in fiscal year 2021 are not material.</w:t>
      </w:r>
    </w:p>
    <w:p>
      <w:pPr>
        <w:spacing w:after="0" w:line="148"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See Note 14 (Segment Information) for information regarding changes in reportable segments. Our historical segment results have been recast to conform to current presentation.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 Data by Segment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Three Months Ended June 30, 2021</w:t>
            </w:r>
          </w:p>
        </w:tc>
        <w:tc>
          <w:tcPr>
            <w:tcW w:w="0" w:type="dxa"/>
            <w:vAlign w:val="bottom"/>
          </w:tcPr>
          <w:p>
            <w:pPr>
              <w:spacing w:after="0"/>
              <w:rPr>
                <w:sz w:val="1"/>
                <w:szCs w:val="1"/>
                <w:color w:val="auto"/>
              </w:rPr>
            </w:pPr>
          </w:p>
        </w:tc>
      </w:tr>
      <w:tr>
        <w:trPr>
          <w:trHeight w:val="158"/>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2021</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20"/>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Three Months Ended June 30, 2020</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5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2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Other</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Pawn</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International</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20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March 31,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Locations sold, combined or closed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2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40" w:type="dxa"/>
            <w:vAlign w:val="bottom"/>
          </w:tcPr>
          <w:p>
            <w:pPr>
              <w:spacing w:after="0"/>
              <w:rPr>
                <w:sz w:val="18"/>
                <w:szCs w:val="18"/>
                <w:color w:val="auto"/>
              </w:rPr>
            </w:pPr>
          </w:p>
        </w:tc>
        <w:tc>
          <w:tcPr>
            <w:tcW w:w="450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rPr>
              <w:t>Nine Months Ended June 30, 2021</w:t>
            </w:r>
          </w:p>
        </w:tc>
        <w:tc>
          <w:tcPr>
            <w:tcW w:w="0" w:type="dxa"/>
            <w:vAlign w:val="bottom"/>
          </w:tcPr>
          <w:p>
            <w:pPr>
              <w:spacing w:after="0"/>
              <w:rPr>
                <w:sz w:val="1"/>
                <w:szCs w:val="1"/>
                <w:color w:val="auto"/>
              </w:rPr>
            </w:pPr>
          </w:p>
        </w:tc>
      </w:tr>
      <w:tr>
        <w:trPr>
          <w:trHeight w:val="159"/>
        </w:trPr>
        <w:tc>
          <w:tcPr>
            <w:tcW w:w="6740" w:type="dxa"/>
            <w:vAlign w:val="bottom"/>
          </w:tcPr>
          <w:p>
            <w:pPr>
              <w:spacing w:after="0"/>
              <w:rPr>
                <w:sz w:val="13"/>
                <w:szCs w:val="13"/>
                <w:color w:val="auto"/>
              </w:rPr>
            </w:pPr>
          </w:p>
        </w:tc>
        <w:tc>
          <w:tcPr>
            <w:tcW w:w="152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Latin America</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67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Pawn</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674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2020</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0" w:type="dxa"/>
            <w:vAlign w:val="bottom"/>
          </w:tcPr>
          <w:p>
            <w:pPr>
              <w:spacing w:after="0"/>
              <w:rPr>
                <w:sz w:val="1"/>
                <w:szCs w:val="1"/>
                <w:color w:val="auto"/>
              </w:rPr>
            </w:pPr>
          </w:p>
        </w:tc>
      </w:tr>
      <w:tr>
        <w:trPr>
          <w:trHeight w:val="213"/>
        </w:trPr>
        <w:tc>
          <w:tcPr>
            <w:tcW w:w="674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67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Locations acquired</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13"/>
        </w:trPr>
        <w:tc>
          <w:tcPr>
            <w:tcW w:w="67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Locations sold, combined or closed</w:t>
            </w:r>
          </w:p>
        </w:tc>
        <w:tc>
          <w:tcPr>
            <w:tcW w:w="15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9"/>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As of June 30, 2021</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ind w:left="180"/>
              <w:spacing w:after="0"/>
              <w:rPr>
                <w:sz w:val="20"/>
                <w:szCs w:val="20"/>
                <w:color w:val="auto"/>
              </w:rPr>
            </w:pPr>
            <w:r>
              <w:rPr>
                <w:rFonts w:ascii="Arial" w:cs="Arial" w:eastAsia="Arial" w:hAnsi="Arial"/>
                <w:sz w:val="16"/>
                <w:szCs w:val="16"/>
                <w:b w:val="1"/>
                <w:bCs w:val="1"/>
                <w:color w:val="auto"/>
              </w:rPr>
              <w:t>Nine Months Ended June 30, 2020</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5200" w:type="dxa"/>
            <w:vAlign w:val="bottom"/>
          </w:tcPr>
          <w:p>
            <w:pPr>
              <w:spacing w:after="0"/>
              <w:rPr>
                <w:sz w:val="13"/>
                <w:szCs w:val="13"/>
                <w:color w:val="auto"/>
              </w:rPr>
            </w:pPr>
          </w:p>
        </w:tc>
        <w:tc>
          <w:tcPr>
            <w:tcW w:w="154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U.S. Pawn</w:t>
            </w:r>
          </w:p>
        </w:tc>
        <w:tc>
          <w:tcPr>
            <w:tcW w:w="152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Latin America</w:t>
            </w:r>
          </w:p>
        </w:tc>
        <w:tc>
          <w:tcPr>
            <w:tcW w:w="154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rPr>
              <w:t>Other</w:t>
            </w:r>
          </w:p>
        </w:tc>
        <w:tc>
          <w:tcPr>
            <w:tcW w:w="144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rPr>
              <w:t>Consolidated</w:t>
            </w:r>
          </w:p>
        </w:tc>
        <w:tc>
          <w:tcPr>
            <w:tcW w:w="0" w:type="dxa"/>
            <w:vAlign w:val="bottom"/>
          </w:tcPr>
          <w:p>
            <w:pPr>
              <w:spacing w:after="0"/>
              <w:rPr>
                <w:sz w:val="1"/>
                <w:szCs w:val="1"/>
                <w:color w:val="auto"/>
              </w:rPr>
            </w:pPr>
          </w:p>
        </w:tc>
      </w:tr>
      <w:tr>
        <w:trPr>
          <w:trHeight w:val="215"/>
        </w:trPr>
        <w:tc>
          <w:tcPr>
            <w:tcW w:w="520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1520" w:type="dxa"/>
            <w:vAlign w:val="bottom"/>
            <w:gridSpan w:val="2"/>
          </w:tcPr>
          <w:p>
            <w:pPr>
              <w:ind w:left="500"/>
              <w:spacing w:after="0"/>
              <w:rPr>
                <w:sz w:val="20"/>
                <w:szCs w:val="20"/>
                <w:color w:val="auto"/>
              </w:rPr>
            </w:pPr>
            <w:r>
              <w:rPr>
                <w:rFonts w:ascii="Arial" w:cs="Arial" w:eastAsia="Arial" w:hAnsi="Arial"/>
                <w:sz w:val="16"/>
                <w:szCs w:val="16"/>
                <w:b w:val="1"/>
                <w:bCs w:val="1"/>
                <w:color w:val="auto"/>
              </w:rPr>
              <w:t>Pawn</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International</w:t>
            </w:r>
          </w:p>
        </w:tc>
        <w:tc>
          <w:tcPr>
            <w:tcW w:w="14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20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 of September 30, 2019</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3"/>
        </w:trPr>
        <w:tc>
          <w:tcPr>
            <w:tcW w:w="5200" w:type="dxa"/>
            <w:vAlign w:val="bottom"/>
          </w:tcPr>
          <w:p>
            <w:pPr>
              <w:ind w:left="220"/>
              <w:spacing w:after="0"/>
              <w:rPr>
                <w:sz w:val="20"/>
                <w:szCs w:val="20"/>
                <w:color w:val="auto"/>
              </w:rPr>
            </w:pPr>
            <w:r>
              <w:rPr>
                <w:rFonts w:ascii="Arial" w:cs="Arial" w:eastAsia="Arial" w:hAnsi="Arial"/>
                <w:sz w:val="16"/>
                <w:szCs w:val="16"/>
                <w:color w:val="auto"/>
              </w:rPr>
              <w:t>New locations opened</w:t>
            </w: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216"/>
        </w:trPr>
        <w:tc>
          <w:tcPr>
            <w:tcW w:w="52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Locations sold, combined or closed</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As of June 30, 2020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511</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vs. Three Months Ended June 30, 2020</w:t>
      </w:r>
    </w:p>
    <w:p>
      <w:pPr>
        <w:spacing w:after="0" w:line="1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These tables, as well as the discussion that follows, should be read in conjunction with the accompanying condensed consolidated financial statements and related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Pawn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our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rPr>
              <w:t>Three Months Ended June 30,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44,039</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41,069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7%</w:t>
            </w:r>
          </w:p>
        </w:tc>
      </w:tr>
      <w:tr>
        <w:trPr>
          <w:trHeight w:val="219"/>
        </w:trPr>
        <w:tc>
          <w:tcPr>
            <w:tcW w:w="6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84,465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116,258</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(27)%</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39,155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40,420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1,100bps</w:t>
            </w:r>
          </w:p>
        </w:tc>
      </w:tr>
      <w:tr>
        <w:trPr>
          <w:trHeight w:val="219"/>
        </w:trPr>
        <w:tc>
          <w:tcPr>
            <w:tcW w:w="6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1,908</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17,129</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(89)%</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4,254</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(99)%</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9"/>
              </w:rPr>
              <w:t>(2,300)bps</w:t>
            </w:r>
          </w:p>
        </w:tc>
      </w:tr>
      <w:tr>
        <w:trPr>
          <w:trHeight w:val="219"/>
        </w:trPr>
        <w:tc>
          <w:tcPr>
            <w:tcW w:w="6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40</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(20)%</w:t>
            </w:r>
          </w:p>
        </w:tc>
      </w:tr>
      <w:tr>
        <w:trPr>
          <w:trHeight w:val="213"/>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83,256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85,783</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(3)%</w:t>
            </w:r>
          </w:p>
        </w:tc>
      </w:tr>
      <w:tr>
        <w:trPr>
          <w:trHeight w:val="216"/>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280" w:type="dxa"/>
            <w:vAlign w:val="bottom"/>
          </w:tcPr>
          <w:p>
            <w:pPr>
              <w:spacing w:after="0"/>
              <w:rPr>
                <w:sz w:val="18"/>
                <w:szCs w:val="18"/>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62,507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66,243</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2,749</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(5)%</w:t>
            </w: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Loss on sale or disposal of assets and other</w:t>
            </w:r>
          </w:p>
        </w:tc>
        <w:tc>
          <w:tcPr>
            <w:tcW w:w="2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234</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(100)%</w:t>
            </w:r>
          </w:p>
        </w:tc>
      </w:tr>
      <w:tr>
        <w:trPr>
          <w:trHeight w:val="220"/>
        </w:trPr>
        <w:tc>
          <w:tcPr>
            <w:tcW w:w="65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6"/>
                <w:szCs w:val="16"/>
                <w:color w:val="auto"/>
              </w:rPr>
              <w:t>Segment contribution</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18,149</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16,557</w:t>
            </w:r>
          </w:p>
        </w:tc>
        <w:tc>
          <w:tcPr>
            <w:tcW w:w="152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r>
      <w:tr>
        <w:trPr>
          <w:trHeight w:val="203"/>
        </w:trPr>
        <w:tc>
          <w:tcPr>
            <w:tcW w:w="6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Net earning assets (a)</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186,322</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176,866</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5%</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Inventory turnover</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3.2</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Average monthly ending pawn loan balance per store (b)</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172</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w w:val="99"/>
              </w:rPr>
              <w:t>20%</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r>
      <w:tr>
        <w:trPr>
          <w:trHeight w:val="210"/>
        </w:trPr>
        <w:tc>
          <w:tcPr>
            <w:tcW w:w="6520" w:type="dxa"/>
            <w:vAlign w:val="bottom"/>
          </w:tcPr>
          <w:p>
            <w:pPr>
              <w:ind w:left="220"/>
              <w:spacing w:after="0"/>
              <w:rPr>
                <w:sz w:val="20"/>
                <w:szCs w:val="20"/>
                <w:color w:val="auto"/>
              </w:rPr>
            </w:pPr>
            <w:r>
              <w:rPr>
                <w:rFonts w:ascii="Arial" w:cs="Arial" w:eastAsia="Arial" w:hAnsi="Arial"/>
                <w:sz w:val="16"/>
                <w:szCs w:val="16"/>
                <w:color w:val="auto"/>
              </w:rPr>
              <w:t>Pawn loan redemption rate</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88 %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bl>
    <w:p>
      <w:pPr>
        <w:spacing w:after="0" w:line="213" w:lineRule="exact"/>
        <w:rPr>
          <w:sz w:val="20"/>
          <w:szCs w:val="20"/>
          <w:color w:val="auto"/>
        </w:rPr>
      </w:pPr>
    </w:p>
    <w:p>
      <w:pPr>
        <w:ind w:left="360" w:hanging="334"/>
        <w:spacing w:after="0"/>
        <w:tabs>
          <w:tab w:leader="none" w:pos="360"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9"/>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319"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Pawn service charges increased by 7% as a result of higher average PLO for the quarter. Same stores pawn service charges also increased by 7%.</w:t>
      </w:r>
    </w:p>
    <w:p>
      <w:pPr>
        <w:spacing w:after="0" w:line="144" w:lineRule="exact"/>
        <w:rPr>
          <w:sz w:val="20"/>
          <w:szCs w:val="20"/>
          <w:color w:val="auto"/>
        </w:rPr>
      </w:pPr>
    </w:p>
    <w:p>
      <w:pPr>
        <w:jc w:val="both"/>
        <w:ind w:right="40"/>
        <w:spacing w:after="0" w:line="254" w:lineRule="auto"/>
        <w:rPr>
          <w:sz w:val="20"/>
          <w:szCs w:val="20"/>
          <w:color w:val="auto"/>
        </w:rPr>
      </w:pPr>
      <w:r>
        <w:rPr>
          <w:rFonts w:ascii="Arial" w:cs="Arial" w:eastAsia="Arial" w:hAnsi="Arial"/>
          <w:sz w:val="18"/>
          <w:szCs w:val="18"/>
          <w:color w:val="auto"/>
        </w:rPr>
        <w:t>Merchandise sales decreased 27% on both a total and same store basis resulting from the increased demand in the prior year quarter due to the impact of federal economic stimulus. Merchandise sales gross profit decreased 3% to $39.2 million offset by a 1,100 bps improvement in merchandise sales gross profit margin, primarily due to reduced aged inventory levels. (There was a 900 bps improvement when excluding a loss from looting of $2.2 million from merchandise cost of goods sold in the prior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decreased by 6% driven by a reduction in labor expense.</w:t>
      </w:r>
    </w:p>
    <w:p>
      <w:pPr>
        <w:spacing w:after="0" w:line="17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Segment contribution increased $1.6 million or 10%. When excluding the looting charge taken in the prior year quarter, segment contribution decreased $0.6 million,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 Pawn</w:t>
      </w:r>
    </w:p>
    <w:p>
      <w:pPr>
        <w:spacing w:after="0" w:line="193"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The following table presents selected summary financial data for the Latin America Pawn segment, including constant currency results, after translation to U.S. dollars from its functional currencies noted above under “Results of Operations — Non-GAAP Financial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780"/>
              <w:spacing w:after="0"/>
              <w:rPr>
                <w:sz w:val="20"/>
                <w:szCs w:val="20"/>
                <w:color w:val="auto"/>
              </w:rPr>
            </w:pPr>
            <w:r>
              <w:rPr>
                <w:rFonts w:ascii="Arial" w:cs="Arial" w:eastAsia="Arial" w:hAnsi="Arial"/>
                <w:sz w:val="16"/>
                <w:szCs w:val="16"/>
                <w:b w:val="1"/>
                <w:bCs w:val="1"/>
                <w:color w:val="auto"/>
              </w:rPr>
              <w:t>Three Months Ended June 30,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2021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2020 (GAAP)</w:t>
            </w: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2021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6"/>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16,392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11,391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14,829</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30%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23,343</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20,279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20,844</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8,114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4,258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7,179</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69%</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21 %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1,400bps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1,300bps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3,765</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3,174</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3,429</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(109)</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(251)%</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800bps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800bps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24,676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15,508</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22,173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43%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19,296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15,041</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17,276</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15%</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1,806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1,647</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1,622</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Charges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Segment operating contribution</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3,077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(1,180)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3,275</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378%</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segment income (a)</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(489)</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(442)</w:t>
            </w: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(115)%</w:t>
            </w:r>
          </w:p>
        </w:tc>
        <w:tc>
          <w:tcPr>
            <w:tcW w:w="0" w:type="dxa"/>
            <w:vAlign w:val="bottom"/>
          </w:tcPr>
          <w:p>
            <w:pPr>
              <w:spacing w:after="0"/>
              <w:rPr>
                <w:sz w:val="1"/>
                <w:szCs w:val="1"/>
                <w:color w:val="auto"/>
              </w:rPr>
            </w:pPr>
          </w:p>
        </w:tc>
      </w:tr>
      <w:tr>
        <w:trPr>
          <w:trHeight w:val="220"/>
        </w:trPr>
        <w:tc>
          <w:tcPr>
            <w:tcW w:w="424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Segment contribution</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3,566</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(738)</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583%</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3,210</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7"/>
              </w:rPr>
              <w:t>535%</w:t>
            </w:r>
          </w:p>
        </w:tc>
        <w:tc>
          <w:tcPr>
            <w:tcW w:w="0" w:type="dxa"/>
            <w:vAlign w:val="bottom"/>
          </w:tcPr>
          <w:p>
            <w:pPr>
              <w:spacing w:after="0"/>
              <w:rPr>
                <w:sz w:val="1"/>
                <w:szCs w:val="1"/>
                <w:color w:val="auto"/>
              </w:rPr>
            </w:pPr>
          </w:p>
        </w:tc>
      </w:tr>
      <w:tr>
        <w:trPr>
          <w:trHeight w:val="203"/>
        </w:trPr>
        <w:tc>
          <w:tcPr>
            <w:tcW w:w="4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earning assets (b)</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63,075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59,441</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4"/>
              </w:rPr>
              <w:t>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56,453</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Inventory turnover</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9"/>
              </w:rPr>
              <w:t>82%</w:t>
            </w:r>
          </w:p>
        </w:tc>
        <w:tc>
          <w:tcPr>
            <w:tcW w:w="0" w:type="dxa"/>
            <w:vAlign w:val="bottom"/>
          </w:tcPr>
          <w:p>
            <w:pPr>
              <w:spacing w:after="0"/>
              <w:rPr>
                <w:sz w:val="1"/>
                <w:szCs w:val="1"/>
                <w:color w:val="auto"/>
              </w:rPr>
            </w:pPr>
          </w:p>
        </w:tc>
      </w:tr>
      <w:tr>
        <w:trPr>
          <w:trHeight w:val="180"/>
        </w:trPr>
        <w:tc>
          <w:tcPr>
            <w:tcW w:w="4240" w:type="dxa"/>
            <w:vAlign w:val="bottom"/>
            <w:shd w:val="clear" w:color="auto" w:fill="CCEEFF"/>
          </w:tcPr>
          <w:p>
            <w:pPr>
              <w:ind w:left="220"/>
              <w:spacing w:after="0" w:line="181"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17"/>
                <w:szCs w:val="17"/>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400bps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400bps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 (d)</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200bps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200bps</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360" w:hanging="334"/>
        <w:spacing w:after="0"/>
        <w:tabs>
          <w:tab w:leader="none" w:pos="3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right="200" w:hanging="334"/>
        <w:spacing w:after="0" w:line="229" w:lineRule="auto"/>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Fiscal 2021 constant currency amount excludes a nominal net GAAP basis foreign currency transaction adjustment resulting from movement in exchange rates. The net foreign currency transaction adjustment for fiscal 2020 was nominal and are included in the above results.</w:t>
      </w:r>
    </w:p>
    <w:p>
      <w:pPr>
        <w:spacing w:after="0" w:line="16" w:lineRule="exact"/>
        <w:rPr>
          <w:rFonts w:ascii="Arial" w:cs="Arial" w:eastAsia="Arial" w:hAnsi="Arial"/>
          <w:sz w:val="14"/>
          <w:szCs w:val="14"/>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includes pawn loans and inventory.</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28" w:lineRule="exact"/>
        <w:rPr>
          <w:rFonts w:ascii="Arial" w:cs="Arial" w:eastAsia="Arial" w:hAnsi="Arial"/>
          <w:sz w:val="14"/>
          <w:szCs w:val="14"/>
          <w:color w:val="auto"/>
        </w:rPr>
      </w:pPr>
    </w:p>
    <w:p>
      <w:pPr>
        <w:ind w:left="360" w:hanging="334"/>
        <w:spacing w:after="0"/>
        <w:tabs>
          <w:tab w:leader="none" w:pos="3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Rate is solely inclusive of results from Mexico Pawn.</w:t>
      </w:r>
    </w:p>
    <w:p>
      <w:pPr>
        <w:spacing w:after="0" w:line="238" w:lineRule="exact"/>
        <w:rPr>
          <w:sz w:val="20"/>
          <w:szCs w:val="20"/>
          <w:color w:val="auto"/>
        </w:rPr>
      </w:pPr>
    </w:p>
    <w:p>
      <w:pPr>
        <w:ind w:right="280"/>
        <w:spacing w:after="0" w:line="235" w:lineRule="auto"/>
        <w:rPr>
          <w:sz w:val="20"/>
          <w:szCs w:val="20"/>
          <w:color w:val="auto"/>
        </w:rPr>
      </w:pPr>
      <w:r>
        <w:rPr>
          <w:rFonts w:ascii="Arial" w:cs="Arial" w:eastAsia="Arial" w:hAnsi="Arial"/>
          <w:sz w:val="18"/>
          <w:szCs w:val="18"/>
          <w:color w:val="auto"/>
        </w:rPr>
        <w:t>In the current quarter, we acquired 128 stores and opened four de novo stores, bringing total segment store-count to 627 at the end of the quarter (net of the closure of 11 stores in Peru).</w:t>
      </w:r>
    </w:p>
    <w:p>
      <w:pPr>
        <w:spacing w:after="0" w:line="1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Pawn service charges increased 44% (30% on a constant currency basis). Same store pawn service charges increased by 38% (24% on a constant currency basis) as a result of higher average PLO for the quarter.</w:t>
      </w:r>
    </w:p>
    <w:p>
      <w:pPr>
        <w:spacing w:after="0" w:line="144" w:lineRule="exact"/>
        <w:rPr>
          <w:sz w:val="20"/>
          <w:szCs w:val="20"/>
          <w:color w:val="auto"/>
        </w:rPr>
      </w:pPr>
    </w:p>
    <w:p>
      <w:pPr>
        <w:jc w:val="both"/>
        <w:ind w:right="220"/>
        <w:spacing w:after="0" w:line="254" w:lineRule="auto"/>
        <w:rPr>
          <w:sz w:val="20"/>
          <w:szCs w:val="20"/>
          <w:color w:val="auto"/>
        </w:rPr>
      </w:pPr>
      <w:r>
        <w:rPr>
          <w:rFonts w:ascii="Arial" w:cs="Arial" w:eastAsia="Arial" w:hAnsi="Arial"/>
          <w:sz w:val="18"/>
          <w:szCs w:val="18"/>
          <w:color w:val="auto"/>
        </w:rPr>
        <w:t>Merchandise sales increased 15% (3% on a constant currency basis) and 8% on a same store basis (4% decrease on a constant currency basis). Merchandise sales gross profit increased 91% to $8.1 million (69% to $7.2 million on a constant currency basis) driven by a 1,400 basis points improvement in merchandise sales gross profit margin primarily due to reduced aged inventory levels and improved inventory turnover.</w:t>
      </w:r>
    </w:p>
    <w:p>
      <w:pPr>
        <w:spacing w:after="0" w:line="217" w:lineRule="exact"/>
        <w:rPr>
          <w:sz w:val="20"/>
          <w:szCs w:val="20"/>
          <w:color w:val="auto"/>
        </w:rPr>
      </w:pPr>
    </w:p>
    <w:p>
      <w:pPr>
        <w:ind w:right="80"/>
        <w:spacing w:after="0" w:line="235" w:lineRule="auto"/>
        <w:rPr>
          <w:sz w:val="20"/>
          <w:szCs w:val="20"/>
          <w:color w:val="auto"/>
        </w:rPr>
      </w:pPr>
      <w:r>
        <w:rPr>
          <w:rFonts w:ascii="Arial" w:cs="Arial" w:eastAsia="Arial" w:hAnsi="Arial"/>
          <w:sz w:val="18"/>
          <w:szCs w:val="18"/>
          <w:color w:val="auto"/>
        </w:rPr>
        <w:t>Store expenses increased by 28% (15% on a constant currency basis) primarily due to an increase in transaction volume and costs resulting from the re-opening of stores impacted by the COVID-19 pandemic last year.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1020"/>
        <w:spacing w:after="0" w:line="430" w:lineRule="auto"/>
        <w:rPr>
          <w:sz w:val="20"/>
          <w:szCs w:val="20"/>
          <w:color w:val="auto"/>
        </w:rPr>
      </w:pPr>
      <w:r>
        <w:rPr>
          <w:rFonts w:ascii="Arial" w:cs="Arial" w:eastAsia="Arial" w:hAnsi="Arial"/>
          <w:sz w:val="18"/>
          <w:szCs w:val="18"/>
          <w:color w:val="auto"/>
        </w:rPr>
        <w:t xml:space="preserve">Segment contribution increased $4.3 million primarily due to the shutdown of stores related to the COVID-19 pandemic last year. </w:t>
      </w:r>
      <w:r>
        <w:rPr>
          <w:rFonts w:ascii="Arial" w:cs="Arial" w:eastAsia="Arial" w:hAnsi="Arial"/>
          <w:sz w:val="18"/>
          <w:szCs w:val="18"/>
          <w:b w:val="1"/>
          <w:bCs w:val="1"/>
          <w:color w:val="auto"/>
        </w:rPr>
        <w:t>Other International</w:t>
      </w:r>
    </w:p>
    <w:p>
      <w:pPr>
        <w:spacing w:after="0" w:line="1"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presents selected financial data for our Other International segment after translation to U.S. dollars from its functional currency of primarily Australian and Canadian dollars: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5"/>
        </w:trPr>
        <w:tc>
          <w:tcPr>
            <w:tcW w:w="67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Change</w:t>
            </w:r>
          </w:p>
        </w:tc>
      </w:tr>
      <w:tr>
        <w:trPr>
          <w:trHeight w:val="35"/>
        </w:trPr>
        <w:tc>
          <w:tcPr>
            <w:tcW w:w="67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6720" w:type="dxa"/>
            <w:vAlign w:val="bottom"/>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884</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(90)%</w:t>
            </w:r>
          </w:p>
        </w:tc>
      </w:tr>
      <w:tr>
        <w:trPr>
          <w:trHeight w:val="216"/>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Consumer loan debt</w:t>
            </w:r>
          </w:p>
        </w:tc>
        <w:tc>
          <w:tcPr>
            <w:tcW w:w="2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09"/>
        </w:trPr>
        <w:tc>
          <w:tcPr>
            <w:tcW w:w="6720" w:type="dxa"/>
            <w:vAlign w:val="bottom"/>
          </w:tcPr>
          <w:p>
            <w:pPr>
              <w:ind w:left="440"/>
              <w:spacing w:after="0"/>
              <w:rPr>
                <w:sz w:val="20"/>
                <w:szCs w:val="20"/>
                <w:color w:val="auto"/>
              </w:rPr>
            </w:pPr>
            <w:r>
              <w:rPr>
                <w:rFonts w:ascii="Arial" w:cs="Arial" w:eastAsia="Arial" w:hAnsi="Arial"/>
                <w:sz w:val="16"/>
                <w:szCs w:val="16"/>
                <w:color w:val="auto"/>
              </w:rPr>
              <w:t>Net revenues</w:t>
            </w: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884</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(90)%</w:t>
            </w:r>
          </w:p>
        </w:tc>
      </w:tr>
      <w:tr>
        <w:trPr>
          <w:trHeight w:val="219"/>
        </w:trPr>
        <w:tc>
          <w:tcPr>
            <w:tcW w:w="67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6720" w:type="dxa"/>
            <w:vAlign w:val="bottom"/>
          </w:tcPr>
          <w:p>
            <w:pPr>
              <w:ind w:left="20"/>
              <w:spacing w:after="0"/>
              <w:rPr>
                <w:sz w:val="20"/>
                <w:szCs w:val="20"/>
                <w:color w:val="auto"/>
              </w:rPr>
            </w:pPr>
            <w:r>
              <w:rPr>
                <w:rFonts w:ascii="Arial" w:cs="Arial" w:eastAsia="Arial" w:hAnsi="Arial"/>
                <w:sz w:val="16"/>
                <w:szCs w:val="16"/>
                <w:color w:val="auto"/>
              </w:rPr>
              <w:t>Segment operating expenses: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2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9"/>
        </w:trPr>
        <w:tc>
          <w:tcPr>
            <w:tcW w:w="67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or disposal of assets</w:t>
            </w: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(income) loss of unconsolidated affiliates</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(643)</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1,183</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(154)%</w:t>
            </w:r>
          </w:p>
        </w:tc>
      </w:tr>
      <w:tr>
        <w:trPr>
          <w:trHeight w:val="213"/>
        </w:trPr>
        <w:tc>
          <w:tcPr>
            <w:tcW w:w="67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(1,339)</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155%</w:t>
            </w:r>
          </w:p>
        </w:tc>
      </w:tr>
      <w:tr>
        <w:trPr>
          <w:trHeight w:val="216"/>
        </w:trPr>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3"/>
        </w:trPr>
        <w:tc>
          <w:tcPr>
            <w:tcW w:w="67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expense</w:t>
            </w: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(87)%</w:t>
            </w:r>
          </w:p>
        </w:tc>
      </w:tr>
      <w:tr>
        <w:trPr>
          <w:trHeight w:val="220"/>
        </w:trPr>
        <w:tc>
          <w:tcPr>
            <w:tcW w:w="67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714</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(1,474)</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148%</w:t>
            </w:r>
          </w:p>
        </w:tc>
      </w:tr>
    </w:tbl>
    <w:p>
      <w:pPr>
        <w:spacing w:after="0" w:line="261" w:lineRule="exact"/>
        <w:rPr>
          <w:sz w:val="20"/>
          <w:szCs w:val="20"/>
          <w:color w:val="auto"/>
        </w:rPr>
      </w:pPr>
    </w:p>
    <w:p>
      <w:pPr>
        <w:ind w:left="360" w:hanging="334"/>
        <w:spacing w:after="0"/>
        <w:tabs>
          <w:tab w:leader="none" w:pos="3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25"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color w:val="auto"/>
        </w:rPr>
        <w:t>Segment contribution was $0.7 million, an increase of $2.2 million from the prior-year quarter primarily due to the increase in equity income for our unconsolidated affiliates.</w:t>
      </w:r>
    </w:p>
    <w:p>
      <w:pPr>
        <w:spacing w:after="0" w:line="144"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We operated 22 financial services stores in Canada under the CASHMAX brand during fiscal year 2020. During the fourth quarter of fiscal year 2020, we closed our CASHMAX business and are no longer operating stores in Canada.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w:t>
      </w:r>
    </w:p>
    <w:p>
      <w:pPr>
        <w:spacing w:after="0" w:line="19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 June 30,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14,345</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56%</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16,176</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3,280</w:t>
            </w:r>
          </w:p>
        </w:tc>
        <w:tc>
          <w:tcPr>
            <w:tcW w:w="1540" w:type="dxa"/>
            <w:vAlign w:val="bottom"/>
            <w:gridSpan w:val="2"/>
          </w:tcPr>
          <w:p>
            <w:pPr>
              <w:jc w:val="center"/>
              <w:ind w:left="39"/>
              <w:spacing w:after="0"/>
              <w:rPr>
                <w:sz w:val="20"/>
                <w:szCs w:val="20"/>
                <w:color w:val="auto"/>
              </w:rPr>
            </w:pPr>
            <w:r>
              <w:rPr>
                <w:rFonts w:ascii="Arial" w:cs="Arial" w:eastAsia="Arial" w:hAnsi="Arial"/>
                <w:sz w:val="16"/>
                <w:szCs w:val="16"/>
                <w:color w:val="auto"/>
              </w:rPr>
              <w:t>(8)%</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Gain on sale or disposal of assets and other</w:t>
            </w: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5,239</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6%</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(88)%</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expense</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w w:val="95"/>
              </w:rPr>
              <w:t>*</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before income taxes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(10,238)</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93%</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 (benefit)</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(4,751)</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(138)%</w:t>
            </w:r>
          </w:p>
        </w:tc>
      </w:tr>
      <w:tr>
        <w:trPr>
          <w:trHeight w:val="22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(2,570)</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(5,487)</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9"/>
              </w:rPr>
              <w:t>53%</w:t>
            </w:r>
          </w:p>
        </w:tc>
      </w:tr>
    </w:tbl>
    <w:p>
      <w:pPr>
        <w:spacing w:after="0" w:line="207" w:lineRule="exact"/>
        <w:rPr>
          <w:sz w:val="20"/>
          <w:szCs w:val="20"/>
          <w:color w:val="auto"/>
        </w:rPr>
      </w:pPr>
    </w:p>
    <w:p>
      <w:pPr>
        <w:ind w:left="360" w:hanging="334"/>
        <w:spacing w:after="0"/>
        <w:tabs>
          <w:tab w:leader="none" w:pos="3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65"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Segment contribution increased $8.1 million over the prior-year quarter or 56% primarily due to the increase in the Latin America Pawn segment contribution resulting from the re-opening of stores impacted by COVID-19 last year.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General and administrative expenses decreased $1.6 million or 10% due to strategic initiatives implemented in the fourth quarter of fiscal year 2020 to optimize our cost structure at the corporate level.</w:t>
      </w:r>
    </w:p>
    <w:p>
      <w:pPr>
        <w:spacing w:after="0" w:line="144"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Income tax expense increased $6.6 million for the quarter primarily due to an increase in income taxes for the current year due to an approximately $9.5 million increase in income before income taxes.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items include the net effect of state taxes, non-deductible items and changes in valuation allowances for certain foreign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June 30, 2021 vs. Nine Months Ended June 30, 2020</w:t>
      </w:r>
    </w:p>
    <w:p>
      <w:pPr>
        <w:spacing w:after="0" w:line="193" w:lineRule="exact"/>
        <w:rPr>
          <w:sz w:val="20"/>
          <w:szCs w:val="20"/>
          <w:color w:val="auto"/>
        </w:rPr>
      </w:pPr>
    </w:p>
    <w:p>
      <w:pPr>
        <w:ind w:right="700"/>
        <w:spacing w:after="0" w:line="261" w:lineRule="auto"/>
        <w:rPr>
          <w:sz w:val="20"/>
          <w:szCs w:val="20"/>
          <w:color w:val="auto"/>
        </w:rPr>
      </w:pPr>
      <w:r>
        <w:rPr>
          <w:rFonts w:ascii="Arial" w:cs="Arial" w:eastAsia="Arial" w:hAnsi="Arial"/>
          <w:sz w:val="18"/>
          <w:szCs w:val="18"/>
          <w:color w:val="auto"/>
        </w:rPr>
        <w:t>The tables below and discussion that follows should be read in conjunction with the accompanying condensed consolidated financial statements and related notes.</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Pawn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summary financial data for the U.S. Pawn segment: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5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Nine Months Ended June 30,</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5"/>
        </w:trPr>
        <w:tc>
          <w:tcPr>
            <w:tcW w:w="652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0" w:type="dxa"/>
            <w:vAlign w:val="bottom"/>
          </w:tcPr>
          <w:p>
            <w:pPr>
              <w:spacing w:after="0"/>
              <w:rPr>
                <w:sz w:val="3"/>
                <w:szCs w:val="3"/>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143,836</w:t>
            </w:r>
          </w:p>
        </w:tc>
        <w:tc>
          <w:tcPr>
            <w:tcW w:w="12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166,859</w:t>
            </w:r>
          </w:p>
        </w:tc>
        <w:tc>
          <w:tcPr>
            <w:tcW w:w="1520" w:type="dxa"/>
            <w:vAlign w:val="bottom"/>
            <w:gridSpan w:val="2"/>
          </w:tcPr>
          <w:p>
            <w:pPr>
              <w:jc w:val="center"/>
              <w:ind w:left="39"/>
              <w:spacing w:after="0"/>
              <w:rPr>
                <w:sz w:val="20"/>
                <w:szCs w:val="20"/>
                <w:color w:val="auto"/>
              </w:rPr>
            </w:pPr>
            <w:r>
              <w:rPr>
                <w:rFonts w:ascii="Arial" w:cs="Arial" w:eastAsia="Arial" w:hAnsi="Arial"/>
                <w:sz w:val="16"/>
                <w:szCs w:val="16"/>
                <w:color w:val="auto"/>
              </w:rPr>
              <w:t>(14)%</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260,545</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314,059</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(17)%</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115,364</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111,571</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3%</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merchandise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800bps</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9,493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32,905</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(71)%</w:t>
            </w:r>
          </w:p>
        </w:tc>
      </w:tr>
      <w:tr>
        <w:trPr>
          <w:trHeight w:val="213"/>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7,475</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(78)%</w:t>
            </w:r>
          </w:p>
        </w:tc>
      </w:tr>
      <w:tr>
        <w:trPr>
          <w:trHeight w:val="213"/>
        </w:trPr>
        <w:tc>
          <w:tcPr>
            <w:tcW w:w="6520" w:type="dxa"/>
            <w:vAlign w:val="bottom"/>
          </w:tcPr>
          <w:p>
            <w:pPr>
              <w:ind w:left="460"/>
              <w:spacing w:after="0"/>
              <w:rPr>
                <w:sz w:val="20"/>
                <w:szCs w:val="20"/>
                <w:color w:val="auto"/>
              </w:rPr>
            </w:pPr>
            <w:r>
              <w:rPr>
                <w:rFonts w:ascii="Arial" w:cs="Arial" w:eastAsia="Arial" w:hAnsi="Arial"/>
                <w:sz w:val="16"/>
                <w:szCs w:val="16"/>
                <w:color w:val="auto"/>
              </w:rPr>
              <w:t>Gross margin on jewelry scrapping sales</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(600)bps</w:t>
            </w:r>
          </w:p>
        </w:tc>
      </w:tr>
      <w:tr>
        <w:trPr>
          <w:trHeight w:val="219"/>
        </w:trPr>
        <w:tc>
          <w:tcPr>
            <w:tcW w:w="65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107</w:t>
            </w:r>
          </w:p>
        </w:tc>
        <w:tc>
          <w:tcPr>
            <w:tcW w:w="152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(22)%</w:t>
            </w:r>
          </w:p>
        </w:tc>
      </w:tr>
      <w:tr>
        <w:trPr>
          <w:trHeight w:val="212"/>
        </w:trPr>
        <w:tc>
          <w:tcPr>
            <w:tcW w:w="6520" w:type="dxa"/>
            <w:vAlign w:val="bottom"/>
            <w:shd w:val="clear" w:color="auto" w:fill="CCEEFF"/>
          </w:tcPr>
          <w:p>
            <w:pPr>
              <w:ind w:left="440"/>
              <w:spacing w:after="0"/>
              <w:rPr>
                <w:sz w:val="20"/>
                <w:szCs w:val="20"/>
                <w:color w:val="auto"/>
              </w:rPr>
            </w:pPr>
            <w:r>
              <w:rPr>
                <w:rFonts w:ascii="Arial" w:cs="Arial" w:eastAsia="Arial" w:hAnsi="Arial"/>
                <w:sz w:val="16"/>
                <w:szCs w:val="16"/>
                <w:color w:val="auto"/>
              </w:rPr>
              <w:t>Net revenues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260,905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286,012</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30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Arial" w:cs="Arial" w:eastAsia="Arial" w:hAnsi="Arial"/>
                <w:sz w:val="16"/>
                <w:szCs w:val="16"/>
                <w:color w:val="auto"/>
              </w:rPr>
              <w:t>188,256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color w:val="auto"/>
              </w:rPr>
              <w:t>201,921</w:t>
            </w:r>
          </w:p>
        </w:tc>
        <w:tc>
          <w:tcPr>
            <w:tcW w:w="1520" w:type="dxa"/>
            <w:vAlign w:val="bottom"/>
            <w:gridSpan w:val="2"/>
          </w:tcPr>
          <w:p>
            <w:pPr>
              <w:jc w:val="center"/>
              <w:ind w:left="19"/>
              <w:spacing w:after="0"/>
              <w:rPr>
                <w:sz w:val="20"/>
                <w:szCs w:val="20"/>
                <w:color w:val="auto"/>
              </w:rPr>
            </w:pPr>
            <w:r>
              <w:rPr>
                <w:rFonts w:ascii="Arial" w:cs="Arial" w:eastAsia="Arial" w:hAnsi="Arial"/>
                <w:sz w:val="16"/>
                <w:szCs w:val="16"/>
                <w:color w:val="auto"/>
              </w:rPr>
              <w:t>(7)%</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goodwill, intangibles and other assets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10,000</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w:t>
            </w:r>
          </w:p>
        </w:tc>
      </w:tr>
      <w:tr>
        <w:trPr>
          <w:trHeight w:val="213"/>
        </w:trPr>
        <w:tc>
          <w:tcPr>
            <w:tcW w:w="65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7,972</w:t>
            </w:r>
          </w:p>
        </w:tc>
        <w:tc>
          <w:tcPr>
            <w:tcW w:w="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8,325</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(4)%</w:t>
            </w:r>
          </w:p>
        </w:tc>
      </w:tr>
      <w:tr>
        <w:trPr>
          <w:trHeight w:val="213"/>
        </w:trPr>
        <w:tc>
          <w:tcPr>
            <w:tcW w:w="652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64,677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65,766</w:t>
            </w:r>
          </w:p>
        </w:tc>
        <w:tc>
          <w:tcPr>
            <w:tcW w:w="152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(2)%</w:t>
            </w:r>
          </w:p>
        </w:tc>
      </w:tr>
      <w:tr>
        <w:trPr>
          <w:trHeight w:val="216"/>
        </w:trPr>
        <w:tc>
          <w:tcPr>
            <w:tcW w:w="6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3"/>
        </w:trPr>
        <w:tc>
          <w:tcPr>
            <w:tcW w:w="6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expense</w:t>
            </w: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234</w:t>
            </w:r>
          </w:p>
        </w:tc>
        <w:tc>
          <w:tcPr>
            <w:tcW w:w="152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5"/>
              </w:rPr>
              <w:t>*</w:t>
            </w:r>
          </w:p>
        </w:tc>
      </w:tr>
      <w:tr>
        <w:trPr>
          <w:trHeight w:val="219"/>
        </w:trPr>
        <w:tc>
          <w:tcPr>
            <w:tcW w:w="652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64,650</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65,532</w:t>
            </w:r>
          </w:p>
        </w:tc>
        <w:tc>
          <w:tcPr>
            <w:tcW w:w="152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w:t>
            </w:r>
          </w:p>
        </w:tc>
      </w:tr>
      <w:tr>
        <w:trPr>
          <w:trHeight w:val="203"/>
        </w:trPr>
        <w:tc>
          <w:tcPr>
            <w:tcW w:w="6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6520" w:type="dxa"/>
            <w:vAlign w:val="bottom"/>
          </w:tcPr>
          <w:p>
            <w:pPr>
              <w:ind w:left="20"/>
              <w:spacing w:after="0"/>
              <w:rPr>
                <w:sz w:val="20"/>
                <w:szCs w:val="20"/>
                <w:color w:val="auto"/>
              </w:rPr>
            </w:pPr>
            <w:r>
              <w:rPr>
                <w:rFonts w:ascii="Arial" w:cs="Arial" w:eastAsia="Arial" w:hAnsi="Arial"/>
                <w:sz w:val="16"/>
                <w:szCs w:val="16"/>
                <w:color w:val="auto"/>
              </w:rPr>
              <w:t>Other data:</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Average monthly ending pawn loan balance per store (a)</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248</w:t>
            </w:r>
          </w:p>
        </w:tc>
        <w:tc>
          <w:tcPr>
            <w:tcW w:w="152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(12)%</w:t>
            </w:r>
          </w:p>
        </w:tc>
      </w:tr>
      <w:tr>
        <w:trPr>
          <w:trHeight w:val="213"/>
        </w:trPr>
        <w:tc>
          <w:tcPr>
            <w:tcW w:w="6520" w:type="dxa"/>
            <w:vAlign w:val="bottom"/>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14 %</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—bps</w:t>
            </w:r>
          </w:p>
        </w:tc>
      </w:tr>
      <w:tr>
        <w:trPr>
          <w:trHeight w:val="219"/>
        </w:trPr>
        <w:tc>
          <w:tcPr>
            <w:tcW w:w="65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Pawn loan redemption rate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87 %</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—bps</w:t>
            </w:r>
          </w:p>
        </w:tc>
      </w:tr>
    </w:tbl>
    <w:p>
      <w:pPr>
        <w:spacing w:after="0" w:line="207" w:lineRule="exact"/>
        <w:rPr>
          <w:sz w:val="20"/>
          <w:szCs w:val="20"/>
          <w:color w:val="auto"/>
        </w:rPr>
      </w:pPr>
    </w:p>
    <w:p>
      <w:pPr>
        <w:ind w:left="360" w:hanging="334"/>
        <w:spacing w:after="0"/>
        <w:tabs>
          <w:tab w:leader="none" w:pos="3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hanging="334"/>
        <w:spacing w:after="0"/>
        <w:tabs>
          <w:tab w:leader="none" w:pos="3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7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Pawn service charges decreased 14% in total and on a same store basis. This decrease reflects a substantial decline in new loans activity and associated loan balances as customer borrowing behaviors were impacted by COVID-19.</w:t>
      </w:r>
    </w:p>
    <w:p>
      <w:pPr>
        <w:spacing w:after="0" w:line="14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Merchandise sales decreased 17% in total and on a same store basis due to lower inventory levels. Merchandise sales gross profit increased 3% to $115.4 million driven by a 800 bps improvement in merchandise sales gross profit margin, primarily driven by reduced aged inventory levels and improved inventory turnover.</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decreased by 7% due to a reduction in labor expense.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Segment contribution decreased $0.9 million primarily due to the changes in revenue and store expenses described above, offset by the $10.0 million goodwill impairment charge recorded during the prior year quarter. Excluding the goodwill impairment charge, segment contribution decreased $10.9 million, or 14%, to $64.7 million.</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Latin America Pawn</w:t>
      </w:r>
    </w:p>
    <w:p>
      <w:pPr>
        <w:spacing w:after="0" w:line="184"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following table presents selected summary financial data our Latin America Pawn segment, including constant currency results, after translation to U.S. dollars from functional currencies. See “Results of Operations — Non-GAAP Financial Information” above.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160" w:type="dxa"/>
            <w:vAlign w:val="bottom"/>
            <w:tcBorders>
              <w:bottom w:val="single" w:sz="8" w:color="auto"/>
            </w:tcBorders>
            <w:gridSpan w:val="7"/>
          </w:tcPr>
          <w:p>
            <w:pPr>
              <w:ind w:left="840"/>
              <w:spacing w:after="0"/>
              <w:rPr>
                <w:sz w:val="20"/>
                <w:szCs w:val="20"/>
                <w:color w:val="auto"/>
              </w:rPr>
            </w:pPr>
            <w:r>
              <w:rPr>
                <w:rFonts w:ascii="Arial" w:cs="Arial" w:eastAsia="Arial" w:hAnsi="Arial"/>
                <w:sz w:val="16"/>
                <w:szCs w:val="16"/>
                <w:b w:val="1"/>
                <w:bCs w:val="1"/>
                <w:color w:val="auto"/>
              </w:rPr>
              <w:t>Nine Months Ended June 30,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40" w:type="dxa"/>
            <w:vAlign w:val="bottom"/>
            <w:vMerge w:val="restart"/>
          </w:tcPr>
          <w:p>
            <w:pPr>
              <w:ind w:left="20"/>
              <w:spacing w:after="0"/>
              <w:rPr>
                <w:sz w:val="20"/>
                <w:szCs w:val="20"/>
                <w:color w:val="auto"/>
              </w:rPr>
            </w:pPr>
            <w:r>
              <w:rPr>
                <w:rFonts w:ascii="Arial" w:cs="Arial" w:eastAsia="Arial" w:hAnsi="Arial"/>
                <w:sz w:val="16"/>
                <w:szCs w:val="16"/>
                <w:color w:val="auto"/>
              </w:rPr>
              <w:t>(in thousands)</w:t>
            </w:r>
          </w:p>
        </w:tc>
        <w:tc>
          <w:tcPr>
            <w:tcW w:w="160" w:type="dxa"/>
            <w:vAlign w:val="bottom"/>
          </w:tcPr>
          <w:p>
            <w:pPr>
              <w:spacing w:after="0"/>
              <w:rPr>
                <w:sz w:val="12"/>
                <w:szCs w:val="12"/>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2021 (GAAP)</w:t>
            </w:r>
          </w:p>
        </w:tc>
        <w:tc>
          <w:tcPr>
            <w:tcW w:w="160" w:type="dxa"/>
            <w:vAlign w:val="bottom"/>
          </w:tcPr>
          <w:p>
            <w:pPr>
              <w:spacing w:after="0"/>
              <w:rPr>
                <w:sz w:val="12"/>
                <w:szCs w:val="12"/>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2020 (GAAP)</w:t>
            </w:r>
          </w:p>
        </w:tc>
        <w:tc>
          <w:tcPr>
            <w:tcW w:w="1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Change (GAAP)</w:t>
            </w:r>
          </w:p>
        </w:tc>
        <w:tc>
          <w:tcPr>
            <w:tcW w:w="140" w:type="dxa"/>
            <w:vAlign w:val="bottom"/>
          </w:tcPr>
          <w:p>
            <w:pPr>
              <w:spacing w:after="0"/>
              <w:rPr>
                <w:sz w:val="12"/>
                <w:szCs w:val="12"/>
                <w:color w:val="auto"/>
              </w:rPr>
            </w:pPr>
          </w:p>
        </w:tc>
        <w:tc>
          <w:tcPr>
            <w:tcW w:w="13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2021 (Constant</w:t>
            </w:r>
          </w:p>
        </w:tc>
        <w:tc>
          <w:tcPr>
            <w:tcW w:w="12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Change (Constant</w:t>
            </w:r>
          </w:p>
        </w:tc>
        <w:tc>
          <w:tcPr>
            <w:tcW w:w="0" w:type="dxa"/>
            <w:vAlign w:val="bottom"/>
          </w:tcPr>
          <w:p>
            <w:pPr>
              <w:spacing w:after="0"/>
              <w:rPr>
                <w:sz w:val="1"/>
                <w:szCs w:val="1"/>
                <w:color w:val="auto"/>
              </w:rPr>
            </w:pPr>
          </w:p>
        </w:tc>
      </w:tr>
      <w:tr>
        <w:trPr>
          <w:trHeight w:val="175"/>
        </w:trPr>
        <w:tc>
          <w:tcPr>
            <w:tcW w:w="4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Currency)</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Currency)</w:t>
            </w:r>
          </w:p>
        </w:tc>
        <w:tc>
          <w:tcPr>
            <w:tcW w:w="0" w:type="dxa"/>
            <w:vAlign w:val="bottom"/>
          </w:tcPr>
          <w:p>
            <w:pPr>
              <w:spacing w:after="0"/>
              <w:rPr>
                <w:sz w:val="1"/>
                <w:szCs w:val="1"/>
                <w:color w:val="auto"/>
              </w:rPr>
            </w:pPr>
          </w:p>
        </w:tc>
      </w:tr>
      <w:tr>
        <w:trPr>
          <w:trHeight w:val="34"/>
        </w:trPr>
        <w:tc>
          <w:tcPr>
            <w:tcW w:w="424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14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2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6"/>
                <w:szCs w:val="16"/>
                <w:color w:val="auto"/>
              </w:rPr>
              <w:t>Pawn service charges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43,520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50,548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(14)%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42,873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Merchandise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70,271</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79,036</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69,431</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Merchandise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24,580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19,813</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24,191</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22%</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merchandise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1,000bps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35 %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1,000bps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Jewelry scrapping sales</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9,014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8,804</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2%</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8,757</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Jewelry scrapping sales gross profit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809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833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18%</w:t>
            </w:r>
          </w:p>
        </w:tc>
        <w:tc>
          <w:tcPr>
            <w:tcW w:w="0" w:type="dxa"/>
            <w:vAlign w:val="bottom"/>
          </w:tcPr>
          <w:p>
            <w:pPr>
              <w:spacing w:after="0"/>
              <w:rPr>
                <w:sz w:val="1"/>
                <w:szCs w:val="1"/>
                <w:color w:val="auto"/>
              </w:rPr>
            </w:pPr>
          </w:p>
        </w:tc>
      </w:tr>
      <w:tr>
        <w:trPr>
          <w:trHeight w:val="213"/>
        </w:trPr>
        <w:tc>
          <w:tcPr>
            <w:tcW w:w="4240" w:type="dxa"/>
            <w:vAlign w:val="bottom"/>
          </w:tcPr>
          <w:p>
            <w:pPr>
              <w:ind w:left="480"/>
              <w:spacing w:after="0"/>
              <w:rPr>
                <w:sz w:val="20"/>
                <w:szCs w:val="20"/>
                <w:color w:val="auto"/>
              </w:rPr>
            </w:pPr>
            <w:r>
              <w:rPr>
                <w:rFonts w:ascii="Arial" w:cs="Arial" w:eastAsia="Arial" w:hAnsi="Arial"/>
                <w:sz w:val="16"/>
                <w:szCs w:val="16"/>
                <w:color w:val="auto"/>
              </w:rPr>
              <w:t>Gross margin on jewelry scrapping sales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100bps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200bps</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revenues, net</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2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2"/>
        </w:trPr>
        <w:tc>
          <w:tcPr>
            <w:tcW w:w="4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revenues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68,916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71,047</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67,903</w:t>
            </w: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expenses: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Store expenses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54,005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53,493</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4"/>
              </w:rPr>
              <w:t>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53,395</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5,459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5,476</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9"/>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5,407</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3"/>
        </w:trPr>
        <w:tc>
          <w:tcPr>
            <w:tcW w:w="4240" w:type="dxa"/>
            <w:vAlign w:val="bottom"/>
          </w:tcPr>
          <w:p>
            <w:pPr>
              <w:ind w:left="220"/>
              <w:spacing w:after="0"/>
              <w:rPr>
                <w:sz w:val="20"/>
                <w:szCs w:val="20"/>
                <w:color w:val="auto"/>
              </w:rPr>
            </w:pPr>
            <w:r>
              <w:rPr>
                <w:rFonts w:ascii="Arial" w:cs="Arial" w:eastAsia="Arial" w:hAnsi="Arial"/>
                <w:sz w:val="16"/>
                <w:szCs w:val="16"/>
                <w:color w:val="auto"/>
              </w:rPr>
              <w:t>Impairment of goodwill, intangibles and other assets</w:t>
            </w:r>
          </w:p>
        </w:tc>
        <w:tc>
          <w:tcPr>
            <w:tcW w:w="16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35,936</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8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Charges</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497</w:t>
            </w: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5"/>
              </w:rPr>
              <w:t>*</w:t>
            </w: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491</w:t>
            </w:r>
          </w:p>
        </w:tc>
        <w:tc>
          <w:tcPr>
            <w:tcW w:w="12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240" w:type="dxa"/>
            <w:vAlign w:val="bottom"/>
          </w:tcPr>
          <w:p>
            <w:pPr>
              <w:ind w:left="480"/>
              <w:spacing w:after="0"/>
              <w:rPr>
                <w:sz w:val="20"/>
                <w:szCs w:val="20"/>
                <w:color w:val="auto"/>
              </w:rPr>
            </w:pPr>
            <w:r>
              <w:rPr>
                <w:rFonts w:ascii="Arial" w:cs="Arial" w:eastAsia="Arial" w:hAnsi="Arial"/>
                <w:sz w:val="16"/>
                <w:szCs w:val="16"/>
                <w:color w:val="auto"/>
              </w:rPr>
              <w:t>Segment operating contribution (loss)</w:t>
            </w:r>
          </w:p>
        </w:tc>
        <w:tc>
          <w:tcPr>
            <w:tcW w:w="160" w:type="dxa"/>
            <w:vAlign w:val="bottom"/>
          </w:tcPr>
          <w:p>
            <w:pPr>
              <w:spacing w:after="0"/>
              <w:rPr>
                <w:sz w:val="18"/>
                <w:szCs w:val="18"/>
                <w:color w:val="auto"/>
              </w:rPr>
            </w:pP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8,955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(23,858)</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rPr>
              <w:t>138%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8,610</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7"/>
              </w:rPr>
              <w:t>136%</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segment income (a)</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(2,194)</w:t>
            </w: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(1,106)</w:t>
            </w: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98%</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(2,110)</w:t>
            </w: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91%</w:t>
            </w:r>
          </w:p>
        </w:tc>
        <w:tc>
          <w:tcPr>
            <w:tcW w:w="0" w:type="dxa"/>
            <w:vAlign w:val="bottom"/>
          </w:tcPr>
          <w:p>
            <w:pPr>
              <w:spacing w:after="0"/>
              <w:rPr>
                <w:sz w:val="1"/>
                <w:szCs w:val="1"/>
                <w:color w:val="auto"/>
              </w:rPr>
            </w:pPr>
          </w:p>
        </w:tc>
      </w:tr>
      <w:tr>
        <w:trPr>
          <w:trHeight w:val="220"/>
        </w:trPr>
        <w:tc>
          <w:tcPr>
            <w:tcW w:w="42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Segment contribution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11,149</w:t>
            </w: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(22,752)</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10,720</w:t>
            </w: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147%</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data:</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4240" w:type="dxa"/>
            <w:vAlign w:val="bottom"/>
          </w:tcPr>
          <w:p>
            <w:pPr>
              <w:ind w:left="220"/>
              <w:spacing w:after="0" w:line="178" w:lineRule="exact"/>
              <w:rPr>
                <w:sz w:val="20"/>
                <w:szCs w:val="20"/>
                <w:color w:val="auto"/>
              </w:rPr>
            </w:pPr>
            <w:r>
              <w:rPr>
                <w:rFonts w:ascii="Arial" w:cs="Arial" w:eastAsia="Arial" w:hAnsi="Arial"/>
                <w:sz w:val="16"/>
                <w:szCs w:val="16"/>
                <w:color w:val="auto"/>
              </w:rPr>
              <w:t>Average monthly ending pawn loan balance per store</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40" w:type="dxa"/>
            <w:vAlign w:val="bottom"/>
          </w:tcPr>
          <w:p>
            <w:pPr>
              <w:ind w:left="220"/>
              <w:spacing w:after="0"/>
              <w:rPr>
                <w:sz w:val="20"/>
                <w:szCs w:val="20"/>
                <w:color w:val="auto"/>
              </w:rPr>
            </w:pPr>
            <w:r>
              <w:rPr>
                <w:rFonts w:ascii="Arial" w:cs="Arial" w:eastAsia="Arial" w:hAnsi="Arial"/>
                <w:sz w:val="16"/>
                <w:szCs w:val="16"/>
                <w:color w:val="auto"/>
              </w:rPr>
              <w:t>(b)</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19"/>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Arial" w:cs="Arial" w:eastAsia="Arial" w:hAnsi="Arial"/>
                <w:sz w:val="16"/>
                <w:szCs w:val="16"/>
                <w:color w:val="auto"/>
                <w:w w:val="98"/>
              </w:rPr>
              <w:t>(25)%</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120"/>
              <w:spacing w:after="0"/>
              <w:rPr>
                <w:sz w:val="20"/>
                <w:szCs w:val="20"/>
                <w:color w:val="auto"/>
              </w:rPr>
            </w:pPr>
            <w:r>
              <w:rPr>
                <w:rFonts w:ascii="Arial" w:cs="Arial" w:eastAsia="Arial" w:hAnsi="Arial"/>
                <w:sz w:val="16"/>
                <w:szCs w:val="16"/>
                <w:color w:val="auto"/>
              </w:rPr>
              <w:t>57</w:t>
            </w:r>
          </w:p>
        </w:tc>
        <w:tc>
          <w:tcPr>
            <w:tcW w:w="120" w:type="dxa"/>
            <w:vAlign w:val="bottom"/>
          </w:tcPr>
          <w:p>
            <w:pPr>
              <w:spacing w:after="0"/>
              <w:rPr>
                <w:sz w:val="17"/>
                <w:szCs w:val="17"/>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Monthly average yield on pawn loans outstanding</w:t>
            </w: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rPr>
              <w:t>100bps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100bps</w:t>
            </w:r>
          </w:p>
        </w:tc>
        <w:tc>
          <w:tcPr>
            <w:tcW w:w="0" w:type="dxa"/>
            <w:vAlign w:val="bottom"/>
          </w:tcPr>
          <w:p>
            <w:pPr>
              <w:spacing w:after="0"/>
              <w:rPr>
                <w:sz w:val="1"/>
                <w:szCs w:val="1"/>
                <w:color w:val="auto"/>
              </w:rPr>
            </w:pPr>
          </w:p>
        </w:tc>
      </w:tr>
      <w:tr>
        <w:trPr>
          <w:trHeight w:val="210"/>
        </w:trPr>
        <w:tc>
          <w:tcPr>
            <w:tcW w:w="4240" w:type="dxa"/>
            <w:vAlign w:val="bottom"/>
          </w:tcPr>
          <w:p>
            <w:pPr>
              <w:ind w:left="220"/>
              <w:spacing w:after="0"/>
              <w:rPr>
                <w:sz w:val="20"/>
                <w:szCs w:val="20"/>
                <w:color w:val="auto"/>
              </w:rPr>
            </w:pPr>
            <w:r>
              <w:rPr>
                <w:rFonts w:ascii="Arial" w:cs="Arial" w:eastAsia="Arial" w:hAnsi="Arial"/>
                <w:sz w:val="16"/>
                <w:szCs w:val="16"/>
                <w:color w:val="auto"/>
              </w:rPr>
              <w:t>Pawn loan redemption rate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77 %</w:t>
            </w:r>
          </w:p>
        </w:tc>
        <w:tc>
          <w:tcPr>
            <w:tcW w:w="120" w:type="dxa"/>
            <w:vAlign w:val="bottom"/>
          </w:tcPr>
          <w:p>
            <w:pPr>
              <w:spacing w:after="0"/>
              <w:rPr>
                <w:sz w:val="18"/>
                <w:szCs w:val="18"/>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color w:val="auto"/>
              </w:rPr>
              <w:t>400bps</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81 %</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6"/>
                <w:szCs w:val="16"/>
                <w:color w:val="auto"/>
                <w:w w:val="98"/>
              </w:rPr>
              <w:t>400bps</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360" w:hanging="334"/>
        <w:spacing w:after="0"/>
        <w:tabs>
          <w:tab w:leader="none" w:pos="3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Represents a percentage computation that is not mathematically meaningful.</w:t>
      </w:r>
    </w:p>
    <w:p>
      <w:pPr>
        <w:spacing w:after="0" w:line="28" w:lineRule="exact"/>
        <w:rPr>
          <w:sz w:val="20"/>
          <w:szCs w:val="20"/>
          <w:color w:val="auto"/>
        </w:rPr>
      </w:pPr>
    </w:p>
    <w:p>
      <w:pPr>
        <w:ind w:left="360" w:right="200" w:hanging="334"/>
        <w:spacing w:after="0" w:line="229" w:lineRule="auto"/>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Fiscal 2021 constant currency amount excludes a nominal net GAAP basis foreign currency transaction adjustment resulting from movement in exchange rates. The net foreign currency transaction adjustment for fiscal 2020 was nominal and are included in the above results.</w:t>
      </w:r>
    </w:p>
    <w:p>
      <w:pPr>
        <w:spacing w:after="0" w:line="16" w:lineRule="exact"/>
        <w:rPr>
          <w:rFonts w:ascii="Arial" w:cs="Arial" w:eastAsia="Arial" w:hAnsi="Arial"/>
          <w:sz w:val="14"/>
          <w:szCs w:val="14"/>
          <w:color w:val="auto"/>
        </w:rPr>
      </w:pPr>
    </w:p>
    <w:p>
      <w:pPr>
        <w:ind w:left="360" w:hanging="334"/>
        <w:spacing w:after="0"/>
        <w:tabs>
          <w:tab w:leader="none" w:pos="3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Balance is calculated based upon the average of the monthly ending balances during the applicable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June 30, 2021, our Latin America pawn segment acquired 128 stores and opened ten de novo stores.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net revenue attributable to same stores and new stores added since the prior-year is summarized as follows: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Pawn service charges decreased 14% (15% on a constant currency basis). Same stores pawn service charges also decreased by 16% (17% on a constant currency basis). The average ending monthly pawn loan balance outstanding during the nine month period was down 25% (26% on a constant currency basis). During most of this period, we have experienced a substantial decline in new loans activity and associated loan balances as the result of the impact of constrained traffic, limited operating hours and increased remittances from the U.S.</w:t>
      </w:r>
    </w:p>
    <w:p>
      <w:pPr>
        <w:spacing w:after="0" w:line="150"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Merchandise sales decreased 11% (12% on a constant currency basis) and 14% on a same store basis due to lower inventory levels. This decrease in merchandise sales was offset by an increase in merchandise sales gross profit of 24% to $24.6 million (22% to $24.2 million on a</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color w:val="auto"/>
        </w:rPr>
        <w:t>constant currency basis) driven by a 1,000 bps improvement in merchandise sales gross profit margin primarily due to reduced aged inventory levels and improved inventory turnover.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Store expenses decreased by 1% (flat on a constant currency basis) driven by a reduction in labor expense.</w:t>
      </w:r>
    </w:p>
    <w:p>
      <w:pPr>
        <w:spacing w:after="0" w:line="171"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Segment contribution increased $33.9 million primarily due to the impairment charges of $35.9 million recorded during the prior year quarter. Excluding the impairment charges, segment contribution decreased $2.0 million, or 15%, to $11.1 million. This decrease was primarily due to the changes in revenue and store expenses described above.</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International</w:t>
      </w:r>
    </w:p>
    <w:p>
      <w:pPr>
        <w:spacing w:after="0" w:line="184"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The following table presents selected financial data for our Other International segment after translation to U.S. dollars from its functional currency of primarily Australian and Canadian dollars: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June 30,</w:t>
            </w:r>
          </w:p>
        </w:tc>
        <w:tc>
          <w:tcPr>
            <w:tcW w:w="100" w:type="dxa"/>
            <w:vAlign w:val="bottom"/>
          </w:tcPr>
          <w:p>
            <w:pPr>
              <w:spacing w:after="0"/>
              <w:rPr>
                <w:sz w:val="18"/>
                <w:szCs w:val="18"/>
                <w:color w:val="auto"/>
              </w:rPr>
            </w:pPr>
          </w:p>
        </w:tc>
        <w:tc>
          <w:tcPr>
            <w:tcW w:w="1440" w:type="dxa"/>
            <w:vAlign w:val="bottom"/>
            <w:vMerge w:val="restart"/>
          </w:tcPr>
          <w:p>
            <w:pPr>
              <w:ind w:left="40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Consumer loan fees, interest and other</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3,570</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6"/>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Consumer loan debt</w:t>
            </w:r>
          </w:p>
        </w:tc>
        <w:tc>
          <w:tcPr>
            <w:tcW w:w="2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1,024</w:t>
            </w:r>
          </w:p>
        </w:tc>
        <w:tc>
          <w:tcPr>
            <w:tcW w:w="1540" w:type="dxa"/>
            <w:vAlign w:val="bottom"/>
            <w:tcBorders>
              <w:bottom w:val="single" w:sz="8" w:color="auto"/>
            </w:tcBorders>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9"/>
        </w:trPr>
        <w:tc>
          <w:tcPr>
            <w:tcW w:w="6700" w:type="dxa"/>
            <w:vAlign w:val="bottom"/>
          </w:tcPr>
          <w:p>
            <w:pPr>
              <w:ind w:left="440"/>
              <w:spacing w:after="0"/>
              <w:rPr>
                <w:sz w:val="20"/>
                <w:szCs w:val="20"/>
                <w:color w:val="auto"/>
              </w:rPr>
            </w:pPr>
            <w:r>
              <w:rPr>
                <w:rFonts w:ascii="Arial" w:cs="Arial" w:eastAsia="Arial" w:hAnsi="Arial"/>
                <w:sz w:val="16"/>
                <w:szCs w:val="16"/>
                <w:color w:val="auto"/>
              </w:rPr>
              <w:t>Net revenues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2,546</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Segment operating expenses: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Store expenses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Impairment of goodwill, intangible and other assets</w:t>
            </w:r>
          </w:p>
        </w:tc>
        <w:tc>
          <w:tcPr>
            <w:tcW w:w="2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1,124</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9"/>
        </w:trPr>
        <w:tc>
          <w:tcPr>
            <w:tcW w:w="6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Gain on sale or disposal of assets</w:t>
            </w: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Equity in net (income) loss on unconsolidated affiliates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5,896</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Segment operating contribution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2,747</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(8,304)</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segment (income) expense</w:t>
            </w:r>
          </w:p>
        </w:tc>
        <w:tc>
          <w:tcPr>
            <w:tcW w:w="2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20"/>
        </w:trPr>
        <w:tc>
          <w:tcPr>
            <w:tcW w:w="6700" w:type="dxa"/>
            <w:vAlign w:val="bottom"/>
            <w:tcBorders>
              <w:bottom w:val="single" w:sz="8" w:color="auto"/>
            </w:tcBorders>
          </w:tcPr>
          <w:p>
            <w:pPr>
              <w:ind w:left="460"/>
              <w:spacing w:after="0"/>
              <w:rPr>
                <w:sz w:val="20"/>
                <w:szCs w:val="20"/>
                <w:color w:val="auto"/>
              </w:rPr>
            </w:pPr>
            <w:r>
              <w:rPr>
                <w:rFonts w:ascii="Arial" w:cs="Arial" w:eastAsia="Arial" w:hAnsi="Arial"/>
                <w:sz w:val="16"/>
                <w:szCs w:val="16"/>
                <w:color w:val="auto"/>
              </w:rPr>
              <w:t>Segment contribution (loss)</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2,930</w:t>
            </w: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(8,842)</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Segment contribution was $2.9 million, an increase of $11.8 million from the prior-year quarter primarily due to a an increase of $5.0 million of net segment operating contribution resulting from the closure of our Canada operations and a $7.1 million charge, ($10.1 million, net of a $3.0 million tax benefit) in the first quarter of fiscal 2020 for the our share of the Cash Converters International settlement of a class action lawsuit. During the fourth quarter of fiscal year 2020, we closed our CASHMAX business and are no longer operating stores in Canada.</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Items</w:t>
      </w:r>
    </w:p>
    <w:p>
      <w:pPr>
        <w:spacing w:after="0" w:line="184"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The following table reconciles our consolidated segment contribution discussed above to net income attributable to EZCORP, Inc., including items that affect our consolidated financial results but are not allocated among segments: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Nine Months Ended June 30,</w:t>
            </w:r>
          </w:p>
        </w:tc>
        <w:tc>
          <w:tcPr>
            <w:tcW w:w="100" w:type="dxa"/>
            <w:vAlign w:val="bottom"/>
          </w:tcPr>
          <w:p>
            <w:pPr>
              <w:spacing w:after="0"/>
              <w:rPr>
                <w:sz w:val="19"/>
                <w:szCs w:val="19"/>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rPr>
              <w:t>Percentage</w:t>
            </w:r>
          </w:p>
        </w:tc>
      </w:tr>
      <w:tr>
        <w:trPr>
          <w:trHeight w:val="209"/>
        </w:trPr>
        <w:tc>
          <w:tcPr>
            <w:tcW w:w="67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6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contribution</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78,729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33,938</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132%</w:t>
            </w:r>
          </w:p>
        </w:tc>
      </w:tr>
      <w:tr>
        <w:trPr>
          <w:trHeight w:val="213"/>
        </w:trPr>
        <w:tc>
          <w:tcPr>
            <w:tcW w:w="6700" w:type="dxa"/>
            <w:vAlign w:val="bottom"/>
          </w:tcPr>
          <w:p>
            <w:pPr>
              <w:ind w:left="220"/>
              <w:spacing w:after="0"/>
              <w:rPr>
                <w:sz w:val="20"/>
                <w:szCs w:val="20"/>
                <w:color w:val="auto"/>
              </w:rPr>
            </w:pPr>
            <w:r>
              <w:rPr>
                <w:rFonts w:ascii="Arial" w:cs="Arial" w:eastAsia="Arial" w:hAnsi="Arial"/>
                <w:sz w:val="16"/>
                <w:szCs w:val="16"/>
                <w:color w:val="auto"/>
              </w:rPr>
              <w:t>Corporate expenses (income):</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50,355</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(19)%</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Depreciation and amortization</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9,313</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4%</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Loss on sale or disposal of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(94)%</w:t>
            </w:r>
          </w:p>
        </w:tc>
      </w:tr>
      <w:tr>
        <w:trPr>
          <w:trHeight w:val="213"/>
        </w:trPr>
        <w:tc>
          <w:tcPr>
            <w:tcW w:w="6700" w:type="dxa"/>
            <w:vAlign w:val="bottom"/>
          </w:tcPr>
          <w:p>
            <w:pPr>
              <w:ind w:left="4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16,542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15,695</w:t>
            </w:r>
          </w:p>
        </w:tc>
        <w:tc>
          <w:tcPr>
            <w:tcW w:w="1540" w:type="dxa"/>
            <w:vAlign w:val="bottom"/>
            <w:gridSpan w:val="2"/>
          </w:tcPr>
          <w:p>
            <w:pPr>
              <w:jc w:val="center"/>
              <w:ind w:left="19"/>
              <w:spacing w:after="0"/>
              <w:rPr>
                <w:sz w:val="20"/>
                <w:szCs w:val="20"/>
                <w:color w:val="auto"/>
              </w:rPr>
            </w:pPr>
            <w:r>
              <w:rPr>
                <w:rFonts w:ascii="Arial" w:cs="Arial" w:eastAsia="Arial" w:hAnsi="Arial"/>
                <w:sz w:val="16"/>
                <w:szCs w:val="16"/>
                <w:color w:val="auto"/>
              </w:rPr>
              <w:t>5%</w:t>
            </w:r>
          </w:p>
        </w:tc>
      </w:tr>
      <w:tr>
        <w:trPr>
          <w:trHeight w:val="219"/>
        </w:trPr>
        <w:tc>
          <w:tcPr>
            <w:tcW w:w="67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Interest income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w:t>
            </w:r>
          </w:p>
        </w:tc>
        <w:tc>
          <w:tcPr>
            <w:tcW w:w="15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rPr>
              <w:t>(92)%</w:t>
            </w:r>
          </w:p>
        </w:tc>
      </w:tr>
      <w:tr>
        <w:trPr>
          <w:trHeight w:val="213"/>
        </w:trPr>
        <w:tc>
          <w:tcPr>
            <w:tcW w:w="670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rPr>
              <w:t>Other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540" w:type="dxa"/>
            <w:vAlign w:val="bottom"/>
            <w:tcBorders>
              <w:bottom w:val="single" w:sz="8" w:color="auto"/>
            </w:tcBorders>
            <w:gridSpan w:val="2"/>
          </w:tcPr>
          <w:p>
            <w:pPr>
              <w:jc w:val="center"/>
              <w:ind w:left="39"/>
              <w:spacing w:after="0"/>
              <w:rPr>
                <w:sz w:val="20"/>
                <w:szCs w:val="20"/>
                <w:color w:val="auto"/>
              </w:rPr>
            </w:pPr>
            <w:r>
              <w:rPr>
                <w:rFonts w:ascii="Arial" w:cs="Arial" w:eastAsia="Arial" w:hAnsi="Arial"/>
                <w:sz w:val="16"/>
                <w:szCs w:val="16"/>
                <w:color w:val="auto"/>
              </w:rPr>
              <w:t>128%</w:t>
            </w:r>
          </w:p>
        </w:tc>
      </w:tr>
      <w:tr>
        <w:trPr>
          <w:trHeight w:val="213"/>
        </w:trPr>
        <w:tc>
          <w:tcPr>
            <w:tcW w:w="67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Income (loss) from continuing operations before income taxes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11,535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(41,366)</w:t>
            </w:r>
          </w:p>
        </w:tc>
        <w:tc>
          <w:tcPr>
            <w:tcW w:w="15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128%</w:t>
            </w:r>
          </w:p>
        </w:tc>
      </w:tr>
      <w:tr>
        <w:trPr>
          <w:trHeight w:val="213"/>
        </w:trPr>
        <w:tc>
          <w:tcPr>
            <w:tcW w:w="67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4,476</w:t>
            </w: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3,757</w:t>
            </w:r>
          </w:p>
        </w:tc>
        <w:tc>
          <w:tcPr>
            <w:tcW w:w="15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w w:val="99"/>
              </w:rPr>
              <w:t>19%</w:t>
            </w:r>
          </w:p>
        </w:tc>
      </w:tr>
      <w:tr>
        <w:trPr>
          <w:trHeight w:val="210"/>
        </w:trPr>
        <w:tc>
          <w:tcPr>
            <w:tcW w:w="6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 attributable to EZCORP, Inc.</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7,059</w:t>
            </w:r>
          </w:p>
        </w:tc>
        <w:tc>
          <w:tcPr>
            <w:tcW w:w="1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(45,123)</w:t>
            </w:r>
          </w:p>
        </w:tc>
        <w:tc>
          <w:tcPr>
            <w:tcW w:w="15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116%</w:t>
            </w:r>
          </w:p>
        </w:tc>
      </w:tr>
    </w:tbl>
    <w:p>
      <w:pPr>
        <w:spacing w:after="0" w:line="161"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Segment contribution increased $44.8 million or 132% over the prior-year period, primarily due to a $47.1 million impairment charge of certain long-lived assets in the second quarter of fiscal 2020. Excluding the impairment charges, segment contribution decreased by $2.3 million or</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3% primarily due to reduced pawn service charges from a decline in new loan activity and associated loan balances as a result of a change in customer borrowing behaviors due to COVID-19, partially offset by increased merchandise sales gross profit and decreased store expenses.</w:t>
      </w:r>
    </w:p>
    <w:p>
      <w:pPr>
        <w:spacing w:after="0" w:line="148"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General and administrative expenses decreased $9.5 million due to strategic initiatives implemented in the fourth quarter of fiscal year 2020 to optimize our cost structure at the corporate level.</w:t>
      </w:r>
    </w:p>
    <w:p>
      <w:pPr>
        <w:spacing w:after="0" w:line="225"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Income tax expense increased $0.7 million primarily due to an increase in income taxes for the current year due to an approximately $52.9 million increase in income before income taxes offset by a decrease in income tax expense of approximately $14.0 million due to non-deductible goodwill impairments booked in the quarter ended March 31,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includes other items that do not necessarily correspond to pre-tax earnings and create volatility in our effective tax rate.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These items include the net effect of state taxes, non-deductible items and changes in valuation allowances for certain foreign operations.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Liquidity and Capital Resources</w:t>
      </w:r>
    </w:p>
    <w:p>
      <w:pPr>
        <w:spacing w:after="0" w:line="201"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We currently believe that, based on available capital resources and projected operating cash flow, we have adequate capital resources to fund working capital needs, currently anticipated capital expenditures, currently anticipated business growth and expansion, tax payments, and current and projected debt service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and Cash Equivalents</w:t>
      </w:r>
    </w:p>
    <w:p>
      <w:pPr>
        <w:spacing w:after="0" w:line="184"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Our cash and equivalents balance was $283.7 million at June 30, 2021 compared to $304.5 million at September 30, 2020. At June 30, 2021, our cash and equivalents were held in cash depository accounts with major banks or invested in high quality, short-term liquid investments.</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Cash Flows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table and discussion below presents a summary of the selected sources and uses of our cash:</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4"/>
          </w:tcPr>
          <w:p>
            <w:pPr>
              <w:jc w:val="right"/>
              <w:ind w:right="659"/>
              <w:spacing w:after="0"/>
              <w:rPr>
                <w:sz w:val="20"/>
                <w:szCs w:val="20"/>
                <w:color w:val="auto"/>
              </w:rPr>
            </w:pPr>
            <w:r>
              <w:rPr>
                <w:rFonts w:ascii="Arial" w:cs="Arial" w:eastAsia="Arial" w:hAnsi="Arial"/>
                <w:sz w:val="16"/>
                <w:szCs w:val="16"/>
                <w:b w:val="1"/>
                <w:bCs w:val="1"/>
                <w:color w:val="auto"/>
              </w:rPr>
              <w:t>Nine Months Ended</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16"/>
        </w:trPr>
        <w:tc>
          <w:tcPr>
            <w:tcW w:w="70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6"/>
                <w:szCs w:val="16"/>
                <w:b w:val="1"/>
                <w:bCs w:val="1"/>
                <w:color w:val="auto"/>
                <w:w w:val="99"/>
              </w:rPr>
              <w:t>Percentage</w:t>
            </w:r>
          </w:p>
        </w:tc>
      </w:tr>
      <w:tr>
        <w:trPr>
          <w:trHeight w:val="209"/>
        </w:trPr>
        <w:tc>
          <w:tcPr>
            <w:tcW w:w="7000" w:type="dxa"/>
            <w:vAlign w:val="bottom"/>
          </w:tcPr>
          <w:p>
            <w:pPr>
              <w:ind w:left="20"/>
              <w:spacing w:after="0"/>
              <w:rPr>
                <w:sz w:val="20"/>
                <w:szCs w:val="20"/>
                <w:color w:val="auto"/>
              </w:rPr>
            </w:pPr>
            <w:r>
              <w:rPr>
                <w:rFonts w:ascii="Arial" w:cs="Arial" w:eastAsia="Arial" w:hAnsi="Arial"/>
                <w:sz w:val="16"/>
                <w:szCs w:val="16"/>
                <w:color w:val="auto"/>
              </w:rPr>
              <w:t>(in thousands)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Change</w:t>
            </w:r>
          </w:p>
        </w:tc>
      </w:tr>
      <w:tr>
        <w:trPr>
          <w:trHeight w:val="35"/>
        </w:trPr>
        <w:tc>
          <w:tcPr>
            <w:tcW w:w="7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provided by operating activities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33,122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56,365</w:t>
            </w:r>
          </w:p>
        </w:tc>
        <w:tc>
          <w:tcPr>
            <w:tcW w:w="1240" w:type="dxa"/>
            <w:vAlign w:val="bottom"/>
            <w:gridSpan w:val="2"/>
            <w:shd w:val="clear" w:color="auto" w:fill="CCEEFF"/>
          </w:tcPr>
          <w:p>
            <w:pPr>
              <w:jc w:val="center"/>
              <w:ind w:left="19"/>
              <w:spacing w:after="0"/>
              <w:rPr>
                <w:sz w:val="20"/>
                <w:szCs w:val="20"/>
                <w:color w:val="auto"/>
              </w:rPr>
            </w:pPr>
            <w:r>
              <w:rPr>
                <w:rFonts w:ascii="Arial" w:cs="Arial" w:eastAsia="Arial" w:hAnsi="Arial"/>
                <w:sz w:val="16"/>
                <w:szCs w:val="16"/>
                <w:color w:val="auto"/>
                <w:w w:val="98"/>
              </w:rPr>
              <w:t>(41)%</w:t>
            </w:r>
          </w:p>
        </w:tc>
      </w:tr>
      <w:tr>
        <w:trPr>
          <w:trHeight w:val="213"/>
        </w:trPr>
        <w:tc>
          <w:tcPr>
            <w:tcW w:w="7000" w:type="dxa"/>
            <w:vAlign w:val="bottom"/>
          </w:tcPr>
          <w:p>
            <w:pPr>
              <w:ind w:left="20"/>
              <w:spacing w:after="0"/>
              <w:rPr>
                <w:sz w:val="20"/>
                <w:szCs w:val="20"/>
                <w:color w:val="auto"/>
              </w:rPr>
            </w:pPr>
            <w:r>
              <w:rPr>
                <w:rFonts w:ascii="Arial" w:cs="Arial" w:eastAsia="Arial" w:hAnsi="Arial"/>
                <w:sz w:val="16"/>
                <w:szCs w:val="16"/>
                <w:color w:val="auto"/>
              </w:rPr>
              <w:t>Cash flows (used in) provided by investing activities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(37,086)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110,389</w:t>
            </w:r>
          </w:p>
        </w:tc>
        <w:tc>
          <w:tcPr>
            <w:tcW w:w="1240" w:type="dxa"/>
            <w:vAlign w:val="bottom"/>
            <w:gridSpan w:val="2"/>
          </w:tcPr>
          <w:p>
            <w:pPr>
              <w:jc w:val="center"/>
              <w:ind w:left="39"/>
              <w:spacing w:after="0"/>
              <w:rPr>
                <w:sz w:val="20"/>
                <w:szCs w:val="20"/>
                <w:color w:val="auto"/>
              </w:rPr>
            </w:pPr>
            <w:r>
              <w:rPr>
                <w:rFonts w:ascii="Arial" w:cs="Arial" w:eastAsia="Arial" w:hAnsi="Arial"/>
                <w:sz w:val="16"/>
                <w:szCs w:val="16"/>
                <w:color w:val="auto"/>
              </w:rPr>
              <w:t>(134)%</w:t>
            </w:r>
          </w:p>
        </w:tc>
      </w:tr>
      <w:tr>
        <w:trPr>
          <w:trHeight w:val="219"/>
        </w:trPr>
        <w:tc>
          <w:tcPr>
            <w:tcW w:w="7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used in financing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(7,388)</w:t>
            </w:r>
          </w:p>
        </w:tc>
        <w:tc>
          <w:tcPr>
            <w:tcW w:w="1240" w:type="dxa"/>
            <w:vAlign w:val="bottom"/>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(119)%</w:t>
            </w:r>
          </w:p>
        </w:tc>
      </w:tr>
      <w:tr>
        <w:trPr>
          <w:trHeight w:val="213"/>
        </w:trPr>
        <w:tc>
          <w:tcPr>
            <w:tcW w:w="70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5,076</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(6,678)</w:t>
            </w:r>
          </w:p>
        </w:tc>
        <w:tc>
          <w:tcPr>
            <w:tcW w:w="1240" w:type="dxa"/>
            <w:vAlign w:val="bottom"/>
            <w:tcBorders>
              <w:bottom w:val="single" w:sz="8" w:color="auto"/>
            </w:tcBorders>
            <w:gridSpan w:val="2"/>
          </w:tcPr>
          <w:p>
            <w:pPr>
              <w:jc w:val="center"/>
              <w:ind w:left="19"/>
              <w:spacing w:after="0"/>
              <w:rPr>
                <w:sz w:val="20"/>
                <w:szCs w:val="20"/>
                <w:color w:val="auto"/>
              </w:rPr>
            </w:pPr>
            <w:r>
              <w:rPr>
                <w:rFonts w:ascii="Arial" w:cs="Arial" w:eastAsia="Arial" w:hAnsi="Arial"/>
                <w:sz w:val="16"/>
                <w:szCs w:val="16"/>
                <w:color w:val="auto"/>
              </w:rPr>
              <w:t>176%</w:t>
            </w:r>
          </w:p>
        </w:tc>
      </w:tr>
      <w:tr>
        <w:trPr>
          <w:trHeight w:val="219"/>
        </w:trPr>
        <w:tc>
          <w:tcPr>
            <w:tcW w:w="7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(15,090)</w:t>
            </w:r>
          </w:p>
        </w:tc>
        <w:tc>
          <w:tcPr>
            <w:tcW w:w="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152,688</w:t>
            </w:r>
          </w:p>
        </w:tc>
        <w:tc>
          <w:tcPr>
            <w:tcW w:w="1240" w:type="dxa"/>
            <w:vAlign w:val="bottom"/>
            <w:tcBorders>
              <w:bottom w:val="single" w:sz="8" w:color="auto"/>
            </w:tcBorders>
            <w:gridSpan w:val="2"/>
            <w:shd w:val="clear" w:color="auto" w:fill="CCEEFF"/>
          </w:tcPr>
          <w:p>
            <w:pPr>
              <w:jc w:val="center"/>
              <w:ind w:left="39"/>
              <w:spacing w:after="0"/>
              <w:rPr>
                <w:sz w:val="20"/>
                <w:szCs w:val="20"/>
                <w:color w:val="auto"/>
              </w:rPr>
            </w:pPr>
            <w:r>
              <w:rPr>
                <w:rFonts w:ascii="Arial" w:cs="Arial" w:eastAsia="Arial" w:hAnsi="Arial"/>
                <w:sz w:val="16"/>
                <w:szCs w:val="16"/>
                <w:color w:val="auto"/>
              </w:rPr>
              <w:t>(110)%</w:t>
            </w:r>
          </w:p>
        </w:tc>
      </w:tr>
    </w:tbl>
    <w:p>
      <w:pPr>
        <w:spacing w:after="0" w:line="37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Net cash provided by operating activities decreased $ 23.2 million or 41% year-over-year due to a decrease of $ 4.5 million in net income adjusted for non-cash items, and a decrease of $18.7 million in changes to working capital. Changes in working capital are primarily related to the timing of collections in pawn service charges receivable, layaway deposits, inventory purchases, and the timing of outgoing payments of accounts payable and prepaid expenses.</w:t>
      </w:r>
    </w:p>
    <w:p>
      <w:pPr>
        <w:spacing w:after="0" w:line="15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Net cash provided by investing activities decreased by $147.5 million, or 134%, year-over-year primarily due to a $92.7 million decrease in the sale of forfeited collateral, a decrease of $41.9 million in net pawn loan lending and collections and acquisitions of $15.1 million.</w:t>
      </w:r>
    </w:p>
    <w:p>
      <w:pPr>
        <w:spacing w:after="0" w:line="14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Net cash used in financing activities increased $8.8 million, or 119%, year-over-year primarily due to the payment of assumed debt of $14.9 million from the Bajio acquisition (discussed in Note 2), offset by a $5.2 million decrease in the repurchase of common stock paid during the prior year.</w:t>
      </w:r>
    </w:p>
    <w:p>
      <w:pPr>
        <w:spacing w:after="0" w:line="14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color w:val="auto"/>
        </w:rPr>
        <w:t>The net effect of cash flows was a $15.1 million decrease in cash on hand during the current year-to-date period, resulting in a $297.5 million ending cash and restricted cash balance.</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Sources and Uses of Cash</w:t>
      </w:r>
    </w:p>
    <w:p>
      <w:pPr>
        <w:spacing w:after="0" w:line="184"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December 2019, our Board of Directors authorized a stock repurchase program that will allow us to repurchase up to $60 million of our Class A Non-voting Common Stock over three years. On March 20, 2020, we suspended the repurchase of shares under the program in order to preserve current liquidity given the uncertainty of the impact of the COVID-19 pandemic to our operations. As of September 30, 2020, we had repurchased and retired 943,149 shares of our Class A Common Stock for $5.2 million. The resumption of our stock repurchase program and the amount and timing of purchases will be dependent on a variety of factors, such as the return to normal business conditions, stock price, trading volume, general market conditions, legal and regulatory requirements, cash flow levels, and corporate</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considerations determined by management and the Board, such as liquidity and capital needs and the availability of attractive alternative investment opportunities. The Board of Directors has reserved the right to modify, suspend or terminate the program at any time. During the three and nine months ended June 30, 2021, there were no stock repurchases.</w:t>
      </w:r>
    </w:p>
    <w:p>
      <w:pPr>
        <w:spacing w:after="0" w:line="14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 xml:space="preserve">We anticipate that cash flows from operations and cash on hand will be adequate to fund any future stock repurchases, our contractual obligations, planned de novo store growth, capital expenditures and working capital requirements through fiscal 2021. We continue to explore acquisition opportunities, both large and small, and may choose to pursue additional debt, equity or equity-linked financings in the future should the need arise. </w:t>
      </w:r>
      <w:r>
        <w:rPr>
          <w:rFonts w:ascii="Arial" w:cs="Arial" w:eastAsia="Arial" w:hAnsi="Arial"/>
          <w:sz w:val="18"/>
          <w:szCs w:val="18"/>
          <w:color w:val="212529"/>
        </w:rPr>
        <w:t>Given the current uncertainty related to the COVID-19 pandemic, we may adjust our capital or other expenditures.</w:t>
      </w:r>
      <w:r>
        <w:rPr>
          <w:rFonts w:ascii="Arial" w:cs="Arial" w:eastAsia="Arial" w:hAnsi="Arial"/>
          <w:sz w:val="18"/>
          <w:szCs w:val="18"/>
          <w:color w:val="auto"/>
        </w:rPr>
        <w:t xml:space="preserve"> </w:t>
      </w:r>
      <w:r>
        <w:rPr>
          <w:rFonts w:ascii="Arial" w:cs="Arial" w:eastAsia="Arial" w:hAnsi="Arial"/>
          <w:sz w:val="18"/>
          <w:szCs w:val="18"/>
          <w:color w:val="212529"/>
        </w:rPr>
        <w:t>Depending on the level of acquisition activity and other factors, our ability to repay our longer term debt obligations, including the convertible debt maturing in 2024 and 2025, may require us to refinance these obligations through the issuance of new debt securities, equity securities, convertible securities or through new credit facilities.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w:t>
      </w:r>
    </w:p>
    <w:p>
      <w:pPr>
        <w:spacing w:after="0" w:line="184" w:lineRule="exact"/>
        <w:rPr>
          <w:sz w:val="20"/>
          <w:szCs w:val="20"/>
          <w:color w:val="auto"/>
        </w:rPr>
      </w:pPr>
    </w:p>
    <w:p>
      <w:pPr>
        <w:ind w:right="40"/>
        <w:spacing w:after="0" w:line="253" w:lineRule="auto"/>
        <w:rPr>
          <w:rFonts w:ascii="Arial" w:cs="Arial" w:eastAsia="Arial" w:hAnsi="Arial"/>
          <w:sz w:val="18"/>
          <w:szCs w:val="18"/>
          <w:color w:val="auto"/>
        </w:rPr>
      </w:pPr>
      <w:hyperlink r:id="rId20">
        <w:r>
          <w:rPr>
            <w:rFonts w:ascii="Arial" w:cs="Arial" w:eastAsia="Arial" w:hAnsi="Arial"/>
            <w:sz w:val="18"/>
            <w:szCs w:val="18"/>
            <w:color w:val="auto"/>
          </w:rPr>
          <w:t>In "Part II, Item 7 — Management's Discussion and Analysis of Financial Condition and Results of Operations" of our Annual Report on Form</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10-K for the year ended September 30, 2020, we reported that we had $ 604.6 million in total contractual obligations as of September 30,</w:t>
        </w:r>
      </w:hyperlink>
      <w:r>
        <w:rPr>
          <w:rFonts w:ascii="Arial" w:cs="Arial" w:eastAsia="Arial" w:hAnsi="Arial"/>
          <w:sz w:val="18"/>
          <w:szCs w:val="18"/>
          <w:color w:val="auto"/>
        </w:rPr>
        <w:t xml:space="preserve"> 2020. There have been no material changes to this total obligation since September 30, 2020, other than changes as the result of adoption of accounting standards as further discussed in Note 1 of Notes to Interim Condensed Consolidated Financial Statements included in "Part I, Item 1 — Financial Statements."</w:t>
      </w:r>
    </w:p>
    <w:p>
      <w:pPr>
        <w:spacing w:after="0" w:line="15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We are responsible for the maintenance, property taxes and insurance at most of our locations. In the fiscal year ended September 30, 2020, these collectively amounted to $12.3 million.</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Recently Adopted Accounting Policies and Recently Issued Accounting Pronouncements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See Note 1 of Notes to Interim Condensed Consolidated Financial Statements included in "Part I, Item 1 —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Cautionary Statement Regarding Risks and Uncertainties that May Affect Future Results</w:t>
      </w:r>
    </w:p>
    <w:p>
      <w:pPr>
        <w:spacing w:after="0" w:line="201" w:lineRule="exact"/>
        <w:rPr>
          <w:sz w:val="20"/>
          <w:szCs w:val="20"/>
          <w:color w:val="auto"/>
        </w:rPr>
      </w:pPr>
    </w:p>
    <w:p>
      <w:pPr>
        <w:spacing w:after="0" w:line="251" w:lineRule="auto"/>
        <w:rPr>
          <w:rFonts w:ascii="Arial" w:cs="Arial" w:eastAsia="Arial" w:hAnsi="Arial"/>
          <w:sz w:val="18"/>
          <w:szCs w:val="18"/>
          <w:color w:val="auto"/>
        </w:rPr>
      </w:pPr>
      <w:r>
        <w:rPr>
          <w:rFonts w:ascii="Arial" w:cs="Arial" w:eastAsia="Arial" w:hAnsi="Arial"/>
          <w:sz w:val="18"/>
          <w:szCs w:val="18"/>
          <w:color w:val="auto"/>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w:t>
      </w:r>
      <w:hyperlink r:id="rId20">
        <w:r>
          <w:rPr>
            <w:rFonts w:ascii="Arial" w:cs="Arial" w:eastAsia="Arial" w:hAnsi="Arial"/>
            <w:sz w:val="18"/>
            <w:szCs w:val="18"/>
            <w:color w:val="auto"/>
          </w:rPr>
          <w:t>achieved. Important risk factors that could cause results or events to differ from current expectations are identified and described in "Part I,</w:t>
        </w:r>
      </w:hyperlink>
      <w:r>
        <w:rPr>
          <w:rFonts w:ascii="Arial" w:cs="Arial" w:eastAsia="Arial" w:hAnsi="Arial"/>
          <w:sz w:val="18"/>
          <w:szCs w:val="18"/>
          <w:color w:val="auto"/>
        </w:rPr>
        <w:t xml:space="preserve"> </w:t>
      </w:r>
      <w:hyperlink r:id="rId20">
        <w:r>
          <w:rPr>
            <w:rFonts w:ascii="Arial" w:cs="Arial" w:eastAsia="Arial" w:hAnsi="Arial"/>
            <w:sz w:val="18"/>
            <w:szCs w:val="18"/>
            <w:color w:val="auto"/>
          </w:rPr>
          <w:t xml:space="preserve">Item 1A — Risk Factors" of our Annual Report on Form 10-K for the year ended September 30, 2020 and "Part II, Item 1A — Risk Factors" </w:t>
        </w:r>
      </w:hyperlink>
      <w:r>
        <w:rPr>
          <w:rFonts w:ascii="Arial" w:cs="Arial" w:eastAsia="Arial" w:hAnsi="Arial"/>
          <w:sz w:val="18"/>
          <w:szCs w:val="18"/>
          <w:color w:val="auto"/>
        </w:rPr>
        <w:t>of this Report.</w:t>
      </w:r>
    </w:p>
    <w:p>
      <w:pPr>
        <w:spacing w:after="0" w:line="155"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pacing w:after="0" w:line="114"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3. QUANTITATIVE AND QUALITATIVE DISCLOSURES ABOUT MARKET RISK</w:t>
      </w:r>
    </w:p>
    <w:p>
      <w:pPr>
        <w:spacing w:after="0" w:line="20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2020. With the exception of the impacts of COVID-19, which are discussed elsewhere in this Report, there have been no material changes in our reported market risks or risk management policies since the filing of our Annual Report on Form 10-K for the year ended September 30, 2020.</w:t>
      </w:r>
    </w:p>
    <w:p>
      <w:pPr>
        <w:spacing w:after="0" w:line="12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4. CONTROLS AND PROCEDURES</w:t>
      </w:r>
    </w:p>
    <w:p>
      <w:pPr>
        <w:spacing w:after="0" w:line="20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sectPr>
          <w:pgSz w:w="11900" w:h="16838" w:orient="portrait"/>
          <w:cols w:equalWidth="0" w:num="1">
            <w:col w:w="11240"/>
          </w:cols>
          <w:pgMar w:left="320" w:top="144"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9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w:t>
      </w:r>
    </w:p>
    <w:p>
      <w:pPr>
        <w:spacing w:after="0" w:line="15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our management evaluated the effectiveness of the design and operation of our disclosure controls and procedures as of June 30, 2021. Our principal executive officer and principal financial officer have concluded that as of June 30, 2021,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3"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2021 that have materially affected, or are reasonably likely to materially affect, our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Internal Controls</w:t>
      </w:r>
    </w:p>
    <w:p>
      <w:pPr>
        <w:spacing w:after="0" w:line="193"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pacing w:after="0" w:line="128" w:lineRule="exact"/>
        <w:rPr>
          <w:sz w:val="20"/>
          <w:szCs w:val="20"/>
          <w:color w:val="auto"/>
        </w:rPr>
      </w:pPr>
    </w:p>
    <w:p>
      <w:pPr>
        <w:ind w:right="3560" w:firstLine="3627"/>
        <w:spacing w:after="0" w:line="395" w:lineRule="auto"/>
        <w:rPr>
          <w:sz w:val="20"/>
          <w:szCs w:val="20"/>
          <w:color w:val="auto"/>
        </w:rPr>
      </w:pPr>
      <w:r>
        <w:rPr>
          <w:rFonts w:ascii="Arial" w:cs="Arial" w:eastAsia="Arial" w:hAnsi="Arial"/>
          <w:sz w:val="25"/>
          <w:szCs w:val="25"/>
          <w:b w:val="1"/>
          <w:bCs w:val="1"/>
          <w:color w:val="00497F"/>
        </w:rPr>
        <w:t>PART II — OTHER INFORMATION ITEM 1. LEGAL PROCEEDINGS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See Note 13 of Notes to Interim Condensed Consolidated Financial Statements included in "Part I, Item 1 — Financial Statements."</w:t>
      </w:r>
    </w:p>
    <w:p>
      <w:pPr>
        <w:spacing w:after="0" w:line="141"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1A. RISK FACTORS</w:t>
      </w:r>
    </w:p>
    <w:p>
      <w:pPr>
        <w:spacing w:after="0" w:line="201" w:lineRule="exact"/>
        <w:rPr>
          <w:sz w:val="20"/>
          <w:szCs w:val="20"/>
          <w:color w:val="auto"/>
        </w:rPr>
      </w:pPr>
    </w:p>
    <w:p>
      <w:pPr>
        <w:ind w:right="80"/>
        <w:spacing w:after="0" w:line="256" w:lineRule="auto"/>
        <w:rPr>
          <w:rFonts w:ascii="Arial" w:cs="Arial" w:eastAsia="Arial" w:hAnsi="Arial"/>
          <w:sz w:val="18"/>
          <w:szCs w:val="18"/>
          <w:color w:val="auto"/>
        </w:rPr>
      </w:pPr>
      <w:r>
        <w:rPr>
          <w:rFonts w:ascii="Arial" w:cs="Arial" w:eastAsia="Arial" w:hAnsi="Arial"/>
          <w:sz w:val="18"/>
          <w:szCs w:val="18"/>
          <w:color w:val="auto"/>
        </w:rPr>
        <w:t xml:space="preserve">Important risk factors that could affect our operations and financial performance, or that could cause results or events to differ from current expectations, are described in </w:t>
      </w:r>
      <w:hyperlink r:id="rId20">
        <w:r>
          <w:rPr>
            <w:rFonts w:ascii="Arial" w:cs="Arial" w:eastAsia="Arial" w:hAnsi="Arial"/>
            <w:sz w:val="18"/>
            <w:szCs w:val="18"/>
            <w:color w:val="auto"/>
          </w:rPr>
          <w:t xml:space="preserve">"Part I, Item 1A — Risk Factors" of our Annual Report on Form 10-K for the year ended September 30, </w:t>
        </w:r>
      </w:hyperlink>
      <w:r>
        <w:rPr>
          <w:rFonts w:ascii="Arial" w:cs="Arial" w:eastAsia="Arial" w:hAnsi="Arial"/>
          <w:sz w:val="18"/>
          <w:szCs w:val="18"/>
          <w:color w:val="auto"/>
        </w:rPr>
        <w:t>2020, as supplemented by the information set forth below.</w:t>
      </w:r>
    </w:p>
    <w:p>
      <w:pPr>
        <w:spacing w:after="0" w:line="126"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b w:val="1"/>
          <w:bCs w:val="1"/>
          <w:i w:val="1"/>
          <w:iCs w:val="1"/>
          <w:color w:val="auto"/>
        </w:rPr>
        <w:t>Illinois recently passed the Predatory Loan Prevention Act, which we do not believe applies to pawn. If it is determined that the new law applies to pawn transactions, our business in Illinois (20 stores) could be adversely affected.</w:t>
      </w:r>
    </w:p>
    <w:p>
      <w:pPr>
        <w:spacing w:after="0" w:line="121"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The Illinois Predatory Loan Prevention Act was signed into law on March 23, 2021. Pawn transactions are not mentioned in the act, and we believe that pawn transactions are not subject to the provisions of the act. On April 28, the Illinois Department of Financial &amp; Professional Regulation issued a fact sheet that lists "pawn loans" as among the types of consumer loans covered by the law. We are seeking formal confirmation that the new act does not apply to pawn transactions. If it is determined that the act does apply to pawn, then our business in Illinois could be adversely affected and we could be subject to civil penalties.</w:t>
      </w: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25"/>
          <w:szCs w:val="25"/>
          <w:b w:val="1"/>
          <w:bCs w:val="1"/>
          <w:color w:val="00497F"/>
        </w:rPr>
        <w:t>ITEM 6. EXHIBITS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with, or incorporated by reference into, this report.</w:t>
      </w:r>
    </w:p>
    <w:p>
      <w:pPr>
        <w:spacing w:after="0" w:line="194" w:lineRule="exact"/>
        <w:rPr>
          <w:sz w:val="20"/>
          <w:szCs w:val="20"/>
          <w:color w:val="auto"/>
        </w:rPr>
      </w:pPr>
    </w:p>
    <w:p>
      <w:pPr>
        <w:ind w:left="7020"/>
        <w:spacing w:after="0"/>
        <w:rPr>
          <w:sz w:val="20"/>
          <w:szCs w:val="20"/>
          <w:color w:val="auto"/>
        </w:rPr>
      </w:pPr>
      <w:r>
        <w:rPr>
          <w:rFonts w:ascii="Arial" w:cs="Arial" w:eastAsia="Arial" w:hAnsi="Arial"/>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23495</wp:posOffset>
            </wp:positionV>
            <wp:extent cx="27260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6" w:lineRule="exact"/>
        <w:rPr>
          <w:sz w:val="20"/>
          <w:szCs w:val="20"/>
          <w:color w:val="auto"/>
        </w:rPr>
      </w:pPr>
    </w:p>
    <w:p>
      <w:pPr>
        <w:ind w:left="120"/>
        <w:spacing w:after="0"/>
        <w:tabs>
          <w:tab w:leader="none" w:pos="6000" w:val="left"/>
          <w:tab w:leader="none" w:pos="6780" w:val="left"/>
          <w:tab w:leader="none" w:pos="7780" w:val="left"/>
          <w:tab w:leader="none" w:pos="8900" w:val="left"/>
        </w:tabs>
        <w:rPr>
          <w:sz w:val="20"/>
          <w:szCs w:val="20"/>
          <w:color w:val="auto"/>
        </w:rPr>
      </w:pPr>
      <w:r>
        <w:rPr>
          <w:rFonts w:ascii="Arial" w:cs="Arial" w:eastAsia="Arial" w:hAnsi="Arial"/>
          <w:sz w:val="16"/>
          <w:szCs w:val="16"/>
          <w:b w:val="1"/>
          <w:bCs w:val="1"/>
          <w:color w:val="auto"/>
        </w:rPr>
        <w:t>Exhibit  Description of Exhibit</w:t>
      </w:r>
      <w:r>
        <w:rPr>
          <w:sz w:val="20"/>
          <w:szCs w:val="20"/>
          <w:color w:val="auto"/>
        </w:rPr>
        <w:tab/>
      </w:r>
      <w:r>
        <w:rPr>
          <w:rFonts w:ascii="Arial" w:cs="Arial" w:eastAsia="Arial" w:hAnsi="Arial"/>
          <w:sz w:val="16"/>
          <w:szCs w:val="16"/>
          <w:b w:val="1"/>
          <w:bCs w:val="1"/>
          <w:color w:val="auto"/>
        </w:rPr>
        <w:t>Form</w:t>
      </w:r>
      <w:r>
        <w:rPr>
          <w:sz w:val="20"/>
          <w:szCs w:val="20"/>
          <w:color w:val="auto"/>
        </w:rPr>
        <w:tab/>
      </w:r>
      <w:r>
        <w:rPr>
          <w:rFonts w:ascii="Arial" w:cs="Arial" w:eastAsia="Arial" w:hAnsi="Arial"/>
          <w:sz w:val="16"/>
          <w:szCs w:val="16"/>
          <w:b w:val="1"/>
          <w:bCs w:val="1"/>
          <w:color w:val="auto"/>
        </w:rPr>
        <w:t>File No.</w:t>
      </w:r>
      <w:r>
        <w:rPr>
          <w:sz w:val="20"/>
          <w:szCs w:val="20"/>
          <w:color w:val="auto"/>
        </w:rPr>
        <w:tab/>
      </w:r>
      <w:r>
        <w:rPr>
          <w:rFonts w:ascii="Arial" w:cs="Arial" w:eastAsia="Arial" w:hAnsi="Arial"/>
          <w:sz w:val="16"/>
          <w:szCs w:val="16"/>
          <w:b w:val="1"/>
          <w:bCs w:val="1"/>
          <w:color w:val="auto"/>
        </w:rPr>
        <w:t>Exhibit</w:t>
      </w:r>
      <w:r>
        <w:rPr>
          <w:sz w:val="20"/>
          <w:szCs w:val="20"/>
          <w:color w:val="auto"/>
        </w:rPr>
        <w:tab/>
      </w:r>
      <w:r>
        <w:rPr>
          <w:rFonts w:ascii="Arial" w:cs="Arial" w:eastAsia="Arial" w:hAnsi="Arial"/>
          <w:sz w:val="16"/>
          <w:szCs w:val="16"/>
          <w:b w:val="1"/>
          <w:bCs w:val="1"/>
          <w:color w:val="auto"/>
        </w:rPr>
        <w:t>Filing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2400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64719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471920" cy="8255"/>
                    </a:xfrm>
                    <a:prstGeom prst="rect">
                      <a:avLst/>
                    </a:prstGeom>
                    <a:noFill/>
                  </pic:spPr>
                </pic:pic>
              </a:graphicData>
            </a:graphic>
          </wp:anchor>
        </w:drawing>
      </w:r>
    </w:p>
    <w:p>
      <w:pPr>
        <w:spacing w:after="0" w:line="64"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31.1</w:t>
      </w:r>
      <w:r>
        <w:rPr>
          <w:sz w:val="20"/>
          <w:szCs w:val="20"/>
          <w:color w:val="auto"/>
        </w:rPr>
        <w:tab/>
      </w:r>
      <w:hyperlink w:anchor="page39">
        <w:r>
          <w:rPr>
            <w:rFonts w:ascii="Arial" w:cs="Arial" w:eastAsia="Arial" w:hAnsi="Arial"/>
            <w:sz w:val="16"/>
            <w:szCs w:val="16"/>
            <w:u w:val="single" w:color="auto"/>
            <w:color w:val="0000FF"/>
          </w:rPr>
          <w:t>Certification of Principal Executive Officer, pursuant to Rule 13a-</w:t>
        </w:r>
      </w:hyperlink>
    </w:p>
    <w:p>
      <w:pPr>
        <w:ind w:left="800"/>
        <w:spacing w:after="0"/>
        <w:rPr>
          <w:rFonts w:ascii="Arial" w:cs="Arial" w:eastAsia="Arial" w:hAnsi="Arial"/>
          <w:sz w:val="16"/>
          <w:szCs w:val="16"/>
          <w:u w:val="single" w:color="auto"/>
          <w:color w:val="0000FF"/>
        </w:rPr>
      </w:pPr>
      <w:hyperlink w:anchor="page39">
        <w:r>
          <w:rPr>
            <w:rFonts w:ascii="Arial" w:cs="Arial" w:eastAsia="Arial" w:hAnsi="Arial"/>
            <w:sz w:val="16"/>
            <w:szCs w:val="16"/>
            <w:u w:val="single" w:color="auto"/>
            <w:color w:val="0000FF"/>
          </w:rPr>
          <w:t>14(a) under the Securities Exchange Act of 1934</w:t>
        </w:r>
      </w:hyperlink>
    </w:p>
    <w:p>
      <w:pPr>
        <w:spacing w:after="0" w:line="10" w:lineRule="exact"/>
        <w:rPr>
          <w:sz w:val="20"/>
          <w:szCs w:val="20"/>
          <w:color w:val="auto"/>
        </w:rPr>
      </w:pPr>
    </w:p>
    <w:p>
      <w:pPr>
        <w:ind w:left="24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31.2</w:t>
      </w:r>
      <w:r>
        <w:rPr>
          <w:sz w:val="20"/>
          <w:szCs w:val="20"/>
          <w:color w:val="auto"/>
        </w:rPr>
        <w:tab/>
      </w:r>
      <w:hyperlink w:anchor="page40">
        <w:r>
          <w:rPr>
            <w:rFonts w:ascii="Arial" w:cs="Arial" w:eastAsia="Arial" w:hAnsi="Arial"/>
            <w:sz w:val="16"/>
            <w:szCs w:val="16"/>
            <w:u w:val="single" w:color="auto"/>
            <w:color w:val="0000FF"/>
          </w:rPr>
          <w:t>Certification of Principal Financial Officer, pursuant to Rule 13a-14(a)</w:t>
        </w:r>
      </w:hyperlink>
    </w:p>
    <w:p>
      <w:pPr>
        <w:ind w:left="800"/>
        <w:spacing w:after="0"/>
        <w:rPr>
          <w:rFonts w:ascii="Arial" w:cs="Arial" w:eastAsia="Arial" w:hAnsi="Arial"/>
          <w:sz w:val="16"/>
          <w:szCs w:val="16"/>
          <w:u w:val="single" w:color="auto"/>
          <w:color w:val="0000FF"/>
        </w:rPr>
      </w:pPr>
      <w:hyperlink w:anchor="page40">
        <w:r>
          <w:rPr>
            <w:rFonts w:ascii="Arial" w:cs="Arial" w:eastAsia="Arial" w:hAnsi="Arial"/>
            <w:sz w:val="16"/>
            <w:szCs w:val="16"/>
            <w:u w:val="single" w:color="auto"/>
            <w:color w:val="0000FF"/>
          </w:rPr>
          <w:t>under the Securities Exchange Act of 1934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32.1†</w:t>
      </w:r>
      <w:r>
        <w:rPr>
          <w:sz w:val="20"/>
          <w:szCs w:val="20"/>
          <w:color w:val="auto"/>
        </w:rPr>
        <w:tab/>
      </w:r>
      <w:hyperlink w:anchor="page41">
        <w:r>
          <w:rPr>
            <w:rFonts w:ascii="Arial" w:cs="Arial" w:eastAsia="Arial" w:hAnsi="Arial"/>
            <w:sz w:val="16"/>
            <w:szCs w:val="16"/>
            <w:u w:val="single" w:color="auto"/>
            <w:color w:val="0000FF"/>
          </w:rPr>
          <w:t>Certifications of Principal Executive Officer, pursuant to 18 U.S.C.</w:t>
        </w:r>
      </w:hyperlink>
    </w:p>
    <w:p>
      <w:pPr>
        <w:ind w:left="800"/>
        <w:spacing w:after="0"/>
        <w:rPr>
          <w:rFonts w:ascii="Arial" w:cs="Arial" w:eastAsia="Arial" w:hAnsi="Arial"/>
          <w:sz w:val="16"/>
          <w:szCs w:val="16"/>
          <w:u w:val="single" w:color="auto"/>
          <w:color w:val="0000FF"/>
        </w:rPr>
      </w:pPr>
      <w:hyperlink w:anchor="page41">
        <w:r>
          <w:rPr>
            <w:rFonts w:ascii="Arial" w:cs="Arial" w:eastAsia="Arial" w:hAnsi="Arial"/>
            <w:sz w:val="16"/>
            <w:szCs w:val="16"/>
            <w:u w:val="single" w:color="auto"/>
            <w:color w:val="0000FF"/>
          </w:rPr>
          <w:t>Section 1350</w:t>
        </w:r>
      </w:hyperlink>
    </w:p>
    <w:p>
      <w:pPr>
        <w:spacing w:after="0" w:line="10" w:lineRule="exact"/>
        <w:rPr>
          <w:sz w:val="20"/>
          <w:szCs w:val="20"/>
          <w:color w:val="auto"/>
        </w:rPr>
      </w:pPr>
    </w:p>
    <w:p>
      <w:pPr>
        <w:ind w:left="200"/>
        <w:spacing w:after="0"/>
        <w:tabs>
          <w:tab w:leader="none" w:pos="780" w:val="left"/>
        </w:tabs>
        <w:rPr>
          <w:rFonts w:ascii="Arial" w:cs="Arial" w:eastAsia="Arial" w:hAnsi="Arial"/>
          <w:sz w:val="16"/>
          <w:szCs w:val="16"/>
          <w:u w:val="single" w:color="auto"/>
          <w:color w:val="0000FF"/>
        </w:rPr>
      </w:pPr>
      <w:r>
        <w:rPr>
          <w:rFonts w:ascii="Arial" w:cs="Arial" w:eastAsia="Arial" w:hAnsi="Arial"/>
          <w:sz w:val="16"/>
          <w:szCs w:val="16"/>
          <w:color w:val="auto"/>
        </w:rPr>
        <w:t>32.2†</w:t>
      </w:r>
      <w:r>
        <w:rPr>
          <w:sz w:val="20"/>
          <w:szCs w:val="20"/>
          <w:color w:val="auto"/>
        </w:rPr>
        <w:tab/>
      </w:r>
      <w:hyperlink w:anchor="page42">
        <w:r>
          <w:rPr>
            <w:rFonts w:ascii="Arial" w:cs="Arial" w:eastAsia="Arial" w:hAnsi="Arial"/>
            <w:sz w:val="16"/>
            <w:szCs w:val="16"/>
            <w:u w:val="single" w:color="auto"/>
            <w:color w:val="0000FF"/>
          </w:rPr>
          <w:t>Certifications of Principal Financial Officer, pursuant to 18 U.S.C.</w:t>
        </w:r>
      </w:hyperlink>
    </w:p>
    <w:p>
      <w:pPr>
        <w:ind w:left="800"/>
        <w:spacing w:after="0"/>
        <w:rPr>
          <w:rFonts w:ascii="Arial" w:cs="Arial" w:eastAsia="Arial" w:hAnsi="Arial"/>
          <w:sz w:val="16"/>
          <w:szCs w:val="16"/>
          <w:u w:val="single" w:color="auto"/>
          <w:color w:val="0000FF"/>
        </w:rPr>
      </w:pPr>
      <w:hyperlink w:anchor="page42">
        <w:r>
          <w:rPr>
            <w:rFonts w:ascii="Arial" w:cs="Arial" w:eastAsia="Arial" w:hAnsi="Arial"/>
            <w:sz w:val="16"/>
            <w:szCs w:val="16"/>
            <w:u w:val="single" w:color="auto"/>
            <w:color w:val="0000FF"/>
          </w:rPr>
          <w:t>Section 1350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3429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32320" cy="342900"/>
                    </a:xfrm>
                    <a:prstGeom prst="rect">
                      <a:avLst/>
                    </a:prstGeom>
                    <a:noFill/>
                  </pic:spPr>
                </pic:pic>
              </a:graphicData>
            </a:graphic>
          </wp:anchor>
        </w:drawing>
      </w:r>
    </w:p>
    <w:p>
      <w:pPr>
        <w:spacing w:after="0" w:line="12" w:lineRule="exact"/>
        <w:rPr>
          <w:sz w:val="20"/>
          <w:szCs w:val="20"/>
          <w:color w:val="auto"/>
        </w:rPr>
      </w:pPr>
    </w:p>
    <w:p>
      <w:pPr>
        <w:ind w:left="800" w:right="4280" w:hanging="694"/>
        <w:spacing w:after="0" w:line="225" w:lineRule="auto"/>
        <w:rPr>
          <w:sz w:val="20"/>
          <w:szCs w:val="20"/>
          <w:color w:val="auto"/>
        </w:rPr>
      </w:pPr>
      <w:r>
        <w:rPr>
          <w:rFonts w:ascii="Arial" w:cs="Arial" w:eastAsia="Arial" w:hAnsi="Arial"/>
          <w:sz w:val="16"/>
          <w:szCs w:val="16"/>
          <w:color w:val="auto"/>
        </w:rPr>
        <w:t>101.INS Inline XBRL Instance Document (the instance document does not appear in the interactive data files because the XBRL tags are embedded within the Inline XBRL document)</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101.SCH Inline 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101.CAL Inline XBRL Taxonomy Extension Calculation Linkbase Document</w:t>
      </w:r>
    </w:p>
    <w:p>
      <w:pPr>
        <w:spacing w:after="0" w:line="3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101.DEF Inline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80"/>
        <w:spacing w:after="0"/>
        <w:rPr>
          <w:sz w:val="20"/>
          <w:szCs w:val="20"/>
          <w:color w:val="auto"/>
        </w:rPr>
      </w:pPr>
      <w:r>
        <w:rPr>
          <w:rFonts w:ascii="Arial" w:cs="Arial" w:eastAsia="Arial" w:hAnsi="Arial"/>
          <w:sz w:val="16"/>
          <w:szCs w:val="16"/>
          <w:color w:val="auto"/>
        </w:rPr>
        <w:t>101.LAB Inline XBRL Taxonomy Extension Labels Linkbase Document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101.PRE Inline 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2400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2" w:lineRule="exact"/>
        <w:rPr>
          <w:sz w:val="20"/>
          <w:szCs w:val="20"/>
          <w:color w:val="auto"/>
        </w:rPr>
      </w:pPr>
    </w:p>
    <w:p>
      <w:pPr>
        <w:ind w:left="800" w:right="4080" w:hanging="542"/>
        <w:spacing w:after="0" w:line="232"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Cover Page Interactive Data File in Inline XBRL format (contained in Exhibit 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Filed</w:t>
      </w:r>
    </w:p>
    <w:p>
      <w:pPr>
        <w:jc w:val="center"/>
        <w:ind w:right="80"/>
        <w:spacing w:after="0"/>
        <w:rPr>
          <w:sz w:val="20"/>
          <w:szCs w:val="20"/>
          <w:color w:val="auto"/>
        </w:rPr>
      </w:pPr>
      <w:r>
        <w:rPr>
          <w:rFonts w:ascii="Arial" w:cs="Arial" w:eastAsia="Arial" w:hAnsi="Arial"/>
          <w:sz w:val="16"/>
          <w:szCs w:val="16"/>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-66040</wp:posOffset>
            </wp:positionH>
            <wp:positionV relativeFrom="paragraph">
              <wp:posOffset>10795</wp:posOffset>
            </wp:positionV>
            <wp:extent cx="5740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6"/>
          <w:szCs w:val="16"/>
          <w:color w:val="auto"/>
        </w:rPr>
        <w:t>x</w:t>
      </w:r>
    </w:p>
    <w:p>
      <w:pPr>
        <w:spacing w:after="0" w:line="474" w:lineRule="exact"/>
        <w:rPr>
          <w:sz w:val="20"/>
          <w:szCs w:val="20"/>
          <w:color w:val="auto"/>
        </w:rPr>
      </w:pPr>
    </w:p>
    <w:p>
      <w:pPr>
        <w:sectPr>
          <w:pgSz w:w="11900" w:h="16838" w:orient="portrait"/>
          <w:cols w:equalWidth="0" w:num="2">
            <w:col w:w="9760" w:space="680"/>
            <w:col w:w="760"/>
          </w:cols>
          <w:pgMar w:left="320" w:top="144" w:right="379" w:bottom="1440" w:gutter="0" w:footer="0" w:header="0"/>
        </w:sectPr>
      </w:pPr>
    </w:p>
    <w:p>
      <w:pPr>
        <w:spacing w:after="0"/>
        <w:rPr>
          <w:sz w:val="20"/>
          <w:szCs w:val="20"/>
          <w:color w:val="auto"/>
        </w:rPr>
      </w:pPr>
      <w:r>
        <w:rPr>
          <w:rFonts w:ascii="Arial" w:cs="Arial" w:eastAsia="Arial" w:hAnsi="Arial"/>
          <w:sz w:val="18"/>
          <w:szCs w:val="18"/>
          <w:color w:val="auto"/>
        </w:rPr>
        <w:t>_____________________________</w:t>
      </w:r>
    </w:p>
    <w:p>
      <w:pPr>
        <w:spacing w:after="0" w:line="117" w:lineRule="exact"/>
        <w:rPr>
          <w:sz w:val="20"/>
          <w:szCs w:val="20"/>
          <w:color w:val="auto"/>
        </w:rPr>
      </w:pPr>
    </w:p>
    <w:p>
      <w:pPr>
        <w:ind w:left="800" w:hanging="774"/>
        <w:spacing w:after="0" w:line="219"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8"/>
          <w:szCs w:val="18"/>
          <w:color w:val="auto"/>
        </w:rPr>
        <w:t>The certifications furnished in Exhibit 32.1 and Exhibit 32.2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EZCORP, INC.</w:t>
      </w:r>
    </w:p>
    <w:p>
      <w:pPr>
        <w:spacing w:after="0" w:line="293" w:lineRule="exact"/>
        <w:rPr>
          <w:sz w:val="20"/>
          <w:szCs w:val="20"/>
          <w:color w:val="auto"/>
        </w:rPr>
      </w:pPr>
    </w:p>
    <w:p>
      <w:pPr>
        <w:ind w:left="160"/>
        <w:spacing w:after="0"/>
        <w:tabs>
          <w:tab w:leader="none" w:pos="5940" w:val="left"/>
        </w:tabs>
        <w:rPr>
          <w:sz w:val="20"/>
          <w:szCs w:val="20"/>
          <w:color w:val="auto"/>
        </w:rPr>
      </w:pPr>
      <w:r>
        <w:rPr>
          <w:rFonts w:ascii="Arial" w:cs="Arial" w:eastAsia="Arial" w:hAnsi="Arial"/>
          <w:sz w:val="18"/>
          <w:szCs w:val="18"/>
          <w:color w:val="auto"/>
        </w:rPr>
        <w:t>Date: August 4, 2021</w:t>
      </w:r>
      <w:r>
        <w:rPr>
          <w:sz w:val="20"/>
          <w:szCs w:val="20"/>
          <w:color w:val="auto"/>
        </w:rPr>
        <w:tab/>
      </w:r>
      <w:r>
        <w:rPr>
          <w:rFonts w:ascii="Arial" w:cs="Arial" w:eastAsia="Arial" w:hAnsi="Arial"/>
          <w:sz w:val="17"/>
          <w:szCs w:val="17"/>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6350</wp:posOffset>
            </wp:positionV>
            <wp:extent cx="33343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334385" cy="8890"/>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8"/>
          <w:szCs w:val="18"/>
          <w:color w:val="auto"/>
        </w:rPr>
        <w:t>Jason A. Kulas,</w:t>
      </w:r>
    </w:p>
    <w:p>
      <w:pPr>
        <w:ind w:left="596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144" w:right="45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Jason A. Kulas, Chief Executive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Jason A. Kulas, certify that:</w:t>
      </w:r>
    </w:p>
    <w:p>
      <w:pPr>
        <w:spacing w:after="0" w:line="63"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 xml:space="preserve">/s/ </w:t>
      </w:r>
      <w:r>
        <w:rPr>
          <w:rFonts w:ascii="Arial" w:cs="Arial" w:eastAsia="Arial" w:hAnsi="Arial"/>
          <w:sz w:val="18"/>
          <w:szCs w:val="18"/>
          <w:color w:val="auto"/>
        </w:rPr>
        <w:t>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600450" cy="8255"/>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Jason A. Kulas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pursuant to Rule 13a-14(a) under the Securities Exchange Act of 1934,</w:t>
      </w:r>
    </w:p>
    <w:p>
      <w:pPr>
        <w:spacing w:after="0" w:line="63"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 Timothy K. Jugmans, certify that:</w:t>
      </w:r>
    </w:p>
    <w:p>
      <w:pPr>
        <w:spacing w:after="0" w:line="63"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EZCORP, Inc.;</w:t>
      </w:r>
    </w:p>
    <w:p>
      <w:pPr>
        <w:spacing w:after="0" w:line="63"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660" w:right="80" w:hanging="328"/>
        <w:spacing w:after="0" w:line="29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660" w:right="120" w:hanging="328"/>
        <w:spacing w:after="0" w:line="26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300" w:right="120" w:hanging="320"/>
        <w:spacing w:after="0" w:line="263" w:lineRule="auto"/>
        <w:tabs>
          <w:tab w:leader="none" w:pos="129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300" w:right="220" w:hanging="320"/>
        <w:spacing w:after="0" w:line="316"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660" w:hanging="328"/>
        <w:spacing w:after="0" w:line="29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00" w:right="460" w:hanging="320"/>
        <w:spacing w:after="0" w:line="316" w:lineRule="auto"/>
        <w:tabs>
          <w:tab w:leader="none" w:pos="129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00" w:lineRule="exact"/>
        <w:rPr>
          <w:sz w:val="20"/>
          <w:szCs w:val="20"/>
          <w:color w:val="auto"/>
        </w:rPr>
      </w:pPr>
    </w:p>
    <w:p>
      <w:pPr>
        <w:spacing w:after="0" w:line="29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2585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1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0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Jason A. Kulas, Chief Executive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undersigned officer of EZCORP, Inc. hereby certifies that (a) EZCORP’s Quarterly Report on Form 10-Q for the quarter ended June 30, 2021,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Jason A. Kulas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Jason A. Kulas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0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Timothy K. Jugmans, Chief Financial Officer,</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 to Section 906 of the Sarbanes-Oxley Act of 2002</w:t>
      </w:r>
    </w:p>
    <w:p>
      <w:pPr>
        <w:spacing w:after="0" w:line="200" w:lineRule="exact"/>
        <w:rPr>
          <w:sz w:val="20"/>
          <w:szCs w:val="20"/>
          <w:color w:val="auto"/>
        </w:rPr>
      </w:pPr>
    </w:p>
    <w:p>
      <w:pPr>
        <w:spacing w:after="0" w:line="272"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undersigned officer of EZCORP, Inc. hereby certifies that (a) EZCORP’s Quarterly Report on Form 10-Q for the quarter ended June 30, 2021,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00" w:lineRule="exact"/>
        <w:rPr>
          <w:sz w:val="20"/>
          <w:szCs w:val="20"/>
          <w:color w:val="auto"/>
        </w:rPr>
      </w:pPr>
    </w:p>
    <w:p>
      <w:pPr>
        <w:spacing w:after="0" w:line="29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Timothy K. Jugmans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14605</wp:posOffset>
            </wp:positionV>
            <wp:extent cx="36004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spacing w:after="0" w:line="1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Timothy K. Jugmans</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0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1)"/>
      <w:numFmt w:val="lowerLetter"/>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lowerLetter"/>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decimal"/>
      <w:start w:val="104"/>
    </w:lvl>
  </w:abstractNum>
  <w:abstractNum w:abstractNumId="18">
    <w:nsid w:val="62BBD95A"/>
    <w:multiLevelType w:val="hybridMultilevel"/>
    <w:lvl w:ilvl="0">
      <w:lvlJc w:val="left"/>
      <w:lvlText w:val="†"/>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jpeg"/><Relationship Id="rId40" Type="http://schemas.openxmlformats.org/officeDocument/2006/relationships/image" Target="media/image32.jpe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20" Type="http://schemas.openxmlformats.org/officeDocument/2006/relationships/hyperlink" Target="http://www.sec.gov/ix?doc=/Archives/edgar/data/876523/000087652320000059/ezpw-202009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2021-08-04T16:35:14Z</dcterms:created>
  <dcterms:modified xsi:type="dcterms:W3CDTF">2021-08-04T16:35:14Z</dcterms:modified>
</cp:coreProperties>
</file>