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18415</wp:posOffset>
            </wp:positionV>
            <wp:extent cx="6995795" cy="5803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80326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Swies Nicole</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2500 BEE CAVE RD, BLDG. 1, SUITE 200</w:t>
      </w:r>
    </w:p>
    <w:p>
      <w:pPr>
        <w:spacing w:after="0" w:line="34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2580" w:val="left"/>
        </w:tabs>
        <w:rPr>
          <w:sz w:val="20"/>
          <w:szCs w:val="20"/>
          <w:color w:val="auto"/>
        </w:rPr>
      </w:pPr>
      <w:r>
        <w:rPr>
          <w:rFonts w:ascii="Arial" w:cs="Arial" w:eastAsia="Arial" w:hAnsi="Arial"/>
          <w:sz w:val="16"/>
          <w:szCs w:val="16"/>
          <w:color w:val="0000FF"/>
        </w:rPr>
        <w:t>ROLLINGWOOD TX</w:t>
      </w:r>
      <w:r>
        <w:rPr>
          <w:sz w:val="20"/>
          <w:szCs w:val="20"/>
          <w:color w:val="auto"/>
        </w:rPr>
        <w:tab/>
      </w:r>
      <w:r>
        <w:rPr>
          <w:rFonts w:ascii="Arial" w:cs="Arial" w:eastAsia="Arial" w:hAnsi="Arial"/>
          <w:sz w:val="14"/>
          <w:szCs w:val="14"/>
          <w:color w:val="0000FF"/>
        </w:rPr>
        <w:t>78746</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gridSpan w:val="4"/>
          </w:tcPr>
          <w:p>
            <w:pPr>
              <w:ind w:left="8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EZCORP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EZPW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1240" w:type="dxa"/>
            <w:vAlign w:val="bottom"/>
            <w:gridSpan w:val="3"/>
          </w:tcPr>
          <w:p>
            <w:pPr>
              <w:ind w:left="80"/>
              <w:spacing w:after="0"/>
              <w:rPr>
                <w:sz w:val="20"/>
                <w:szCs w:val="20"/>
                <w:color w:val="auto"/>
              </w:rPr>
            </w:pPr>
            <w:r>
              <w:rPr>
                <w:rFonts w:ascii="Arial" w:cs="Arial" w:eastAsia="Arial" w:hAnsi="Arial"/>
                <w:sz w:val="16"/>
                <w:szCs w:val="16"/>
                <w:color w:val="0000FF"/>
              </w:rPr>
              <w:t>11/14/2023</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20"/>
              <w:spacing w:after="0"/>
              <w:rPr>
                <w:sz w:val="20"/>
                <w:szCs w:val="20"/>
                <w:color w:val="auto"/>
              </w:rPr>
            </w:pPr>
            <w:r>
              <w:rPr>
                <w:rFonts w:ascii="Arial" w:cs="Arial" w:eastAsia="Arial" w:hAnsi="Arial"/>
                <w:sz w:val="16"/>
                <w:szCs w:val="16"/>
                <w:color w:val="0000FF"/>
              </w:rPr>
              <w:t>Chief Revenue Officer</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00"/>
        <w:spacing w:after="0" w:line="27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w w:val="95"/>
              </w:rPr>
              <w:t>Class A Non-Voting Common Stock</w:t>
            </w:r>
          </w:p>
        </w:tc>
        <w:tc>
          <w:tcPr>
            <w:tcW w:w="1840" w:type="dxa"/>
            <w:vAlign w:val="bottom"/>
            <w:gridSpan w:val="3"/>
          </w:tcPr>
          <w:p>
            <w:pPr>
              <w:jc w:val="center"/>
              <w:ind w:left="694"/>
              <w:spacing w:after="0"/>
              <w:rPr>
                <w:sz w:val="20"/>
                <w:szCs w:val="20"/>
                <w:color w:val="auto"/>
              </w:rPr>
            </w:pPr>
            <w:r>
              <w:rPr>
                <w:rFonts w:ascii="Arial" w:cs="Arial" w:eastAsia="Arial" w:hAnsi="Arial"/>
                <w:sz w:val="16"/>
                <w:szCs w:val="16"/>
                <w:color w:val="0000FF"/>
                <w:w w:val="94"/>
              </w:rPr>
              <w:t>11/14/2023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6"/>
                <w:szCs w:val="16"/>
                <w:color w:val="0000FF"/>
              </w:rPr>
              <w:t>85,327</w:t>
            </w:r>
          </w:p>
        </w:tc>
        <w:tc>
          <w:tcPr>
            <w:tcW w:w="640" w:type="dxa"/>
            <w:vAlign w:val="bottom"/>
          </w:tcPr>
          <w:p>
            <w:pPr>
              <w:ind w:left="340"/>
              <w:spacing w:after="0"/>
              <w:rPr>
                <w:sz w:val="20"/>
                <w:szCs w:val="20"/>
                <w:color w:val="auto"/>
              </w:rPr>
            </w:pPr>
            <w:r>
              <w:rPr>
                <w:rFonts w:ascii="Arial" w:cs="Arial" w:eastAsia="Arial" w:hAnsi="Arial"/>
                <w:sz w:val="16"/>
                <w:szCs w:val="16"/>
                <w:color w:val="0000FF"/>
              </w:rPr>
              <w:t>A</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8.52</w:t>
            </w:r>
          </w:p>
        </w:tc>
        <w:tc>
          <w:tcPr>
            <w:tcW w:w="40" w:type="dxa"/>
            <w:vAlign w:val="bottom"/>
          </w:tcPr>
          <w:p>
            <w:pPr>
              <w:spacing w:after="0"/>
              <w:rPr>
                <w:sz w:val="21"/>
                <w:szCs w:val="21"/>
                <w:color w:val="auto"/>
              </w:rPr>
            </w:pPr>
          </w:p>
        </w:tc>
        <w:tc>
          <w:tcPr>
            <w:tcW w:w="1260" w:type="dxa"/>
            <w:vAlign w:val="bottom"/>
            <w:gridSpan w:val="3"/>
          </w:tcPr>
          <w:p>
            <w:pPr>
              <w:jc w:val="right"/>
              <w:ind w:right="302"/>
              <w:spacing w:after="0"/>
              <w:rPr>
                <w:sz w:val="20"/>
                <w:szCs w:val="20"/>
                <w:color w:val="auto"/>
              </w:rPr>
            </w:pPr>
            <w:r>
              <w:rPr>
                <w:rFonts w:ascii="Arial" w:cs="Arial" w:eastAsia="Arial" w:hAnsi="Arial"/>
                <w:sz w:val="16"/>
                <w:szCs w:val="16"/>
                <w:color w:val="0000FF"/>
              </w:rPr>
              <w:t>118,534</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w w:val="95"/>
              </w:rPr>
              <w:t>Class A Non-Voting Common Stock</w:t>
            </w:r>
          </w:p>
        </w:tc>
        <w:tc>
          <w:tcPr>
            <w:tcW w:w="1840" w:type="dxa"/>
            <w:vAlign w:val="bottom"/>
            <w:gridSpan w:val="3"/>
          </w:tcPr>
          <w:p>
            <w:pPr>
              <w:jc w:val="center"/>
              <w:ind w:left="694"/>
              <w:spacing w:after="0"/>
              <w:rPr>
                <w:sz w:val="20"/>
                <w:szCs w:val="20"/>
                <w:color w:val="auto"/>
              </w:rPr>
            </w:pPr>
            <w:r>
              <w:rPr>
                <w:rFonts w:ascii="Arial" w:cs="Arial" w:eastAsia="Arial" w:hAnsi="Arial"/>
                <w:sz w:val="16"/>
                <w:szCs w:val="16"/>
                <w:color w:val="0000FF"/>
                <w:w w:val="94"/>
              </w:rPr>
              <w:t>11/14/2023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F</w:t>
            </w:r>
          </w:p>
        </w:tc>
        <w:tc>
          <w:tcPr>
            <w:tcW w:w="700" w:type="dxa"/>
            <w:vAlign w:val="bottom"/>
          </w:tcPr>
          <w:p>
            <w:pPr>
              <w:jc w:val="right"/>
              <w:spacing w:after="0"/>
              <w:rPr>
                <w:sz w:val="20"/>
                <w:szCs w:val="20"/>
                <w:color w:val="auto"/>
              </w:rPr>
            </w:pPr>
            <w:r>
              <w:rPr>
                <w:rFonts w:ascii="Arial" w:cs="Arial" w:eastAsia="Arial" w:hAnsi="Arial"/>
                <w:sz w:val="16"/>
                <w:szCs w:val="16"/>
                <w:color w:val="0000FF"/>
              </w:rPr>
              <w:t>33,576</w:t>
            </w:r>
          </w:p>
        </w:tc>
        <w:tc>
          <w:tcPr>
            <w:tcW w:w="640" w:type="dxa"/>
            <w:vAlign w:val="bottom"/>
          </w:tcPr>
          <w:p>
            <w:pPr>
              <w:ind w:left="340"/>
              <w:spacing w:after="0"/>
              <w:rPr>
                <w:sz w:val="20"/>
                <w:szCs w:val="20"/>
                <w:color w:val="auto"/>
              </w:rPr>
            </w:pPr>
            <w:r>
              <w:rPr>
                <w:rFonts w:ascii="Arial" w:cs="Arial" w:eastAsia="Arial" w:hAnsi="Arial"/>
                <w:sz w:val="16"/>
                <w:szCs w:val="16"/>
                <w:color w:val="0000FF"/>
              </w:rPr>
              <w:t>D</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8.52</w:t>
            </w:r>
          </w:p>
        </w:tc>
        <w:tc>
          <w:tcPr>
            <w:tcW w:w="40" w:type="dxa"/>
            <w:vAlign w:val="bottom"/>
          </w:tcPr>
          <w:p>
            <w:pPr>
              <w:spacing w:after="0"/>
              <w:rPr>
                <w:sz w:val="21"/>
                <w:szCs w:val="21"/>
                <w:color w:val="auto"/>
              </w:rPr>
            </w:pPr>
          </w:p>
        </w:tc>
        <w:tc>
          <w:tcPr>
            <w:tcW w:w="1260" w:type="dxa"/>
            <w:vAlign w:val="bottom"/>
            <w:gridSpan w:val="3"/>
          </w:tcPr>
          <w:p>
            <w:pPr>
              <w:jc w:val="right"/>
              <w:ind w:right="342"/>
              <w:spacing w:after="0"/>
              <w:rPr>
                <w:sz w:val="20"/>
                <w:szCs w:val="20"/>
                <w:color w:val="auto"/>
              </w:rPr>
            </w:pPr>
            <w:r>
              <w:rPr>
                <w:rFonts w:ascii="Arial" w:cs="Arial" w:eastAsia="Arial" w:hAnsi="Arial"/>
                <w:sz w:val="16"/>
                <w:szCs w:val="16"/>
                <w:color w:val="0000FF"/>
              </w:rPr>
              <w:t>84,958</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18,054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11/14/2023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Arial" w:cs="Arial" w:eastAsia="Arial" w:hAnsi="Arial"/>
                <w:sz w:val="13"/>
                <w:szCs w:val="13"/>
                <w:color w:val="0000FF"/>
                <w:w w:val="91"/>
              </w:rPr>
              <w:t>A</w:t>
            </w:r>
          </w:p>
        </w:tc>
        <w:tc>
          <w:tcPr>
            <w:tcW w:w="520" w:type="dxa"/>
            <w:vAlign w:val="bottom"/>
          </w:tcPr>
          <w:p>
            <w:pPr>
              <w:ind w:left="100"/>
              <w:spacing w:after="0" w:line="140" w:lineRule="exact"/>
              <w:rPr>
                <w:sz w:val="20"/>
                <w:szCs w:val="20"/>
                <w:color w:val="auto"/>
              </w:rPr>
            </w:pPr>
            <w:r>
              <w:rPr>
                <w:rFonts w:ascii="Arial" w:cs="Arial" w:eastAsia="Arial" w:hAnsi="Arial"/>
                <w:sz w:val="13"/>
                <w:szCs w:val="13"/>
                <w:color w:val="0000FF"/>
              </w:rPr>
              <w:t>18,054</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193,070</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85,327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11/14/2023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Arial" w:cs="Arial" w:eastAsia="Arial" w:hAnsi="Arial"/>
                <w:sz w:val="13"/>
                <w:szCs w:val="13"/>
                <w:color w:val="0000FF"/>
              </w:rPr>
              <w:t>85,327</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107,743</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-2518410</wp:posOffset>
            </wp:positionV>
            <wp:extent cx="28575" cy="2523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52349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at the time of vesting.</w:t>
      </w:r>
    </w:p>
    <w:p>
      <w:pPr>
        <w:spacing w:after="0" w:line="40" w:lineRule="exact"/>
        <w:rPr>
          <w:rFonts w:ascii="Arial" w:cs="Arial" w:eastAsia="Arial" w:hAnsi="Arial"/>
          <w:sz w:val="13"/>
          <w:szCs w:val="13"/>
          <w:color w:val="008000"/>
        </w:rPr>
      </w:pPr>
    </w:p>
    <w:p>
      <w:pPr>
        <w:ind w:left="40" w:right="160"/>
        <w:spacing w:after="0" w:line="23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following "bonus" units: (1) 6,865 units attributable to the fiscal 2021 Restricted Stock Unit award earned with achievement of the specified performance goal for fiscal 2023 and vesting on September 30, 2023, subject to continued employment, plus (2) 7,041 units attributable to the fiscal 2022 Restricted Stock Unit award earned with achievement of the specified performance goal for fiscal 2023 and vesting on September 30, 2024, subject to continued employment, plus (3) 4,148 units attributable to the fiscal 2023 Restricted Stock Unit award earned with achievement of the specified performance goal for fiscal 2023 and vesting on September 30, 2025, subject to continued employment.</w:t>
      </w:r>
    </w:p>
    <w:p>
      <w:pPr>
        <w:sectPr>
          <w:pgSz w:w="11900" w:h="16838" w:orient="portrait"/>
          <w:cols w:equalWidth="0" w:num="1">
            <w:col w:w="11080"/>
          </w:cols>
          <w:pgMar w:left="460" w:top="220" w:right="35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3. The units vested on November 14, 2023 after specified performance goals were achieved.</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2"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Carrie Putnam,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635</wp:posOffset>
            </wp:positionV>
            <wp:extent cx="1309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17"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1300"/>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0000FF"/>
        </w:rPr>
        <w:t>11/16/2023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4" w:lineRule="exact"/>
        <w:rPr>
          <w:sz w:val="24"/>
          <w:szCs w:val="24"/>
          <w:color w:val="auto"/>
        </w:rPr>
      </w:pPr>
    </w:p>
    <w:p>
      <w:pPr>
        <w:sectPr>
          <w:pgSz w:w="11900" w:h="16838" w:orient="portrait"/>
          <w:cols w:equalWidth="0" w:num="2">
            <w:col w:w="8660" w:space="14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4292"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2023-11-16T15:06:00Z</dcterms:created>
  <dcterms:modified xsi:type="dcterms:W3CDTF">2023-11-16T15:06:00Z</dcterms:modified>
</cp:coreProperties>
</file>