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0001503225</w:t>
            </w: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835"/>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80" w:type="dxa"/>
            <w:vAlign w:val="bottom"/>
          </w:tcPr>
          <w:p>
            <w:pPr>
              <w:spacing w:after="0"/>
              <w:rPr>
                <w:sz w:val="24"/>
                <w:szCs w:val="24"/>
                <w:color w:val="auto"/>
              </w:rPr>
            </w:pPr>
          </w:p>
        </w:tc>
        <w:tc>
          <w:tcPr>
            <w:tcW w:w="322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EZCORP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80" w:type="dxa"/>
            <w:vAlign w:val="bottom"/>
          </w:tcPr>
          <w:p>
            <w:pPr>
              <w:spacing w:after="0"/>
              <w:rPr>
                <w:sz w:val="24"/>
                <w:szCs w:val="24"/>
                <w:color w:val="auto"/>
              </w:rPr>
            </w:pPr>
          </w:p>
        </w:tc>
        <w:tc>
          <w:tcPr>
            <w:tcW w:w="322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000-19424</w:t>
            </w:r>
          </w:p>
        </w:tc>
      </w:tr>
      <w:tr>
        <w:trPr>
          <w:trHeight w:val="258"/>
        </w:trPr>
        <w:tc>
          <w:tcPr>
            <w:tcW w:w="30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22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2500 Bee Cave Road</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22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Bldg One, Suite 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80" w:type="dxa"/>
            <w:vAlign w:val="bottom"/>
          </w:tcPr>
          <w:p>
            <w:pPr>
              <w:spacing w:after="0"/>
              <w:rPr>
                <w:sz w:val="21"/>
                <w:szCs w:val="21"/>
                <w:color w:val="auto"/>
              </w:rPr>
            </w:pPr>
          </w:p>
        </w:tc>
        <w:tc>
          <w:tcPr>
            <w:tcW w:w="322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Rollingwood</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22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22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78746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22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5123143400</w:t>
            </w:r>
          </w:p>
        </w:tc>
      </w:tr>
      <w:tr>
        <w:trPr>
          <w:trHeight w:val="297"/>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2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Pablo Lagos Espinosa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Non-voting</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Park Avenue - 10th</w:t>
            </w:r>
          </w:p>
        </w:tc>
        <w:tc>
          <w:tcPr>
            <w:tcW w:w="1300" w:type="dxa"/>
            <w:vAlign w:val="bottom"/>
            <w:vMerge w:val="restart"/>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20000</w:t>
            </w:r>
          </w:p>
        </w:tc>
        <w:tc>
          <w:tcPr>
            <w:tcW w:w="1140" w:type="dxa"/>
            <w:vAlign w:val="bottom"/>
            <w:vMerge w:val="restart"/>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502600</w:t>
            </w:r>
          </w:p>
        </w:tc>
        <w:tc>
          <w:tcPr>
            <w:tcW w:w="0" w:type="dxa"/>
            <w:vAlign w:val="bottom"/>
          </w:tcPr>
          <w:p>
            <w:pPr>
              <w:spacing w:after="0"/>
              <w:rPr>
                <w:sz w:val="1"/>
                <w:szCs w:val="1"/>
                <w:color w:val="auto"/>
              </w:rPr>
            </w:pPr>
          </w:p>
        </w:tc>
      </w:tr>
      <w:tr>
        <w:trPr>
          <w:trHeight w:val="121"/>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58727053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02/19/2026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4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6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Payment</w:t>
            </w:r>
          </w:p>
        </w:tc>
        <w:tc>
          <w:tcPr>
            <w:tcW w:w="134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Class A Non-</w:t>
            </w:r>
          </w:p>
        </w:tc>
        <w:tc>
          <w:tcPr>
            <w:tcW w:w="12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For Services</w:t>
            </w:r>
          </w:p>
        </w:tc>
        <w:tc>
          <w:tcPr>
            <w:tcW w:w="0" w:type="dxa"/>
            <w:vAlign w:val="bottom"/>
          </w:tcPr>
          <w:p>
            <w:pPr>
              <w:spacing w:after="0"/>
              <w:rPr>
                <w:sz w:val="1"/>
                <w:szCs w:val="1"/>
                <w:color w:val="auto"/>
              </w:rPr>
            </w:pPr>
          </w:p>
        </w:tc>
      </w:tr>
      <w:tr>
        <w:trPr>
          <w:trHeight w:val="121"/>
        </w:trPr>
        <w:tc>
          <w:tcPr>
            <w:tcW w:w="406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color w:val="auto"/>
              </w:rPr>
              <w:t>voting Common 09/30/2016 Compensation</w:t>
            </w:r>
          </w:p>
        </w:tc>
        <w:tc>
          <w:tcPr>
            <w:tcW w:w="15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4963</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09/30/2016</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060" w:type="dxa"/>
            <w:vAlign w:val="bottom"/>
            <w:gridSpan w:val="3"/>
            <w:vMerge w:val="continue"/>
          </w:tcPr>
          <w:p>
            <w:pPr>
              <w:spacing w:after="0"/>
              <w:rPr>
                <w:sz w:val="18"/>
                <w:szCs w:val="18"/>
                <w:color w:val="auto"/>
              </w:rPr>
            </w:pPr>
          </w:p>
        </w:tc>
        <w:tc>
          <w:tcPr>
            <w:tcW w:w="156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34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Rendered</w:t>
            </w:r>
          </w:p>
        </w:tc>
        <w:tc>
          <w:tcPr>
            <w:tcW w:w="0" w:type="dxa"/>
            <w:vAlign w:val="bottom"/>
          </w:tcPr>
          <w:p>
            <w:pPr>
              <w:spacing w:after="0"/>
              <w:rPr>
                <w:sz w:val="1"/>
                <w:szCs w:val="1"/>
                <w:color w:val="auto"/>
              </w:rPr>
            </w:pPr>
          </w:p>
        </w:tc>
      </w:tr>
      <w:tr>
        <w:trPr>
          <w:trHeight w:val="202"/>
        </w:trPr>
        <w:tc>
          <w:tcPr>
            <w:tcW w:w="1360" w:type="dxa"/>
            <w:vAlign w:val="bottom"/>
          </w:tcPr>
          <w:p>
            <w:pPr>
              <w:spacing w:after="0" w:line="202" w:lineRule="exact"/>
              <w:rPr>
                <w:sz w:val="20"/>
                <w:szCs w:val="20"/>
                <w:color w:val="auto"/>
              </w:rPr>
            </w:pPr>
            <w:r>
              <w:rPr>
                <w:rFonts w:ascii="Times New Roman" w:cs="Times New Roman" w:eastAsia="Times New Roman" w:hAnsi="Times New Roman"/>
                <w:sz w:val="22"/>
                <w:szCs w:val="22"/>
                <w:color w:val="auto"/>
              </w:rPr>
              <w:t>Stock</w:t>
            </w: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Non-</w:t>
            </w:r>
          </w:p>
        </w:tc>
        <w:tc>
          <w:tcPr>
            <w:tcW w:w="1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For Services</w:t>
            </w:r>
          </w:p>
        </w:tc>
        <w:tc>
          <w:tcPr>
            <w:tcW w:w="0" w:type="dxa"/>
            <w:vAlign w:val="bottom"/>
          </w:tcPr>
          <w:p>
            <w:pPr>
              <w:spacing w:after="0"/>
              <w:rPr>
                <w:sz w:val="1"/>
                <w:szCs w:val="1"/>
                <w:color w:val="auto"/>
              </w:rPr>
            </w:pPr>
          </w:p>
        </w:tc>
      </w:tr>
      <w:tr>
        <w:trPr>
          <w:trHeight w:val="122"/>
        </w:trPr>
        <w:tc>
          <w:tcPr>
            <w:tcW w:w="406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color w:val="auto"/>
              </w:rPr>
              <w:t>voting Common 03/12/2025 Compensation</w:t>
            </w:r>
          </w:p>
        </w:tc>
        <w:tc>
          <w:tcPr>
            <w:tcW w:w="15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15037</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03/12/2025</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060" w:type="dxa"/>
            <w:vAlign w:val="bottom"/>
            <w:gridSpan w:val="3"/>
            <w:vMerge w:val="continue"/>
          </w:tcPr>
          <w:p>
            <w:pPr>
              <w:spacing w:after="0"/>
              <w:rPr>
                <w:sz w:val="18"/>
                <w:szCs w:val="18"/>
                <w:color w:val="auto"/>
              </w:rPr>
            </w:pPr>
          </w:p>
        </w:tc>
        <w:tc>
          <w:tcPr>
            <w:tcW w:w="156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34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Rendered</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Stock</w:t>
            </w: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-864235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-367030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40" w:type="dxa"/>
            <w:vAlign w:val="bottom"/>
          </w:tcPr>
          <w:p>
            <w:pPr>
              <w:ind w:left="240"/>
              <w:spacing w:after="0"/>
              <w:rPr>
                <w:sz w:val="20"/>
                <w:szCs w:val="20"/>
                <w:color w:val="auto"/>
              </w:rPr>
            </w:pPr>
            <w:r>
              <w:rPr>
                <w:rFonts w:ascii="Times New Roman" w:cs="Times New Roman" w:eastAsia="Times New Roman" w:hAnsi="Times New Roman"/>
                <w:sz w:val="22"/>
                <w:szCs w:val="22"/>
                <w:color w:val="auto"/>
                <w:w w:val="97"/>
              </w:rPr>
              <w:t>The shares filed for today will be sold by the Lakeside Growth Enterprise LP, Pablo Lagos Espinosa as beneficial</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4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owner.</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4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02/19/2026</w:t>
            </w:r>
          </w:p>
        </w:tc>
        <w:tc>
          <w:tcPr>
            <w:tcW w:w="0" w:type="dxa"/>
            <w:vAlign w:val="bottom"/>
          </w:tcPr>
          <w:p>
            <w:pPr>
              <w:spacing w:after="0"/>
              <w:rPr>
                <w:sz w:val="1"/>
                <w:szCs w:val="1"/>
                <w:color w:val="auto"/>
              </w:rPr>
            </w:pPr>
          </w:p>
        </w:tc>
      </w:tr>
      <w:tr>
        <w:trPr>
          <w:trHeight w:val="161"/>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20" w:type="dxa"/>
            <w:vAlign w:val="bottom"/>
            <w:vMerge w:val="continue"/>
          </w:tcPr>
          <w:p>
            <w:pPr>
              <w:spacing w:after="0"/>
              <w:rPr>
                <w:sz w:val="10"/>
                <w:szCs w:val="10"/>
                <w:color w:val="auto"/>
              </w:rPr>
            </w:pPr>
          </w:p>
        </w:tc>
        <w:tc>
          <w:tcPr>
            <w:tcW w:w="10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J.P. Morgan Securities LLC as agent and attorney-in-fact for Pablo Lagos Espinosa</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2026-02-19T17:02:39Z</dcterms:created>
  <dcterms:modified xsi:type="dcterms:W3CDTF">2026-02-19T17:02:39Z</dcterms:modified>
</cp:coreProperties>
</file>