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99"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9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3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30, 2019 (January 30, 2019)</w:t>
      </w:r>
    </w:p>
    <w:p>
      <w:pPr>
        <w:spacing w:after="0" w:line="7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1860" w:type="dxa"/>
            <w:vAlign w:val="bottom"/>
          </w:tcPr>
          <w:p>
            <w:pPr>
              <w:jc w:val="center"/>
              <w:ind w:right="1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8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40" w:type="dxa"/>
            <w:vAlign w:val="bottom"/>
          </w:tcPr>
          <w:p>
            <w:pPr>
              <w:jc w:val="center"/>
              <w:ind w:left="242"/>
              <w:spacing w:after="0"/>
              <w:rPr>
                <w:sz w:val="20"/>
                <w:szCs w:val="20"/>
                <w:color w:val="auto"/>
              </w:rPr>
            </w:pPr>
            <w:r>
              <w:rPr>
                <w:rFonts w:ascii="Times New Roman" w:cs="Times New Roman" w:eastAsia="Times New Roman" w:hAnsi="Times New Roman"/>
                <w:sz w:val="18"/>
                <w:szCs w:val="18"/>
                <w:b w:val="1"/>
                <w:bCs w:val="1"/>
                <w:color w:val="auto"/>
              </w:rPr>
              <w:t>74-2540145</w:t>
            </w:r>
          </w:p>
        </w:tc>
      </w:tr>
      <w:tr>
        <w:trPr>
          <w:trHeight w:val="178"/>
        </w:trPr>
        <w:tc>
          <w:tcPr>
            <w:tcW w:w="18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44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78"/>
        </w:trPr>
        <w:tc>
          <w:tcPr>
            <w:tcW w:w="18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4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4"/>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40" w:type="dxa"/>
            <w:vAlign w:val="bottom"/>
          </w:tcPr>
          <w:p>
            <w:pPr>
              <w:spacing w:after="0"/>
              <w:rPr>
                <w:sz w:val="18"/>
                <w:szCs w:val="18"/>
                <w:color w:val="auto"/>
              </w:rPr>
            </w:pPr>
          </w:p>
        </w:tc>
      </w:tr>
      <w:tr>
        <w:trPr>
          <w:trHeight w:val="190"/>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40" w:type="dxa"/>
            <w:vAlign w:val="bottom"/>
          </w:tcPr>
          <w:p>
            <w:pPr>
              <w:spacing w:after="0"/>
              <w:rPr>
                <w:sz w:val="16"/>
                <w:szCs w:val="16"/>
                <w:color w:val="auto"/>
              </w:rPr>
            </w:pPr>
          </w:p>
        </w:tc>
      </w:tr>
      <w:tr>
        <w:trPr>
          <w:trHeight w:val="375"/>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w:t>
            </w:r>
          </w:p>
        </w:tc>
        <w:tc>
          <w:tcPr>
            <w:tcW w:w="1440" w:type="dxa"/>
            <w:vAlign w:val="bottom"/>
          </w:tcPr>
          <w:p>
            <w:pPr>
              <w:spacing w:after="0"/>
              <w:rPr>
                <w:sz w:val="24"/>
                <w:szCs w:val="24"/>
                <w:color w:val="auto"/>
              </w:rPr>
            </w:pPr>
          </w:p>
        </w:tc>
      </w:tr>
    </w:tbl>
    <w:p>
      <w:pPr>
        <w:spacing w:after="0" w:line="346"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0" w:lineRule="exact"/>
        <w:rPr>
          <w:sz w:val="24"/>
          <w:szCs w:val="24"/>
          <w:color w:val="auto"/>
        </w:rPr>
      </w:pPr>
    </w:p>
    <w:p>
      <w:pPr>
        <w:ind w:left="620" w:hanging="585"/>
        <w:spacing w:after="0"/>
        <w:tabs>
          <w:tab w:leader="none" w:pos="620" w:val="left"/>
        </w:tabs>
        <w:numPr>
          <w:ilvl w:val="0"/>
          <w:numId w:val="1"/>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Times New Roman" w:cs="Times New Roman" w:eastAsia="Times New Roman" w:hAnsi="Times New Roman"/>
          <w:sz w:val="29"/>
          <w:szCs w:val="29"/>
          <w:color w:val="auto"/>
          <w:vertAlign w:val="subscript"/>
        </w:rPr>
      </w:pPr>
    </w:p>
    <w:p>
      <w:pPr>
        <w:ind w:left="620" w:hanging="585"/>
        <w:spacing w:after="0"/>
        <w:tabs>
          <w:tab w:leader="none" w:pos="6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Times New Roman" w:cs="Times New Roman" w:eastAsia="Times New Roman" w:hAnsi="Times New Roman"/>
          <w:sz w:val="16"/>
          <w:szCs w:val="16"/>
          <w:color w:val="auto"/>
        </w:rPr>
      </w:pPr>
    </w:p>
    <w:p>
      <w:pPr>
        <w:ind w:left="620" w:hanging="585"/>
        <w:spacing w:after="0"/>
        <w:tabs>
          <w:tab w:leader="none" w:pos="6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Times New Roman" w:cs="Times New Roman" w:eastAsia="Times New Roman" w:hAnsi="Times New Roman"/>
          <w:sz w:val="16"/>
          <w:szCs w:val="16"/>
          <w:color w:val="auto"/>
        </w:rPr>
      </w:pPr>
    </w:p>
    <w:p>
      <w:pPr>
        <w:ind w:left="620" w:hanging="585"/>
        <w:spacing w:after="0"/>
        <w:tabs>
          <w:tab w:leader="none" w:pos="6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ind w:left="886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Times New Roman" w:cs="Times New Roman" w:eastAsia="Times New Roman" w:hAnsi="Times New Roman"/>
          <w:sz w:val="16"/>
          <w:szCs w:val="16"/>
          <w:color w:val="auto"/>
        </w:rPr>
        <w:t>o</w:t>
      </w:r>
    </w:p>
    <w:p>
      <w:pPr>
        <w:spacing w:after="0" w:line="36"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727"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January 30, 2019, EZCORP, Inc. issued a press release announcing its results of operations and financial condition for the quarter ended December 31, 2018. A copy of that press release is attached as Exhibit 99.1.</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the financial information prepared in conformity with generally accepted accounting principles in the United States of America ("GAAP"), we provide certain other non-GAAP financial information on a constant currency basis ("constant currency") and adjusted basis. We use constant currency results to evaluate our Latin America Pawn operations, which are denominated primarily in Mexican pesos and other Latin American currencies.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believe that presentation of adjusted results, including adjustments for non-cash interest income and expenses, discrete equity method investment charges, start up and acquisition related costs, reserves related to a refiner, tax effects, and other, are meaningful and useful in understanding the activities and business metrics of our operations exclusive of certain non-core operating variances and other infrequent charges.</w:t>
      </w:r>
    </w:p>
    <w:p>
      <w:pPr>
        <w:spacing w:after="0" w:line="13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provide non-GAAP financial information for informational purposes and to enhance understanding of our GAAP consolidated financial statements.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 copy of the presentation materials that management will review during the Company’s first quarter 2019 earnings conference call (to be held on January 31, 2019) will be posted in the Investor Relations section of the Company’s website at </w:t>
      </w:r>
      <w:r>
        <w:rPr>
          <w:rFonts w:ascii="Times New Roman" w:cs="Times New Roman" w:eastAsia="Times New Roman" w:hAnsi="Times New Roman"/>
          <w:sz w:val="18"/>
          <w:szCs w:val="18"/>
          <w:u w:val="single" w:color="auto"/>
          <w:color w:val="0000FF"/>
        </w:rPr>
        <w:t>www.ezcorp.com</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98" w:lineRule="exact"/>
        <w:rPr>
          <w:sz w:val="20"/>
          <w:szCs w:val="20"/>
          <w:color w:val="auto"/>
        </w:rPr>
      </w:pPr>
    </w:p>
    <w:p>
      <w:pPr>
        <w:ind w:left="1120" w:right="660" w:hanging="562"/>
        <w:spacing w:after="0" w:line="282" w:lineRule="auto"/>
        <w:tabs>
          <w:tab w:leader="none" w:pos="1100" w:val="left"/>
        </w:tabs>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99.1</w:t>
        </w:r>
      </w:hyperlink>
      <w:r>
        <w:rPr>
          <w:rFonts w:ascii="Times New Roman" w:cs="Times New Roman" w:eastAsia="Times New Roman" w:hAnsi="Times New Roman"/>
          <w:sz w:val="18"/>
          <w:szCs w:val="18"/>
          <w:u w:val="single" w:color="auto"/>
          <w:color w:val="0000FF"/>
        </w:rPr>
        <w:tab/>
      </w:r>
      <w:hyperlink w:anchor="page4">
        <w:r>
          <w:rPr>
            <w:rFonts w:ascii="Times New Roman" w:cs="Times New Roman" w:eastAsia="Times New Roman" w:hAnsi="Times New Roman"/>
            <w:sz w:val="18"/>
            <w:szCs w:val="18"/>
            <w:u w:val="single" w:color="auto"/>
            <w:color w:val="0000FF"/>
          </w:rPr>
          <w:t>Press Release, dated January 30, 2019, announcing EZCORP, Inc.’s results of operations and financial condition for the quarter ended</w:t>
        </w:r>
      </w:hyperlink>
      <w:r>
        <w:rPr>
          <w:rFonts w:ascii="Times New Roman" w:cs="Times New Roman" w:eastAsia="Times New Roman" w:hAnsi="Times New Roman"/>
          <w:sz w:val="18"/>
          <w:szCs w:val="18"/>
          <w:u w:val="single" w:color="auto"/>
          <w:color w:val="0000FF"/>
        </w:rPr>
        <w:t xml:space="preserve"> </w:t>
      </w:r>
      <w:hyperlink w:anchor="page4">
        <w:r>
          <w:rPr>
            <w:rFonts w:ascii="Times New Roman" w:cs="Times New Roman" w:eastAsia="Times New Roman" w:hAnsi="Times New Roman"/>
            <w:sz w:val="18"/>
            <w:szCs w:val="18"/>
            <w:u w:val="single" w:color="auto"/>
            <w:color w:val="0000FF"/>
          </w:rPr>
          <w:t>December 31, 2018.</w:t>
        </w:r>
      </w:hyperlink>
    </w:p>
    <w:p>
      <w:pPr>
        <w:sectPr>
          <w:pgSz w:w="11900" w:h="16838" w:orient="portrait"/>
          <w:cols w:equalWidth="0" w:num="1">
            <w:col w:w="11400"/>
          </w:cols>
          <w:pgMar w:left="240" w:top="738" w:right="25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Times New Roman" w:cs="Times New Roman" w:eastAsia="Times New Roman" w:hAnsi="Times New Roman"/>
          <w:sz w:val="18"/>
          <w:szCs w:val="18"/>
          <w:color w:val="auto"/>
        </w:rPr>
        <w:t>Date:</w:t>
        <w:tab/>
        <w:t>January 30,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34290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David McGuire</w:t>
      </w:r>
    </w:p>
    <w:p>
      <w:pPr>
        <w:spacing w:after="0" w:line="6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Deputy Chief Financial Officer and Chief Accounting</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220"/>
          </w:cols>
          <w:pgMar w:left="240" w:top="738" w:right="439" w:bottom="1440" w:gutter="0" w:footer="0" w:header="0"/>
        </w:sectPr>
      </w:pPr>
    </w:p>
    <w:bookmarkStart w:id="3" w:name="page4"/>
    <w:bookmarkEnd w:id="3"/>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EZCORP Reports First Quarter Fiscal Year 2019 Results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Austin, Texas (January 30, 2019) — </w:t>
      </w:r>
      <w:r>
        <w:rPr>
          <w:rFonts w:ascii="Times New Roman" w:cs="Times New Roman" w:eastAsia="Times New Roman" w:hAnsi="Times New Roman"/>
          <w:sz w:val="18"/>
          <w:szCs w:val="18"/>
          <w:color w:val="auto"/>
        </w:rPr>
        <w:t>EZCORP, Inc. (NASDAQ: EZPW) today announced results for its first quarter ended December 31, 2018.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All amounts in this release are from EZCORP continuing operations and in conformity with U.S. generally accepted accounting principles ("GAAP") unless otherwise noted.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Comparisons shown in this release are to the same period in the prior year unless otherwise noted.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FOR FIRST QUARTER OF FISCAL 2019</w:t>
      </w:r>
    </w:p>
    <w:p>
      <w:pPr>
        <w:spacing w:after="0" w:line="17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Exceptional pawn operating performance:</w:t>
      </w:r>
    </w:p>
    <w:p>
      <w:pPr>
        <w:spacing w:after="0" w:line="171" w:lineRule="exact"/>
        <w:rPr>
          <w:rFonts w:ascii="Times New Roman" w:cs="Times New Roman" w:eastAsia="Times New Roman" w:hAnsi="Times New Roman"/>
          <w:sz w:val="18"/>
          <w:szCs w:val="18"/>
          <w:color w:val="auto"/>
        </w:rPr>
      </w:pPr>
    </w:p>
    <w:p>
      <w:pPr>
        <w:ind w:left="1300" w:right="50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Strong growth in pawn loans outstanding (PLO), pawn service charges (PSC) and revenue in Latin America and U.S. pawn segments contributed to exceptional pawn operating performance during the quarter.</w:t>
      </w:r>
    </w:p>
    <w:p>
      <w:pPr>
        <w:spacing w:after="0" w:line="10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PLO, the most influential driver of revenue and profitability, expanded 10% to $194.0 million, and PSC rose 10% to $83.7 million.</w:t>
      </w:r>
    </w:p>
    <w:p>
      <w:pPr>
        <w:spacing w:after="0" w:line="17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 Pawn segment same store PLO rose 7% to $155.0 million, and same store PSC increased 8% to $59.7 million.</w:t>
      </w:r>
    </w:p>
    <w:p>
      <w:pPr>
        <w:spacing w:after="0" w:line="171" w:lineRule="exact"/>
        <w:rPr>
          <w:rFonts w:ascii="Times New Roman" w:cs="Times New Roman" w:eastAsia="Times New Roman" w:hAnsi="Times New Roman"/>
          <w:sz w:val="18"/>
          <w:szCs w:val="18"/>
          <w:color w:val="auto"/>
        </w:rPr>
      </w:pPr>
    </w:p>
    <w:p>
      <w:pPr>
        <w:ind w:left="1300" w:right="540" w:hanging="324"/>
        <w:spacing w:after="0" w:line="21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Latin America Pawn total PLO grew 26% to $39.0 million (up 27% to $39.5 million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 Same store PLO increased 10% (11% higher on a constant currency basis).</w:t>
      </w:r>
    </w:p>
    <w:p>
      <w:pPr>
        <w:spacing w:after="0" w:line="91" w:lineRule="exact"/>
        <w:rPr>
          <w:rFonts w:ascii="Times New Roman" w:cs="Times New Roman" w:eastAsia="Times New Roman" w:hAnsi="Times New Roman"/>
          <w:sz w:val="18"/>
          <w:szCs w:val="18"/>
          <w:color w:val="auto"/>
        </w:rPr>
      </w:pPr>
    </w:p>
    <w:p>
      <w:pPr>
        <w:ind w:left="660" w:hanging="328"/>
        <w:spacing w:after="0" w:line="22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of $20.6 million, as well as discretionary growth investments and other discrete costs, contributed to a loss before tax of $5.6 million, or ($0.07) per share. Excluding those items, adjusted</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 xml:space="preserve"> income before tax was $22.5 million and adjusted diluted earnings per share improved 15% to $0.31.</w:t>
      </w:r>
    </w:p>
    <w:p>
      <w:pPr>
        <w:spacing w:after="0" w:line="89"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continued investing to sustain strong competitive advantages, including pawn store openings and acquisitions; the development of a new customer-centric digital platform; predictive product and customer analytics; and upgrades to its point of sale and other systems.</w:t>
      </w:r>
    </w:p>
    <w:p>
      <w:pPr>
        <w:spacing w:after="0" w:line="215"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rose 162% to $297.0 million. The improved liquidity was driven by $167.0 million of net proceeds from a convertible debt issuance in May 2018. Strong operating cash flow in the quarter increased 18% to $22.8 million, and the company collected another $7.3 million of principal under the Alpha Credit / Grupo Finmart notes receivable.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COMMENTARY AND OUTLOOK</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Chief Executive Officer Stuart Grimshaw commented, "We continue to deliver exceptional pawn operating performance leading to market share gains in the quarter. We maintained our intense focus on outstanding customer service and meeting our customers' need for cash.</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strong balance sheet and free cash flow generation enhances our ability to invest in initiatives that sustain our strong competitive advantages, leveraging our best-in-industry customer insights. Investments include: opening and acquiring more pawn stores; developing a digital platform that will provide transaction and lending services connected to a ledger of physical assets; and upgrading our POS2 that encompasses predictive product and customer analytics. These investments will build on our core pawn businesses and further differentiate us through data-driven, physical and digital customer engagement. We continually assess opportunities to better serve our customers and attract new ones. Identifying and acting on the best opportunities will allow us to further drive long-term shareholder value."</w:t>
      </w:r>
    </w:p>
    <w:p>
      <w:pPr>
        <w:sectPr>
          <w:pgSz w:w="11900" w:h="16838" w:orient="portrait"/>
          <w:cols w:equalWidth="0" w:num="1">
            <w:col w:w="11400"/>
          </w:cols>
          <w:pgMar w:left="240" w:top="1440"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12"/>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6"/>
        </w:trPr>
        <w:tc>
          <w:tcPr>
            <w:tcW w:w="6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05"/>
        </w:trPr>
        <w:tc>
          <w:tcPr>
            <w:tcW w:w="6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6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Adjusted</w:t>
            </w:r>
            <w:r>
              <w:rPr>
                <w:rFonts w:ascii="Times New Roman" w:cs="Times New Roman" w:eastAsia="Times New Roman" w:hAnsi="Times New Roman"/>
                <w:sz w:val="25"/>
                <w:szCs w:val="25"/>
                <w:b w:val="1"/>
                <w:bCs w:val="1"/>
                <w:color w:val="auto"/>
                <w:vertAlign w:val="superscript"/>
              </w:rPr>
              <w:t>2</w:t>
            </w:r>
          </w:p>
        </w:tc>
        <w:tc>
          <w:tcPr>
            <w:tcW w:w="780" w:type="dxa"/>
            <w:vAlign w:val="bottom"/>
          </w:tcPr>
          <w:p>
            <w:pPr>
              <w:spacing w:after="0"/>
              <w:rPr>
                <w:sz w:val="24"/>
                <w:szCs w:val="24"/>
                <w:color w:val="auto"/>
              </w:rPr>
            </w:pPr>
          </w:p>
        </w:tc>
      </w:tr>
      <w:tr>
        <w:trPr>
          <w:trHeight w:val="237"/>
        </w:trPr>
        <w:tc>
          <w:tcPr>
            <w:tcW w:w="6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358"/>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215,850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204,508</w:t>
            </w:r>
          </w:p>
        </w:tc>
        <w:tc>
          <w:tcPr>
            <w:tcW w:w="4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218,100</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204,508</w:t>
            </w:r>
          </w:p>
        </w:tc>
      </w:tr>
      <w:tr>
        <w:trPr>
          <w:trHeight w:val="270"/>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 Before Tax</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19,792</w:t>
            </w:r>
          </w:p>
        </w:tc>
        <w:tc>
          <w:tcPr>
            <w:tcW w:w="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22,475</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21,342</w:t>
            </w:r>
          </w:p>
        </w:tc>
      </w:tr>
      <w:tr>
        <w:trPr>
          <w:trHeight w:val="270"/>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12,355</w:t>
            </w:r>
          </w:p>
        </w:tc>
        <w:tc>
          <w:tcPr>
            <w:tcW w:w="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16,669</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14,697</w:t>
            </w:r>
          </w:p>
        </w:tc>
      </w:tr>
      <w:tr>
        <w:trPr>
          <w:trHeight w:val="270"/>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0.23</w:t>
            </w:r>
          </w:p>
        </w:tc>
        <w:tc>
          <w:tcPr>
            <w:tcW w:w="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0.27</w:t>
            </w:r>
          </w:p>
        </w:tc>
      </w:tr>
      <w:tr>
        <w:trPr>
          <w:trHeight w:val="368"/>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5"/>
                <w:szCs w:val="25"/>
                <w:color w:val="auto"/>
                <w:vertAlign w:val="superscript"/>
              </w:rPr>
              <w:t>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6,730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27,092</w:t>
            </w:r>
          </w:p>
        </w:tc>
        <w:tc>
          <w:tcPr>
            <w:tcW w:w="4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30,617</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27,490</w:t>
            </w:r>
          </w:p>
        </w:tc>
      </w:tr>
    </w:tbl>
    <w:p>
      <w:pPr>
        <w:spacing w:after="0" w:line="72" w:lineRule="exact"/>
        <w:rPr>
          <w:sz w:val="20"/>
          <w:szCs w:val="20"/>
          <w:color w:val="auto"/>
        </w:rPr>
      </w:pPr>
    </w:p>
    <w:p>
      <w:pPr>
        <w:ind w:left="660" w:right="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before tax of $5.6 million, or ($0.07) per share, includes $20.6 million in non-cash charges, as well as discretionary growth investments and other discrete costs. Excluding those items, adjusted diluted earnings per share improved 15% to $0.31.</w:t>
      </w:r>
    </w:p>
    <w:p>
      <w:pPr>
        <w:spacing w:after="0" w:line="107"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strong 10% increase in average PLO drove an equivalent 10% improvement in PSC and 6% higher net revenues to $130.2 million (up 7% to $131.5 million on a constant currency basis). Consolidated merchandise sales gross profit grew 4% to $43.9 million on a 7% rise in merchandise sales. On a constant currency basis, PSC expanded 11% and merchandise sales gross profit improved 4%.</w:t>
      </w:r>
    </w:p>
    <w:p>
      <w:pPr>
        <w:spacing w:after="0" w:line="122" w:lineRule="exact"/>
        <w:rPr>
          <w:rFonts w:ascii="Times New Roman" w:cs="Times New Roman" w:eastAsia="Times New Roman" w:hAnsi="Times New Roman"/>
          <w:sz w:val="18"/>
          <w:szCs w:val="18"/>
          <w:color w:val="auto"/>
        </w:rPr>
      </w:pPr>
    </w:p>
    <w:p>
      <w:pPr>
        <w:ind w:left="660" w:right="180" w:hanging="247"/>
        <w:spacing w:after="0" w:line="26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expenses rose 7% to $89.5 million (up 8% to $90.4 million on a constant currency basis) primarily from the inclusion of recently acquired and new stores. The Company expects expanded operating leverage as acquired stores are further integrated and recent new stores mature and build scale.</w:t>
      </w:r>
    </w:p>
    <w:p>
      <w:pPr>
        <w:spacing w:after="0" w:line="122"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expense increased 16% to $15.5 million principally as a result of a $2.1 million discretionary strategic investment in the development of a customer-centric digital platform that is not capitalizable in its early stages of build-out.</w:t>
      </w:r>
    </w:p>
    <w:p>
      <w:pPr>
        <w:spacing w:after="0" w:line="107" w:lineRule="exact"/>
        <w:rPr>
          <w:rFonts w:ascii="Times New Roman" w:cs="Times New Roman" w:eastAsia="Times New Roman" w:hAnsi="Times New Roman"/>
          <w:sz w:val="18"/>
          <w:szCs w:val="18"/>
          <w:color w:val="auto"/>
        </w:rPr>
      </w:pPr>
    </w:p>
    <w:p>
      <w:pPr>
        <w:ind w:left="660" w:right="140" w:hanging="247"/>
        <w:spacing w:after="0" w:line="26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global pawn businesses (consisting of U.S. Pawn and Latin America Pawn) generated consolidated segment contribution of $33.6 million, down 9% from the prior year. On an adjusted basis, consolidated global pawn segment contribution increased 6%, or $2.3 million, to $39.0 million.</w:t>
      </w:r>
    </w:p>
    <w:p>
      <w:pPr>
        <w:spacing w:after="0" w:line="122" w:lineRule="exact"/>
        <w:rPr>
          <w:rFonts w:ascii="Times New Roman" w:cs="Times New Roman" w:eastAsia="Times New Roman" w:hAnsi="Times New Roman"/>
          <w:sz w:val="18"/>
          <w:szCs w:val="18"/>
          <w:color w:val="auto"/>
        </w:rPr>
      </w:pPr>
    </w:p>
    <w:p>
      <w:pPr>
        <w:ind w:left="660" w:right="20" w:hanging="247"/>
        <w:spacing w:after="0" w:line="261"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totaled $20.6 million, consisting of a $13.3 million impairment to the carrying value of our investment in Cash Converters International Limited, an unconsolidated affiliate; $2.9 million attributable to our equity interest in Cash Converter's recognition of its settlement of a class action lawsuit; and $4.4 million to fully reserve our exposure to Republic Metals Corporation, our primary gold scrap refiner, which declared Chapter 11 bankruptcy in November 2018.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Pawn</w:t>
      </w:r>
    </w:p>
    <w:p>
      <w:pPr>
        <w:spacing w:after="0" w:line="171" w:lineRule="exact"/>
        <w:rPr>
          <w:sz w:val="20"/>
          <w:szCs w:val="20"/>
          <w:color w:val="auto"/>
        </w:rPr>
      </w:pPr>
    </w:p>
    <w:p>
      <w:pPr>
        <w:ind w:left="660" w:right="200" w:hanging="328"/>
        <w:spacing w:after="0" w:line="266" w:lineRule="auto"/>
        <w:tabs>
          <w:tab w:leader="none" w:pos="6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U.S. Pawn segment same store PLO rose 7% and same store PSC grew 8%. The segment delivered ending PLO per store of $305,000, up 7%. This was driven by disciplined lending practices, a focus on meeting customers' need for cash and stronger performance from stores affected by hurricanes in the prior-year quarter.</w:t>
      </w:r>
    </w:p>
    <w:p>
      <w:pPr>
        <w:spacing w:after="0" w:line="122"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store sales improved 5% and merchandise margins remained strong at 38%.</w:t>
      </w:r>
    </w:p>
    <w:p>
      <w:pPr>
        <w:spacing w:after="0" w:line="17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Pawn's segment revenue rose 4% to $166.0 million and the segment contribution decreased 1% to $27.4 million due to the $2.9 million non-cash charge to fully reserve a receivable from Republic Metals Corporation. Adjusted segment contribution, excluding the non-cash charge, increased 8% to $30.2 million.</w:t>
      </w:r>
    </w:p>
    <w:p>
      <w:pPr>
        <w:sectPr>
          <w:pgSz w:w="11900" w:h="16838" w:orient="portrait"/>
          <w:cols w:equalWidth="0" w:num="1">
            <w:col w:w="11420"/>
          </w:cols>
          <w:pgMar w:left="240" w:top="738"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Latin America Pawn</w:t>
      </w:r>
    </w:p>
    <w:p>
      <w:pPr>
        <w:spacing w:after="0" w:line="171"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Pawn's PLO grew 26% to $39.0 million (up 27% to $39.5 million on a constant currency basis). Same store PLO increased 10% (11% on a constant currency basis). The segment delivered ending PLO per store of $84,000, up 4%.</w:t>
      </w:r>
    </w:p>
    <w:p>
      <w:pPr>
        <w:spacing w:after="0" w:line="5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added nine stores in the quarter ended December 31, 2018, consisting of four new stores and five acquired. Pawn store count in Latin America has expanded 88% in the last 15 months to a total of 462 stores, with 201 acquired and 16 opened.</w:t>
      </w:r>
    </w:p>
    <w:p>
      <w:pPr>
        <w:spacing w:after="0" w:line="215"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stores offer significant opportunity for higher revenue and profit by increasing focus on general merchandise pawn loan and retail activities and implementing EZCORP's proven systems and operating practices. The company continues to see a robust pipeline of acquisition opportunities.</w:t>
      </w:r>
    </w:p>
    <w:p>
      <w:pPr>
        <w:spacing w:after="0" w:line="12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expanded 15% to $27.6 million (up 20% to $28.8 million on a constant currency basis). PSC jumped 16% to $19.4 million (increasing 22% to $20.3 million on a constant currency basis).</w:t>
      </w:r>
    </w:p>
    <w:p>
      <w:pPr>
        <w:spacing w:after="0" w:line="107" w:lineRule="exact"/>
        <w:rPr>
          <w:rFonts w:ascii="Times New Roman" w:cs="Times New Roman" w:eastAsia="Times New Roman" w:hAnsi="Times New Roman"/>
          <w:sz w:val="18"/>
          <w:szCs w:val="18"/>
          <w:color w:val="auto"/>
        </w:rPr>
      </w:pPr>
    </w:p>
    <w:p>
      <w:pPr>
        <w:ind w:left="660" w:right="720" w:hanging="328"/>
        <w:spacing w:after="0" w:line="313"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Operations expense increased 28% to $18.8 million primarily from recently acquired and new stores and discretionary growth investments. Operating leverage is expected to increase as acquired stores are further integrated and recent new stores mature and build scale.</w:t>
      </w:r>
    </w:p>
    <w:p>
      <w:pPr>
        <w:spacing w:after="0" w:line="84" w:lineRule="exact"/>
        <w:rPr>
          <w:rFonts w:ascii="Times New Roman" w:cs="Times New Roman" w:eastAsia="Times New Roman" w:hAnsi="Times New Roman"/>
          <w:sz w:val="17"/>
          <w:szCs w:val="17"/>
          <w:color w:val="auto"/>
        </w:rPr>
      </w:pPr>
    </w:p>
    <w:p>
      <w:pPr>
        <w:ind w:left="660" w:right="1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segment incurred a $1.5 million non-cash charge to fully reserve a receivable from, and assets held by, Republic Metals Corporation, due to the refiner's bankruptcy proceedings.</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contribution is $6.2 million ($6.4 million on a constant currency basis). Adjusted segment contribution is $8.8 million, excluding the non-cash charge, discretionary growth investments, foreign currency impacts and other discrete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EZCORP will host a conference call on Thursday, January 31, 2019, at 7:30am Central Time to discuss first quarter results. Analysts and institutional investors may participate on the conference call by dialing (877) 201-0168, Conference ID: 7987578, or internationally by dialing (647) 788-4901. The conference call will be webcast simultaneously to the public through this link: </w:t>
      </w:r>
      <w:r>
        <w:rPr>
          <w:rFonts w:ascii="Times New Roman" w:cs="Times New Roman" w:eastAsia="Times New Roman" w:hAnsi="Times New Roman"/>
          <w:sz w:val="18"/>
          <w:szCs w:val="18"/>
          <w:u w:val="single" w:color="auto"/>
          <w:color w:val="0000FF"/>
        </w:rPr>
        <w:t>http://investors.ezcorp.com/</w:t>
      </w:r>
      <w:r>
        <w:rPr>
          <w:rFonts w:ascii="Times New Roman" w:cs="Times New Roman" w:eastAsia="Times New Roman" w:hAnsi="Times New Roman"/>
          <w:sz w:val="18"/>
          <w:szCs w:val="18"/>
          <w:color w:val="auto"/>
        </w:rPr>
        <w:t xml:space="preserve">. A replay of the conference call will be available online at </w:t>
      </w:r>
      <w:r>
        <w:rPr>
          <w:rFonts w:ascii="Times New Roman" w:cs="Times New Roman" w:eastAsia="Times New Roman" w:hAnsi="Times New Roman"/>
          <w:sz w:val="18"/>
          <w:szCs w:val="18"/>
          <w:u w:val="single" w:color="auto"/>
          <w:color w:val="0000FF"/>
        </w:rPr>
        <w:t>http://investors.ezcorp.com/</w:t>
      </w:r>
      <w:r>
        <w:rPr>
          <w:rFonts w:ascii="Times New Roman" w:cs="Times New Roman" w:eastAsia="Times New Roman" w:hAnsi="Times New Roman"/>
          <w:sz w:val="18"/>
          <w:szCs w:val="18"/>
          <w:color w:val="auto"/>
        </w:rPr>
        <w:t xml:space="preserve"> shortly after the call ends.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EZCORP</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Formed in 1989, EZCORP has grown into a leading provider of pawn loans in the United States and Latin America. It also sells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SmallCap 600 Index, S&amp;P 1000 Index and Nasdaq Composite Index.</w:t>
      </w:r>
    </w:p>
    <w:p>
      <w:pPr>
        <w:sectPr>
          <w:pgSz w:w="11900" w:h="16838" w:orient="portrait"/>
          <w:cols w:equalWidth="0" w:num="1">
            <w:col w:w="11400"/>
          </w:cols>
          <w:pgMar w:left="240" w:top="742" w:right="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Christensen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jeff_christensen@ezcorp.com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(512) 437-3545</w:t>
      </w:r>
    </w:p>
    <w:p>
      <w:pPr>
        <w:spacing w:after="0" w:line="22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9"/>
          <w:szCs w:val="9"/>
          <w:i w:val="1"/>
          <w:iCs w:val="1"/>
          <w:color w:val="auto"/>
        </w:rPr>
        <w:t>1</w:t>
      </w:r>
      <w:r>
        <w:rPr>
          <w:rFonts w:ascii="Times New Roman" w:cs="Times New Roman" w:eastAsia="Times New Roman" w:hAnsi="Times New Roman"/>
          <w:sz w:val="14"/>
          <w:szCs w:val="14"/>
          <w:i w:val="1"/>
          <w:iCs w:val="1"/>
          <w:color w:val="auto"/>
        </w:rPr>
        <w:t>“Constant currency” basis, which is a non-GAAP measure, excludes the impact of foreign currency exchange rate fluctuations. For additional information about these calculations, as well as a</w:t>
      </w:r>
      <w:r>
        <w:rPr>
          <w:rFonts w:ascii="Times New Roman" w:cs="Times New Roman" w:eastAsia="Times New Roman" w:hAnsi="Times New Roman"/>
          <w:sz w:val="9"/>
          <w:szCs w:val="9"/>
          <w:i w:val="1"/>
          <w:iCs w:val="1"/>
          <w:color w:val="auto"/>
        </w:rPr>
        <w:t xml:space="preserve"> </w:t>
      </w:r>
      <w:r>
        <w:rPr>
          <w:rFonts w:ascii="Times New Roman" w:cs="Times New Roman" w:eastAsia="Times New Roman" w:hAnsi="Times New Roman"/>
          <w:sz w:val="14"/>
          <w:szCs w:val="14"/>
          <w:i w:val="1"/>
          <w:iCs w:val="1"/>
          <w:color w:val="auto"/>
        </w:rPr>
        <w:t>reconciliation to the most comparable GAAP financial measures, see “Non-GAAP Financial Information” at the end of this release.</w:t>
      </w:r>
    </w:p>
    <w:p>
      <w:pPr>
        <w:ind w:right="320"/>
        <w:spacing w:after="0" w:line="258" w:lineRule="auto"/>
        <w:rPr>
          <w:sz w:val="20"/>
          <w:szCs w:val="20"/>
          <w:color w:val="auto"/>
        </w:rPr>
      </w:pPr>
      <w:r>
        <w:rPr>
          <w:rFonts w:ascii="Times New Roman" w:cs="Times New Roman" w:eastAsia="Times New Roman" w:hAnsi="Times New Roman"/>
          <w:sz w:val="9"/>
          <w:szCs w:val="9"/>
          <w:i w:val="1"/>
          <w:iCs w:val="1"/>
          <w:color w:val="auto"/>
        </w:rPr>
        <w:t>2</w:t>
      </w:r>
      <w:r>
        <w:rPr>
          <w:rFonts w:ascii="Times New Roman" w:cs="Times New Roman" w:eastAsia="Times New Roman" w:hAnsi="Times New Roman"/>
          <w:sz w:val="14"/>
          <w:szCs w:val="14"/>
          <w:i w:val="1"/>
          <w:iCs w:val="1"/>
          <w:color w:val="auto"/>
        </w:rPr>
        <w:t>Adjusted basis, which is a non-GAAP measure, excludes certain items. For additional information about these calculations, as well as a reconciliation to the most comparable GAAP financial</w:t>
      </w:r>
      <w:r>
        <w:rPr>
          <w:rFonts w:ascii="Times New Roman" w:cs="Times New Roman" w:eastAsia="Times New Roman" w:hAnsi="Times New Roman"/>
          <w:sz w:val="9"/>
          <w:szCs w:val="9"/>
          <w:i w:val="1"/>
          <w:iCs w:val="1"/>
          <w:color w:val="auto"/>
        </w:rPr>
        <w:t xml:space="preserve"> </w:t>
      </w:r>
      <w:r>
        <w:rPr>
          <w:rFonts w:ascii="Times New Roman" w:cs="Times New Roman" w:eastAsia="Times New Roman" w:hAnsi="Times New Roman"/>
          <w:sz w:val="14"/>
          <w:szCs w:val="14"/>
          <w:i w:val="1"/>
          <w:iCs w:val="1"/>
          <w:color w:val="auto"/>
        </w:rPr>
        <w:t>measures, see “Non-GAAP Financial Information” at the end of this release.</w:t>
      </w:r>
    </w:p>
    <w:p>
      <w:pPr>
        <w:sectPr>
          <w:pgSz w:w="11900" w:h="16838" w:orient="portrait"/>
          <w:cols w:equalWidth="0" w:num="1">
            <w:col w:w="11400"/>
          </w:cols>
          <w:pgMar w:left="240" w:top="738" w:right="25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64"/>
        </w:trPr>
        <w:tc>
          <w:tcPr>
            <w:tcW w:w="8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380"/>
        </w:trPr>
        <w:tc>
          <w:tcPr>
            <w:tcW w:w="8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3"/>
          </w:tcPr>
          <w:p>
            <w:pPr>
              <w:jc w:val="center"/>
              <w:ind w:left="7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20" w:type="dxa"/>
            <w:vAlign w:val="bottom"/>
          </w:tcPr>
          <w:p>
            <w:pPr>
              <w:spacing w:after="0"/>
              <w:rPr>
                <w:sz w:val="24"/>
                <w:szCs w:val="24"/>
                <w:color w:val="auto"/>
              </w:rPr>
            </w:pPr>
          </w:p>
        </w:tc>
      </w:tr>
      <w:tr>
        <w:trPr>
          <w:trHeight w:val="203"/>
        </w:trPr>
        <w:tc>
          <w:tcPr>
            <w:tcW w:w="8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gridSpan w:val="4"/>
          </w:tcPr>
          <w:p>
            <w:pPr>
              <w:jc w:val="center"/>
              <w:ind w:right="139"/>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r>
      <w:tr>
        <w:trPr>
          <w:trHeight w:val="247"/>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8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Merchandise sales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121,024</w:t>
            </w:r>
          </w:p>
        </w:tc>
        <w:tc>
          <w:tcPr>
            <w:tcW w:w="120" w:type="dxa"/>
            <w:vAlign w:val="bottom"/>
          </w:tcPr>
          <w:p>
            <w:pPr>
              <w:spacing w:after="0"/>
              <w:rPr>
                <w:sz w:val="23"/>
                <w:szCs w:val="23"/>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113,588</w:t>
            </w:r>
          </w:p>
        </w:tc>
      </w:tr>
      <w:tr>
        <w:trPr>
          <w:trHeight w:val="270"/>
        </w:trPr>
        <w:tc>
          <w:tcPr>
            <w:tcW w:w="8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Jewelry scrapping sales</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9,281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12,213</w:t>
            </w:r>
          </w:p>
        </w:tc>
      </w:tr>
      <w:tr>
        <w:trPr>
          <w:trHeight w:val="270"/>
        </w:trPr>
        <w:tc>
          <w:tcPr>
            <w:tcW w:w="8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Pawn service charges</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83,674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76,360</w:t>
            </w:r>
          </w:p>
        </w:tc>
      </w:tr>
      <w:tr>
        <w:trPr>
          <w:trHeight w:val="270"/>
        </w:trPr>
        <w:tc>
          <w:tcPr>
            <w:tcW w:w="8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revenues</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1,871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2,347</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215,850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204,508</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Merchandise cost of goods sold</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77,112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71,167</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Jewelry scrapping cost of goods sold</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8,050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10,337</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Other cost of revenues</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577</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revenues</w:t>
            </w:r>
          </w:p>
        </w:tc>
        <w:tc>
          <w:tcPr>
            <w:tcW w:w="24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130,204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122,427</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8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Operations</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89,546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83,610</w:t>
            </w:r>
          </w:p>
        </w:tc>
      </w:tr>
      <w:tr>
        <w:trPr>
          <w:trHeight w:val="270"/>
        </w:trPr>
        <w:tc>
          <w:tcPr>
            <w:tcW w:w="8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Administrative</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15,479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13,318</w:t>
            </w:r>
          </w:p>
        </w:tc>
      </w:tr>
      <w:tr>
        <w:trPr>
          <w:trHeight w:val="270"/>
        </w:trPr>
        <w:tc>
          <w:tcPr>
            <w:tcW w:w="8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6,848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5,723</w:t>
            </w:r>
          </w:p>
        </w:tc>
      </w:tr>
      <w:tr>
        <w:trPr>
          <w:trHeight w:val="270"/>
        </w:trPr>
        <w:tc>
          <w:tcPr>
            <w:tcW w:w="8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sale or disposal of assets and other</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4,442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116,315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102,690</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13,889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19,737</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8,791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5,847</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(4,270)</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Equity in net loss (income) of unconsolidated affiliate</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1,119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Impairment of investment in unconsolidated affiliate</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13,274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(Loss) income from continuing operations before income taxes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19,792</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7,437</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(Loss) income from continuing operations, net of tax</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12,355</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12,133</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 attributable to EZCORP, Inc.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12,748</w:t>
            </w:r>
          </w:p>
        </w:tc>
      </w:tr>
      <w:tr>
        <w:trPr>
          <w:trHeight w:val="20"/>
        </w:trPr>
        <w:tc>
          <w:tcPr>
            <w:tcW w:w="8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94"/>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Basic (loss) earnings per share attributable to EZCORP, Inc. — continuing operations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20" w:type="dxa"/>
            <w:vAlign w:val="bottom"/>
          </w:tcPr>
          <w:p>
            <w:pPr>
              <w:spacing w:after="0"/>
              <w:rPr>
                <w:sz w:val="24"/>
                <w:szCs w:val="24"/>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0.24</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Diluted (loss) earnings per share attributable to EZCORP, Inc. — continuing operations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20" w:type="dxa"/>
            <w:vAlign w:val="bottom"/>
          </w:tcPr>
          <w:p>
            <w:pPr>
              <w:spacing w:after="0"/>
              <w:rPr>
                <w:sz w:val="23"/>
                <w:szCs w:val="23"/>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0.23</w:t>
            </w:r>
          </w:p>
        </w:tc>
      </w:tr>
      <w:tr>
        <w:trPr>
          <w:trHeight w:val="540"/>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basic shares outstanding</w:t>
            </w:r>
          </w:p>
        </w:tc>
        <w:tc>
          <w:tcPr>
            <w:tcW w:w="240" w:type="dxa"/>
            <w:vAlign w:val="bottom"/>
          </w:tcPr>
          <w:p>
            <w:pPr>
              <w:spacing w:after="0"/>
              <w:rPr>
                <w:sz w:val="24"/>
                <w:szCs w:val="24"/>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55,032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54,464</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diluted shares outstanding</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55,032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55,682</w:t>
            </w:r>
          </w:p>
        </w:tc>
      </w:tr>
    </w:tbl>
    <w:p>
      <w:pPr>
        <w:sectPr>
          <w:pgSz w:w="11900" w:h="16838" w:orient="portrait"/>
          <w:cols w:equalWidth="0" w:num="1">
            <w:col w:w="11380"/>
          </w:cols>
          <w:pgMar w:left="280" w:top="988" w:right="2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2"/>
                <w:szCs w:val="12"/>
                <w:color w:val="auto"/>
              </w:rPr>
            </w:pP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76"/>
        </w:trPr>
        <w:tc>
          <w:tcPr>
            <w:tcW w:w="7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2017</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2018</w:t>
            </w:r>
          </w:p>
        </w:tc>
        <w:tc>
          <w:tcPr>
            <w:tcW w:w="0" w:type="dxa"/>
            <w:vAlign w:val="bottom"/>
          </w:tcPr>
          <w:p>
            <w:pPr>
              <w:spacing w:after="0"/>
              <w:rPr>
                <w:sz w:val="1"/>
                <w:szCs w:val="1"/>
                <w:color w:val="auto"/>
              </w:rPr>
            </w:pPr>
          </w:p>
        </w:tc>
      </w:tr>
      <w:tr>
        <w:trPr>
          <w:trHeight w:val="376"/>
        </w:trPr>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5"/>
          </w:tcPr>
          <w:p>
            <w:pPr>
              <w:ind w:left="82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297,031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113,584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286,015</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Pawn loans</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193,984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177,001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198,463</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Pawn service charges receivable, net</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38,959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34,054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38,318</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Inventory, net</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175,422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163,310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166,997</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Notes receivable, net</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26,711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36,682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34,199</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31,223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26,516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33,154</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763,330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551,147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757,146</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Investment in unconsolidated affiliate</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35,511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45,605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49,500</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69,770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62,098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73,649</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294,881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288,773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297,448</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55,956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43,974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54,923</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Notes receivable, net</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4,599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23,343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3,226</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tax asset, net</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9,283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10,997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7,165</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 net</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4,442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16,625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3,863</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1,237,772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1,042,562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1,246,920</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Current maturities of long-term debt, net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190,238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190,181</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57,628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60,207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57,800</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Customer layaway deposits</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11,747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10,686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11,824</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259,613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70,893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259,805</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 debt, net</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229,928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294,761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226,702</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9,617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8,817</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6,150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8,845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6,890</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505,308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374,499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502,214</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Class A Non-voting Common Stock, par value $.01 per share; shares authorized: 100 million; issued and</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outstanding: 52,475,070 as of December 31, 2018; 51,494,246 as of December 31, 2017; and 51,614,746</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as of September 30, 2018</w:t>
            </w: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49"/>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Class B Voting Common Stock, convertible, par value $.01 per share; shares authorized: 3 million; issued</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and outstanding: 2,970,171</w:t>
            </w: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400,081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351,110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397,927</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387,936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364,414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392,180</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(42,616)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EZCORP, Inc. stockholders’ equity</w:t>
            </w: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739,467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671,167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748,037</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Noncontrolling interest</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732,464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668,063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744,706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1,237,772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1,042,562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1,246,920</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772" w:right="2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64"/>
        </w:trPr>
        <w:tc>
          <w:tcPr>
            <w:tcW w:w="85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380"/>
        </w:trPr>
        <w:tc>
          <w:tcPr>
            <w:tcW w:w="8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3"/>
          </w:tcPr>
          <w:p>
            <w:pPr>
              <w:jc w:val="center"/>
              <w:ind w:left="628"/>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 income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(4,721)</w:t>
            </w:r>
          </w:p>
        </w:tc>
        <w:tc>
          <w:tcPr>
            <w:tcW w:w="10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12,133</w:t>
            </w:r>
          </w:p>
        </w:tc>
        <w:tc>
          <w:tcPr>
            <w:tcW w:w="0" w:type="dxa"/>
            <w:vAlign w:val="bottom"/>
          </w:tcPr>
          <w:p>
            <w:pPr>
              <w:spacing w:after="0"/>
              <w:rPr>
                <w:sz w:val="1"/>
                <w:szCs w:val="1"/>
                <w:color w:val="auto"/>
              </w:rPr>
            </w:pPr>
          </w:p>
        </w:tc>
      </w:tr>
      <w:tr>
        <w:trPr>
          <w:trHeight w:val="270"/>
        </w:trPr>
        <w:tc>
          <w:tcPr>
            <w:tcW w:w="85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Adjustments to reconcile net (loss) income to net cash flows from operating activities: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6,848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5,723</w:t>
            </w:r>
          </w:p>
        </w:tc>
        <w:tc>
          <w:tcPr>
            <w:tcW w:w="0" w:type="dxa"/>
            <w:vAlign w:val="bottom"/>
          </w:tcPr>
          <w:p>
            <w:pPr>
              <w:spacing w:after="0"/>
              <w:rPr>
                <w:sz w:val="1"/>
                <w:szCs w:val="1"/>
                <w:color w:val="auto"/>
              </w:rPr>
            </w:pPr>
          </w:p>
        </w:tc>
      </w:tr>
      <w:tr>
        <w:trPr>
          <w:trHeight w:val="270"/>
        </w:trPr>
        <w:tc>
          <w:tcPr>
            <w:tcW w:w="85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Amortization of debt discount and deferred financing costs</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5,585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3,682</w:t>
            </w:r>
          </w:p>
        </w:tc>
        <w:tc>
          <w:tcPr>
            <w:tcW w:w="0" w:type="dxa"/>
            <w:vAlign w:val="bottom"/>
          </w:tcPr>
          <w:p>
            <w:pPr>
              <w:spacing w:after="0"/>
              <w:rPr>
                <w:sz w:val="1"/>
                <w:szCs w:val="1"/>
                <w:color w:val="auto"/>
              </w:rPr>
            </w:pPr>
          </w:p>
        </w:tc>
      </w:tr>
      <w:tr>
        <w:trPr>
          <w:trHeight w:val="270"/>
        </w:trPr>
        <w:tc>
          <w:tcPr>
            <w:tcW w:w="85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Accretion of notes receivable discount and deferred compensation fee</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w:t>
            </w:r>
          </w:p>
        </w:tc>
        <w:tc>
          <w:tcPr>
            <w:tcW w:w="0" w:type="dxa"/>
            <w:vAlign w:val="bottom"/>
          </w:tcPr>
          <w:p>
            <w:pPr>
              <w:spacing w:after="0"/>
              <w:rPr>
                <w:sz w:val="1"/>
                <w:szCs w:val="1"/>
                <w:color w:val="auto"/>
              </w:rPr>
            </w:pPr>
          </w:p>
        </w:tc>
      </w:tr>
      <w:tr>
        <w:trPr>
          <w:trHeight w:val="270"/>
        </w:trPr>
        <w:tc>
          <w:tcPr>
            <w:tcW w:w="85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3,129</w:t>
            </w:r>
          </w:p>
        </w:tc>
        <w:tc>
          <w:tcPr>
            <w:tcW w:w="0" w:type="dxa"/>
            <w:vAlign w:val="bottom"/>
          </w:tcPr>
          <w:p>
            <w:pPr>
              <w:spacing w:after="0"/>
              <w:rPr>
                <w:sz w:val="1"/>
                <w:szCs w:val="1"/>
                <w:color w:val="auto"/>
              </w:rPr>
            </w:pPr>
          </w:p>
        </w:tc>
      </w:tr>
      <w:tr>
        <w:trPr>
          <w:trHeight w:val="270"/>
        </w:trPr>
        <w:tc>
          <w:tcPr>
            <w:tcW w:w="85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Impairment of investment in unconsolidated affiliate</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13,274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85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adjustments</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5,052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270"/>
        </w:trPr>
        <w:tc>
          <w:tcPr>
            <w:tcW w:w="85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2,238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2,919</w:t>
            </w:r>
          </w:p>
        </w:tc>
        <w:tc>
          <w:tcPr>
            <w:tcW w:w="0" w:type="dxa"/>
            <w:vAlign w:val="bottom"/>
          </w:tcPr>
          <w:p>
            <w:pPr>
              <w:spacing w:after="0"/>
              <w:rPr>
                <w:sz w:val="1"/>
                <w:szCs w:val="1"/>
                <w:color w:val="auto"/>
              </w:rPr>
            </w:pPr>
          </w:p>
        </w:tc>
      </w:tr>
      <w:tr>
        <w:trPr>
          <w:trHeight w:val="270"/>
        </w:trPr>
        <w:tc>
          <w:tcPr>
            <w:tcW w:w="85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Loss (income) from investment in unconsolidated affiliate</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Changes in operating assets and liabilities, net of business acquisitions: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Service charges and fees receivable</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70"/>
        </w:trPr>
        <w:tc>
          <w:tcPr>
            <w:tcW w:w="85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Inventory</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0" w:type="dxa"/>
            <w:vAlign w:val="bottom"/>
          </w:tcPr>
          <w:p>
            <w:pPr>
              <w:spacing w:after="0"/>
              <w:rPr>
                <w:sz w:val="1"/>
                <w:szCs w:val="1"/>
                <w:color w:val="auto"/>
              </w:rPr>
            </w:pPr>
          </w:p>
        </w:tc>
      </w:tr>
      <w:tr>
        <w:trPr>
          <w:trHeight w:val="270"/>
        </w:trPr>
        <w:tc>
          <w:tcPr>
            <w:tcW w:w="85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Prepaid expenses, other current assets and other assets</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70"/>
        </w:trPr>
        <w:tc>
          <w:tcPr>
            <w:tcW w:w="85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(5,283)</w:t>
            </w:r>
          </w:p>
        </w:tc>
        <w:tc>
          <w:tcPr>
            <w:tcW w:w="0" w:type="dxa"/>
            <w:vAlign w:val="bottom"/>
          </w:tcPr>
          <w:p>
            <w:pPr>
              <w:spacing w:after="0"/>
              <w:rPr>
                <w:sz w:val="1"/>
                <w:szCs w:val="1"/>
                <w:color w:val="auto"/>
              </w:rPr>
            </w:pPr>
          </w:p>
        </w:tc>
      </w:tr>
      <w:tr>
        <w:trPr>
          <w:trHeight w:val="270"/>
        </w:trPr>
        <w:tc>
          <w:tcPr>
            <w:tcW w:w="85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Customer layaway deposits</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275"/>
        </w:trPr>
        <w:tc>
          <w:tcPr>
            <w:tcW w:w="85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Income taxes, net of excess tax benefit from stock compensation</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(3,412)</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2,295</w:t>
            </w:r>
          </w:p>
        </w:tc>
        <w:tc>
          <w:tcPr>
            <w:tcW w:w="0" w:type="dxa"/>
            <w:vAlign w:val="bottom"/>
          </w:tcPr>
          <w:p>
            <w:pPr>
              <w:spacing w:after="0"/>
              <w:rPr>
                <w:sz w:val="1"/>
                <w:szCs w:val="1"/>
                <w:color w:val="auto"/>
              </w:rPr>
            </w:pPr>
          </w:p>
        </w:tc>
      </w:tr>
      <w:tr>
        <w:trPr>
          <w:trHeight w:val="245"/>
        </w:trPr>
        <w:tc>
          <w:tcPr>
            <w:tcW w:w="854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22,760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19,252</w:t>
            </w:r>
          </w:p>
        </w:tc>
        <w:tc>
          <w:tcPr>
            <w:tcW w:w="0" w:type="dxa"/>
            <w:vAlign w:val="bottom"/>
          </w:tcPr>
          <w:p>
            <w:pPr>
              <w:spacing w:after="0"/>
              <w:rPr>
                <w:sz w:val="1"/>
                <w:szCs w:val="1"/>
                <w:color w:val="auto"/>
              </w:rPr>
            </w:pPr>
          </w:p>
        </w:tc>
      </w:tr>
      <w:tr>
        <w:trPr>
          <w:trHeight w:val="270"/>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Investing activities: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Loans made</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(186,588)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(169,666)</w:t>
            </w: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Loans repaid</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106,643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103,041</w:t>
            </w: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Recovery of pawn loan principal through sale of forfeited collateral</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70,594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67,144</w:t>
            </w: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Additions to property and equipment</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(5,880)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(9,537)</w:t>
            </w: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(62,163)</w:t>
            </w:r>
          </w:p>
        </w:tc>
        <w:tc>
          <w:tcPr>
            <w:tcW w:w="0" w:type="dxa"/>
            <w:vAlign w:val="bottom"/>
          </w:tcPr>
          <w:p>
            <w:pPr>
              <w:spacing w:after="0"/>
              <w:rPr>
                <w:sz w:val="1"/>
                <w:szCs w:val="1"/>
                <w:color w:val="auto"/>
              </w:rPr>
            </w:pPr>
          </w:p>
        </w:tc>
      </w:tr>
      <w:tr>
        <w:trPr>
          <w:trHeight w:val="275"/>
        </w:trPr>
        <w:tc>
          <w:tcPr>
            <w:tcW w:w="8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Principal collections on notes receivable</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7,284</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2,849</w:t>
            </w:r>
          </w:p>
        </w:tc>
        <w:tc>
          <w:tcPr>
            <w:tcW w:w="0" w:type="dxa"/>
            <w:vAlign w:val="bottom"/>
          </w:tcPr>
          <w:p>
            <w:pPr>
              <w:spacing w:after="0"/>
              <w:rPr>
                <w:sz w:val="1"/>
                <w:szCs w:val="1"/>
                <w:color w:val="auto"/>
              </w:rPr>
            </w:pPr>
          </w:p>
        </w:tc>
      </w:tr>
      <w:tr>
        <w:trPr>
          <w:trHeight w:val="245"/>
        </w:trPr>
        <w:tc>
          <w:tcPr>
            <w:tcW w:w="854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Pr>
          <w:p>
            <w:pPr>
              <w:spacing w:after="0"/>
              <w:rPr>
                <w:sz w:val="21"/>
                <w:szCs w:val="21"/>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(8,279)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(68,332)</w:t>
            </w:r>
          </w:p>
        </w:tc>
        <w:tc>
          <w:tcPr>
            <w:tcW w:w="0" w:type="dxa"/>
            <w:vAlign w:val="bottom"/>
          </w:tcPr>
          <w:p>
            <w:pPr>
              <w:spacing w:after="0"/>
              <w:rPr>
                <w:sz w:val="1"/>
                <w:szCs w:val="1"/>
                <w:color w:val="auto"/>
              </w:rPr>
            </w:pPr>
          </w:p>
        </w:tc>
      </w:tr>
      <w:tr>
        <w:trPr>
          <w:trHeight w:val="270"/>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Financing activities: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22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(3,288)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borrowings, net of issuance costs</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on borrowings</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5"/>
        </w:trPr>
        <w:tc>
          <w:tcPr>
            <w:tcW w:w="854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20" w:type="dxa"/>
            <w:vAlign w:val="bottom"/>
          </w:tcPr>
          <w:p>
            <w:pPr>
              <w:spacing w:after="0"/>
              <w:rPr>
                <w:sz w:val="21"/>
                <w:szCs w:val="21"/>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275"/>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 and restricted cash</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(865)</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0" w:type="dxa"/>
            <w:vAlign w:val="bottom"/>
          </w:tcPr>
          <w:p>
            <w:pPr>
              <w:spacing w:after="0"/>
              <w:rPr>
                <w:sz w:val="1"/>
                <w:szCs w:val="1"/>
                <w:color w:val="auto"/>
              </w:rPr>
            </w:pPr>
          </w:p>
        </w:tc>
      </w:tr>
      <w:tr>
        <w:trPr>
          <w:trHeight w:val="245"/>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(50,556)</w:t>
            </w:r>
          </w:p>
        </w:tc>
        <w:tc>
          <w:tcPr>
            <w:tcW w:w="0" w:type="dxa"/>
            <w:vAlign w:val="bottom"/>
          </w:tcPr>
          <w:p>
            <w:pPr>
              <w:spacing w:after="0"/>
              <w:rPr>
                <w:sz w:val="1"/>
                <w:szCs w:val="1"/>
                <w:color w:val="auto"/>
              </w:rPr>
            </w:pPr>
          </w:p>
        </w:tc>
      </w:tr>
      <w:tr>
        <w:trPr>
          <w:trHeight w:val="275"/>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286,282</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164,393</w:t>
            </w:r>
          </w:p>
        </w:tc>
        <w:tc>
          <w:tcPr>
            <w:tcW w:w="0" w:type="dxa"/>
            <w:vAlign w:val="bottom"/>
          </w:tcPr>
          <w:p>
            <w:pPr>
              <w:spacing w:after="0"/>
              <w:rPr>
                <w:sz w:val="1"/>
                <w:szCs w:val="1"/>
                <w:color w:val="auto"/>
              </w:rPr>
            </w:pPr>
          </w:p>
        </w:tc>
      </w:tr>
      <w:tr>
        <w:trPr>
          <w:trHeight w:val="242"/>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297,286</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113,837</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85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Pawn loans forfeited and transferred to inventory</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80,301</w:t>
            </w:r>
          </w:p>
        </w:tc>
        <w:tc>
          <w:tcPr>
            <w:tcW w:w="10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72,649</w:t>
            </w:r>
          </w:p>
        </w:tc>
        <w:tc>
          <w:tcPr>
            <w:tcW w:w="0" w:type="dxa"/>
            <w:vAlign w:val="bottom"/>
          </w:tcPr>
          <w:p>
            <w:pPr>
              <w:spacing w:after="0"/>
              <w:rPr>
                <w:sz w:val="1"/>
                <w:szCs w:val="1"/>
                <w:color w:val="auto"/>
              </w:rPr>
            </w:pPr>
          </w:p>
        </w:tc>
      </w:tr>
      <w:tr>
        <w:trPr>
          <w:trHeight w:val="270"/>
        </w:trPr>
        <w:tc>
          <w:tcPr>
            <w:tcW w:w="8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and contingent consideration</w:t>
            </w: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1,920</w:t>
            </w:r>
          </w:p>
        </w:tc>
        <w:tc>
          <w:tcPr>
            <w:tcW w:w="0" w:type="dxa"/>
            <w:vAlign w:val="bottom"/>
          </w:tcPr>
          <w:p>
            <w:pPr>
              <w:spacing w:after="0"/>
              <w:rPr>
                <w:sz w:val="1"/>
                <w:szCs w:val="1"/>
                <w:color w:val="auto"/>
              </w:rPr>
            </w:pPr>
          </w:p>
        </w:tc>
      </w:tr>
    </w:tbl>
    <w:p>
      <w:pPr>
        <w:sectPr>
          <w:pgSz w:w="11900" w:h="16838" w:orient="portrait"/>
          <w:cols w:equalWidth="0" w:num="1">
            <w:col w:w="11380"/>
          </w:cols>
          <w:pgMar w:left="280" w:top="934" w:right="2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OPERATING SEGMENT RESULTS (UNAUDITED)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 2018</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Latin</w:t>
            </w:r>
          </w:p>
        </w:tc>
        <w:tc>
          <w:tcPr>
            <w:tcW w:w="140" w:type="dxa"/>
            <w:vAlign w:val="bottom"/>
          </w:tcPr>
          <w:p>
            <w:pPr>
              <w:spacing w:after="0"/>
              <w:rPr>
                <w:sz w:val="12"/>
                <w:szCs w:val="12"/>
                <w:color w:val="auto"/>
              </w:rPr>
            </w:pPr>
          </w:p>
        </w:tc>
        <w:tc>
          <w:tcPr>
            <w:tcW w:w="13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U.S. Pawn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America</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 Segments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Pawn</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Merchandise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95,103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25,921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121,024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121,024</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Jewelry scrapping sales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9,281</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Pawn service charges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64,303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19,371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83,674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83,674</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166,006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48,063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215,850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215,850</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Merchandise cost of goods sold</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59,148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77,112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77,112</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Jewelry scrapping cost of goods sold</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8,050</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Other cost of revenues</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101,348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27,559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130,204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130,204</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Segment and corporate expenses (income):</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68,068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18,848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2,630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89,546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89,546</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Administrative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15,479</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6,848</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sale or disposal of assets and other</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4,442</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8,690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8,791</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 net loss of unconsolidated affiliate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investment in unconsolidated affiliate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13,274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13,274</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27,392</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6,216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(15,861)</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income from continuing operations before income</w:t>
            </w: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1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vMerge w:val="restart"/>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17,747</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(23,317)</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00" w:top="583" w:right="25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OPERATING SEGMENT RESULTS (UNAUDITED)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December 31, 2017</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U.S. Pawn</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Latin America</w:t>
            </w:r>
          </w:p>
        </w:tc>
        <w:tc>
          <w:tcPr>
            <w:tcW w:w="160" w:type="dxa"/>
            <w:vAlign w:val="bottom"/>
          </w:tcPr>
          <w:p>
            <w:pPr>
              <w:spacing w:after="0"/>
              <w:rPr>
                <w:sz w:val="12"/>
                <w:szCs w:val="12"/>
                <w:color w:val="auto"/>
              </w:rPr>
            </w:pPr>
          </w:p>
        </w:tc>
        <w:tc>
          <w:tcPr>
            <w:tcW w:w="120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 Segments</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Corporate Items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Pawn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Merchandise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91,494</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22,094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113,588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113,588</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Jewelry scrapping sales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12,213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12,213</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Pawn service charges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59,705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16,655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76,360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76,360</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2,104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159,798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42,606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2,104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204,508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204,508</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Merchandise cost of goods sold</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56,088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71,167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71,167</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Jewelry scrapping cost of goods sold</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6,842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10,337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10,337</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cost of revenues</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96,868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24,032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122,427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122,427</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Segment and corporate expenses (income):</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66,300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14,687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2,623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83,610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83,610</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Administrative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13,318</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5,723</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sale or disposal of assets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5,847</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0" w:type="dxa"/>
            <w:vAlign w:val="bottom"/>
          </w:tcPr>
          <w:p>
            <w:pPr>
              <w:spacing w:after="0"/>
              <w:rPr>
                <w:sz w:val="1"/>
                <w:szCs w:val="1"/>
                <w:color w:val="auto"/>
              </w:rPr>
            </w:pPr>
          </w:p>
        </w:tc>
      </w:tr>
      <w:tr>
        <w:trPr>
          <w:trHeight w:val="252"/>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 net income of unconsolidated</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affiliate</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27,757</w:t>
            </w:r>
          </w:p>
        </w:tc>
        <w:tc>
          <w:tcPr>
            <w:tcW w:w="1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9,011</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37,158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from continuing operations before</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vMerge w:val="restart"/>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37,158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(17,366)</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19,792</w:t>
            </w:r>
          </w:p>
        </w:tc>
        <w:tc>
          <w:tcPr>
            <w:tcW w:w="0" w:type="dxa"/>
            <w:vAlign w:val="bottom"/>
          </w:tcPr>
          <w:p>
            <w:pPr>
              <w:spacing w:after="0"/>
              <w:rPr>
                <w:sz w:val="1"/>
                <w:szCs w:val="1"/>
                <w:color w:val="auto"/>
              </w:rPr>
            </w:pPr>
          </w:p>
        </w:tc>
      </w:tr>
      <w:tr>
        <w:trPr>
          <w:trHeight w:val="241"/>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3"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t>EZCORP,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STORE COUNT ACTIVITY (UNAUDITED)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0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December 31, 2018</w:t>
            </w: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U.S. Pawn</w:t>
            </w: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Latin America</w:t>
            </w:r>
          </w:p>
        </w:tc>
        <w:tc>
          <w:tcPr>
            <w:tcW w:w="20" w:type="dxa"/>
            <w:vAlign w:val="bottom"/>
          </w:tcPr>
          <w:p>
            <w:pPr>
              <w:spacing w:after="0"/>
              <w:rPr>
                <w:sz w:val="12"/>
                <w:szCs w:val="12"/>
                <w:color w:val="auto"/>
              </w:rPr>
            </w:pPr>
          </w:p>
        </w:tc>
        <w:tc>
          <w:tcPr>
            <w:tcW w:w="15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 International</w:t>
            </w:r>
          </w:p>
        </w:tc>
        <w:tc>
          <w:tcPr>
            <w:tcW w:w="20" w:type="dxa"/>
            <w:vAlign w:val="bottom"/>
          </w:tcPr>
          <w:p>
            <w:pPr>
              <w:spacing w:after="0"/>
              <w:rPr>
                <w:sz w:val="12"/>
                <w:szCs w:val="12"/>
                <w:color w:val="auto"/>
              </w:rPr>
            </w:pPr>
          </w:p>
        </w:tc>
        <w:tc>
          <w:tcPr>
            <w:tcW w:w="12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Pawn</w:t>
            </w:r>
          </w:p>
        </w:tc>
        <w:tc>
          <w:tcPr>
            <w:tcW w:w="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September 30, 2018</w:t>
            </w:r>
          </w:p>
        </w:tc>
        <w:tc>
          <w:tcPr>
            <w:tcW w:w="10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24"/>
                <w:szCs w:val="24"/>
                <w:color w:val="auto"/>
              </w:rPr>
            </w:pPr>
          </w:p>
        </w:tc>
        <w:tc>
          <w:tcPr>
            <w:tcW w:w="126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4"/>
                <w:szCs w:val="24"/>
                <w:color w:val="auto"/>
              </w:rPr>
            </w:pPr>
          </w:p>
        </w:tc>
        <w:tc>
          <w:tcPr>
            <w:tcW w:w="1460" w:type="dxa"/>
            <w:vAlign w:val="bottom"/>
            <w:tcBorders>
              <w:top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988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Locations acquired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 of December 31, 2018</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20"/>
                <w:szCs w:val="20"/>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0"/>
                <w:szCs w:val="20"/>
                <w:color w:val="auto"/>
              </w:rPr>
            </w:pPr>
          </w:p>
        </w:tc>
        <w:tc>
          <w:tcPr>
            <w:tcW w:w="14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997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December 31, 2017</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U.S. Pawn</w:t>
            </w:r>
          </w:p>
        </w:tc>
        <w:tc>
          <w:tcPr>
            <w:tcW w:w="120" w:type="dxa"/>
            <w:vAlign w:val="bottom"/>
            <w:vMerge w:val="restart"/>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Latin America</w:t>
            </w:r>
          </w:p>
        </w:tc>
        <w:tc>
          <w:tcPr>
            <w:tcW w:w="20" w:type="dxa"/>
            <w:vAlign w:val="bottom"/>
          </w:tcPr>
          <w:p>
            <w:pPr>
              <w:spacing w:after="0"/>
              <w:rPr>
                <w:sz w:val="12"/>
                <w:szCs w:val="12"/>
                <w:color w:val="auto"/>
              </w:rPr>
            </w:pP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 International</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Pawn</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30, 2017</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24"/>
                <w:szCs w:val="24"/>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Locations acquired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December 31, 2017</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20"/>
                <w:szCs w:val="20"/>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923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Information (Unaudited)</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to the financial information prepared in conformity with accounting principles generally accepted in the United States ("GAAP"), we provide certain non-GAAP financial information on a constant currency basis ("constant currency") and adjusted basis. We use constant currency results to evaluate our Latin America Pawn operations, which are denominated primarily in Mexican pesos and other Latin American currencies.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w:t>
      </w:r>
    </w:p>
    <w:p>
      <w:pPr>
        <w:spacing w:after="0" w:line="13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believe that presentation of adjusted results is meaningful and useful in understanding the activities and business metrics of our operations exclusive of certain non-core operating or other infrequent charges. This will assist users of our financial statements in forecasting, and assessing the performance of the Company’s businesses, providing a meaningful comparison of results of the current period against results of past periods, and performing a comparable analysis to peers. This is intended to provide users of our financial statements with a view of the business's results similarly to how management of the company views and evaluates it.</w:t>
      </w:r>
    </w:p>
    <w:p>
      <w:pPr>
        <w:spacing w:after="0" w:line="13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addition to constant currency adjustments, we have recorded the following adjustments to present our financial results consistent with the core operating results of our business:</w:t>
      </w:r>
    </w:p>
    <w:p>
      <w:pPr>
        <w:spacing w:after="0" w:line="108" w:lineRule="exact"/>
        <w:rPr>
          <w:sz w:val="20"/>
          <w:szCs w:val="20"/>
          <w:color w:val="auto"/>
        </w:rPr>
      </w:pPr>
    </w:p>
    <w:p>
      <w:pPr>
        <w:ind w:left="660" w:right="14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interest income and expenses regarding our Notes receivable and Convertible debt instruments to reflect the underlying cash flows of our investments and debt;</w:t>
      </w:r>
    </w:p>
    <w:p>
      <w:pPr>
        <w:spacing w:after="0" w:line="107"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equity method charges for our investment in Cash Converters International Limited ("CCV"), including a non-cash impairment of our investment to fair value and non-cash litigation charges recorded in our proportionate share of CCV's earnings, neither of which are related to the core operating earnings of CCV;</w:t>
      </w:r>
    </w:p>
    <w:p>
      <w:pPr>
        <w:spacing w:after="0" w:line="122"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related to receivables from, and assets held by, a gold scrap refiner based on our understanding of potential collectability or return given knowledge of current bankruptcy proceedings;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strategic investment in the development of a digital platform representing start-up costs for the incubation of new strategic ventures not included in our core pawn operations;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off of aged assets related to historical out-of period adjustments not representative of results of operations for current or comparable periods;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related costs not related to current revenue generating activities;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each adjustment at the effective rate for the applicable jurisdiction.</w:t>
      </w:r>
    </w:p>
    <w:p>
      <w:pPr>
        <w:sectPr>
          <w:pgSz w:w="11900" w:h="16838" w:orient="portrait"/>
          <w:cols w:equalWidth="0" w:num="1">
            <w:col w:w="11420"/>
          </w:cols>
          <w:pgMar w:left="240" w:top="583" w:right="239" w:bottom="1440" w:gutter="0" w:footer="0" w:header="0"/>
        </w:sectPr>
      </w:pPr>
    </w:p>
    <w:bookmarkStart w:id="13" w:name="page14"/>
    <w:bookmarkEnd w:id="13"/>
    <w:p>
      <w:pPr>
        <w:ind w:right="120"/>
        <w:spacing w:after="0" w:line="261" w:lineRule="auto"/>
        <w:rPr>
          <w:sz w:val="20"/>
          <w:szCs w:val="20"/>
          <w:color w:val="auto"/>
        </w:rPr>
      </w:pPr>
      <w:r>
        <w:rPr>
          <w:rFonts w:ascii="Times New Roman" w:cs="Times New Roman" w:eastAsia="Times New Roman" w:hAnsi="Times New Roman"/>
          <w:sz w:val="18"/>
          <w:szCs w:val="18"/>
          <w:color w:val="auto"/>
        </w:rPr>
        <w:t>We provide non-GAAP financial information for informational purposes and to enhance understanding of our GAAP consolidated financial statements.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Constant currency results reported herein are calculated by translating consolidated balance sheet and consolidated statement of operations items denominated in Mexican pesos, Guatemalan quetzals, Honduran lempiras and Peruvian sols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and approximate average exchange rates for each currency as compared to U.S. dollars as of and for the three months ended December 31, 2018 and 2017 were as follows: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10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64"/>
        </w:trPr>
        <w:tc>
          <w:tcPr>
            <w:tcW w:w="5120" w:type="dxa"/>
            <w:vAlign w:val="bottom"/>
          </w:tcPr>
          <w:p>
            <w:pPr>
              <w:spacing w:after="0"/>
              <w:rPr>
                <w:sz w:val="22"/>
                <w:szCs w:val="22"/>
                <w:color w:val="auto"/>
              </w:rPr>
            </w:pPr>
          </w:p>
        </w:tc>
        <w:tc>
          <w:tcPr>
            <w:tcW w:w="15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36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Mexican peso</w:t>
            </w: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4"/>
                <w:szCs w:val="24"/>
                <w:color w:val="auto"/>
              </w:rPr>
            </w:pPr>
          </w:p>
        </w:tc>
        <w:tc>
          <w:tcPr>
            <w:tcW w:w="1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4"/>
                <w:szCs w:val="24"/>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19.0</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Guatemalan quetzal</w:t>
            </w: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3"/>
                <w:szCs w:val="23"/>
                <w:color w:val="auto"/>
              </w:rPr>
            </w:pPr>
          </w:p>
        </w:tc>
        <w:tc>
          <w:tcPr>
            <w:tcW w:w="1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3"/>
                <w:szCs w:val="23"/>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7.2</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Honduran lempira</w:t>
            </w: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3"/>
                <w:szCs w:val="23"/>
                <w:color w:val="auto"/>
              </w:rPr>
            </w:pPr>
          </w:p>
        </w:tc>
        <w:tc>
          <w:tcPr>
            <w:tcW w:w="1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3"/>
                <w:szCs w:val="23"/>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23.3</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Peruvian sol</w:t>
            </w: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3"/>
                <w:szCs w:val="23"/>
                <w:color w:val="auto"/>
              </w:rPr>
            </w:pPr>
          </w:p>
        </w:tc>
        <w:tc>
          <w:tcPr>
            <w:tcW w:w="1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3"/>
                <w:szCs w:val="23"/>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r>
    </w:tbl>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statement of operations constant currency results reflect the monthly exchange rate fluctuations and so are not directly calculable from the above rates. Constant currency results, where presented, also exclude the foreign currency gain or loss. We have experienced a prolonged weakening of the Mexican peso to the U.S. dollar and may continue to experience further weakening in future reporting periods, which may adversely impact our future operating results when stated on a GAAP basis.</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information provides reconciliations of certain non-GAAP financial measures presented in this press release to the most directly comparable financial measures calculated and presented in accordance with GAAP as of and for the three months ended December 31, 2018 and 2017 (2019 Q1 and 2018 Q1,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Miscellaneous Non-GAAP Financial Measures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2019 Q1</w:t>
            </w:r>
          </w:p>
        </w:tc>
        <w:tc>
          <w:tcPr>
            <w:tcW w:w="300" w:type="dxa"/>
            <w:vAlign w:val="bottom"/>
          </w:tcPr>
          <w:p>
            <w:pPr>
              <w:spacing w:after="0"/>
              <w:rPr>
                <w:sz w:val="16"/>
                <w:szCs w:val="16"/>
                <w:color w:val="auto"/>
              </w:rPr>
            </w:pPr>
          </w:p>
        </w:tc>
        <w:tc>
          <w:tcPr>
            <w:tcW w:w="8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2018 Q1</w:t>
            </w:r>
          </w:p>
        </w:tc>
      </w:tr>
      <w:tr>
        <w:trPr>
          <w:trHeight w:val="51"/>
        </w:trPr>
        <w:tc>
          <w:tcPr>
            <w:tcW w:w="89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75"/>
        </w:trPr>
        <w:tc>
          <w:tcPr>
            <w:tcW w:w="8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20" w:type="dxa"/>
            <w:vAlign w:val="bottom"/>
          </w:tcPr>
          <w:p>
            <w:pPr>
              <w:spacing w:after="0"/>
              <w:rPr>
                <w:sz w:val="24"/>
                <w:szCs w:val="24"/>
                <w:color w:val="auto"/>
              </w:rPr>
            </w:pPr>
          </w:p>
        </w:tc>
      </w:tr>
      <w:tr>
        <w:trPr>
          <w:trHeight w:val="270"/>
        </w:trPr>
        <w:tc>
          <w:tcPr>
            <w:tcW w:w="8980" w:type="dxa"/>
            <w:vAlign w:val="bottom"/>
          </w:tcPr>
          <w:p>
            <w:pPr>
              <w:spacing w:after="0"/>
              <w:rPr>
                <w:sz w:val="20"/>
                <w:szCs w:val="20"/>
                <w:color w:val="auto"/>
              </w:rPr>
            </w:pPr>
            <w:r>
              <w:rPr>
                <w:rFonts w:ascii="Times New Roman" w:cs="Times New Roman" w:eastAsia="Times New Roman" w:hAnsi="Times New Roman"/>
                <w:sz w:val="14"/>
                <w:szCs w:val="14"/>
                <w:color w:val="auto"/>
              </w:rPr>
              <w:t>Income (loss) from continuing operations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w:t>
            </w:r>
          </w:p>
        </w:tc>
      </w:tr>
      <w:tr>
        <w:trPr>
          <w:trHeight w:val="270"/>
        </w:trPr>
        <w:tc>
          <w:tcPr>
            <w:tcW w:w="89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w:t>
            </w:r>
          </w:p>
        </w:tc>
      </w:tr>
      <w:tr>
        <w:trPr>
          <w:trHeight w:val="270"/>
        </w:trPr>
        <w:tc>
          <w:tcPr>
            <w:tcW w:w="898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70"/>
        </w:trPr>
        <w:tc>
          <w:tcPr>
            <w:tcW w:w="898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2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w:t>
            </w:r>
          </w:p>
        </w:tc>
      </w:tr>
      <w:tr>
        <w:trPr>
          <w:trHeight w:val="275"/>
        </w:trPr>
        <w:tc>
          <w:tcPr>
            <w:tcW w:w="898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5.7</w:t>
            </w:r>
          </w:p>
        </w:tc>
      </w:tr>
      <w:tr>
        <w:trPr>
          <w:trHeight w:val="245"/>
        </w:trPr>
        <w:tc>
          <w:tcPr>
            <w:tcW w:w="8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EBITDA</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27.1</w:t>
            </w:r>
          </w:p>
        </w:tc>
      </w:tr>
    </w:tbl>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2019 Q1</w:t>
            </w:r>
          </w:p>
        </w:tc>
      </w:tr>
      <w:tr>
        <w:trPr>
          <w:trHeight w:val="51"/>
        </w:trPr>
        <w:tc>
          <w:tcPr>
            <w:tcW w:w="6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375"/>
        </w:trPr>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4"/>
                <w:szCs w:val="14"/>
                <w:color w:val="auto"/>
              </w:rPr>
              <w:t>Impairment on CCV investment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13.3</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4"/>
                <w:szCs w:val="14"/>
                <w:color w:val="auto"/>
              </w:rPr>
              <w:t>Impact on CCV earnings from litigation settlement</w:t>
            </w:r>
          </w:p>
        </w:tc>
        <w:tc>
          <w:tcPr>
            <w:tcW w:w="18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r>
      <w:tr>
        <w:trPr>
          <w:trHeight w:val="221"/>
        </w:trPr>
        <w:tc>
          <w:tcPr>
            <w:tcW w:w="6280" w:type="dxa"/>
            <w:vAlign w:val="bottom"/>
          </w:tcPr>
          <w:p>
            <w:pPr>
              <w:spacing w:after="0"/>
              <w:rPr>
                <w:sz w:val="20"/>
                <w:szCs w:val="20"/>
                <w:color w:val="auto"/>
              </w:rPr>
            </w:pPr>
            <w:r>
              <w:rPr>
                <w:rFonts w:ascii="Times New Roman" w:cs="Times New Roman" w:eastAsia="Times New Roman" w:hAnsi="Times New Roman"/>
                <w:sz w:val="14"/>
                <w:szCs w:val="14"/>
                <w:color w:val="auto"/>
              </w:rPr>
              <w:t>Adjustment for Republic Metals Corporation reserve</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r>
      <w:tr>
        <w:trPr>
          <w:trHeight w:val="205"/>
        </w:trPr>
        <w:tc>
          <w:tcPr>
            <w:tcW w:w="6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Non-cash charges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20.6</w:t>
            </w:r>
          </w:p>
        </w:tc>
      </w:tr>
    </w:tbl>
    <w:p>
      <w:pPr>
        <w:sectPr>
          <w:pgSz w:w="11900" w:h="16838" w:orient="portrait"/>
          <w:cols w:equalWidth="0" w:num="1">
            <w:col w:w="11420"/>
          </w:cols>
          <w:pgMar w:left="240" w:top="742"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2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from Continuing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(Loss) from</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Operations,</w:t>
            </w:r>
          </w:p>
        </w:tc>
        <w:tc>
          <w:tcPr>
            <w:tcW w:w="82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Continuing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EPS</w:t>
            </w:r>
          </w:p>
        </w:tc>
        <w:tc>
          <w:tcPr>
            <w:tcW w:w="0" w:type="dxa"/>
            <w:vAlign w:val="bottom"/>
          </w:tcPr>
          <w:p>
            <w:pPr>
              <w:spacing w:after="0"/>
              <w:rPr>
                <w:sz w:val="1"/>
                <w:szCs w:val="1"/>
                <w:color w:val="auto"/>
              </w:rPr>
            </w:pPr>
          </w:p>
        </w:tc>
      </w:tr>
      <w:tr>
        <w:trPr>
          <w:trHeight w:val="195"/>
        </w:trPr>
        <w:tc>
          <w:tcPr>
            <w:tcW w:w="5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Before Tax</w:t>
            </w:r>
          </w:p>
        </w:tc>
        <w:tc>
          <w:tcPr>
            <w:tcW w:w="120" w:type="dxa"/>
            <w:vAlign w:val="bottom"/>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2019 Q1 reported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23"/>
                <w:szCs w:val="23"/>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Acquisition costs</w:t>
            </w:r>
          </w:p>
        </w:tc>
        <w:tc>
          <w:tcPr>
            <w:tcW w:w="120" w:type="dxa"/>
            <w:vAlign w:val="bottom"/>
          </w:tcPr>
          <w:p>
            <w:pPr>
              <w:spacing w:after="0"/>
              <w:rPr>
                <w:sz w:val="23"/>
                <w:szCs w:val="23"/>
                <w:color w:val="auto"/>
              </w:rPr>
            </w:pP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Charge-off of aged assets and other</w:t>
            </w:r>
          </w:p>
        </w:tc>
        <w:tc>
          <w:tcPr>
            <w:tcW w:w="120" w:type="dxa"/>
            <w:vAlign w:val="bottom"/>
          </w:tcPr>
          <w:p>
            <w:pPr>
              <w:spacing w:after="0"/>
              <w:rPr>
                <w:sz w:val="23"/>
                <w:szCs w:val="23"/>
                <w:color w:val="auto"/>
              </w:rPr>
            </w:pP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Impairment on CCV investment</w:t>
            </w:r>
          </w:p>
        </w:tc>
        <w:tc>
          <w:tcPr>
            <w:tcW w:w="120" w:type="dxa"/>
            <w:vAlign w:val="bottom"/>
          </w:tcPr>
          <w:p>
            <w:pPr>
              <w:spacing w:after="0"/>
              <w:rPr>
                <w:sz w:val="23"/>
                <w:szCs w:val="23"/>
                <w:color w:val="auto"/>
              </w:rPr>
            </w:pP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Impact on CCV earnings from litigation settlement</w:t>
            </w:r>
          </w:p>
        </w:tc>
        <w:tc>
          <w:tcPr>
            <w:tcW w:w="120" w:type="dxa"/>
            <w:vAlign w:val="bottom"/>
          </w:tcPr>
          <w:p>
            <w:pPr>
              <w:spacing w:after="0"/>
              <w:rPr>
                <w:sz w:val="23"/>
                <w:szCs w:val="23"/>
                <w:color w:val="auto"/>
              </w:rPr>
            </w:pP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Adjustment for Republic Metals Corporation reserve</w:t>
            </w:r>
          </w:p>
        </w:tc>
        <w:tc>
          <w:tcPr>
            <w:tcW w:w="120" w:type="dxa"/>
            <w:vAlign w:val="bottom"/>
          </w:tcPr>
          <w:p>
            <w:pPr>
              <w:spacing w:after="0"/>
              <w:rPr>
                <w:sz w:val="23"/>
                <w:szCs w:val="23"/>
                <w:color w:val="auto"/>
              </w:rPr>
            </w:pP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Currency exchange rate fluctuations</w:t>
            </w:r>
          </w:p>
        </w:tc>
        <w:tc>
          <w:tcPr>
            <w:tcW w:w="120" w:type="dxa"/>
            <w:vAlign w:val="bottom"/>
          </w:tcPr>
          <w:p>
            <w:pPr>
              <w:spacing w:after="0"/>
              <w:rPr>
                <w:sz w:val="23"/>
                <w:szCs w:val="23"/>
                <w:color w:val="auto"/>
              </w:rPr>
            </w:pP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Non-cash net interest expense</w:t>
            </w:r>
          </w:p>
        </w:tc>
        <w:tc>
          <w:tcPr>
            <w:tcW w:w="120" w:type="dxa"/>
            <w:vAlign w:val="bottom"/>
          </w:tcPr>
          <w:p>
            <w:pPr>
              <w:spacing w:after="0"/>
              <w:rPr>
                <w:sz w:val="23"/>
                <w:szCs w:val="23"/>
                <w:color w:val="auto"/>
              </w:rPr>
            </w:pP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275"/>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Discretionary strategic investment in digital platform</w:t>
            </w: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245"/>
        </w:trPr>
        <w:tc>
          <w:tcPr>
            <w:tcW w:w="5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2019 Q1 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296"/>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Income from</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Continuing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Operations, Before</w:t>
            </w:r>
          </w:p>
        </w:tc>
        <w:tc>
          <w:tcPr>
            <w:tcW w:w="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Continuing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EPS</w:t>
            </w:r>
          </w:p>
        </w:tc>
        <w:tc>
          <w:tcPr>
            <w:tcW w:w="0" w:type="dxa"/>
            <w:vAlign w:val="bottom"/>
          </w:tcPr>
          <w:p>
            <w:pPr>
              <w:spacing w:after="0"/>
              <w:rPr>
                <w:sz w:val="1"/>
                <w:szCs w:val="1"/>
                <w:color w:val="auto"/>
              </w:rPr>
            </w:pPr>
          </w:p>
        </w:tc>
      </w:tr>
      <w:tr>
        <w:trPr>
          <w:trHeight w:val="195"/>
        </w:trPr>
        <w:tc>
          <w:tcPr>
            <w:tcW w:w="5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i w:val="1"/>
          <w:iCs w:val="1"/>
          <w:color w:val="auto"/>
        </w:rPr>
        <w:t>(in millions)</w:t>
      </w:r>
    </w:p>
    <w:p>
      <w:pPr>
        <w:sectPr>
          <w:pgSz w:w="11900" w:h="16838" w:orient="portrait"/>
          <w:cols w:equalWidth="0" w:num="1">
            <w:col w:w="11380"/>
          </w:cols>
          <w:pgMar w:left="280" w:top="724" w:right="239" w:bottom="1440" w:gutter="0" w:footer="0" w:header="0"/>
        </w:sectPr>
      </w:pP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2018 Q1 reported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Expiration of statute of limitation on uncertain tax positions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Revaluation of deferred tax assets upon tax reform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Acquisition costs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Impact from hurricane store operating expenses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Currency exchange rate fluctuations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Non-cash net interest expense</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2018 Q1 adjusted</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6"/>
                <w:szCs w:val="16"/>
                <w:color w:val="auto"/>
              </w:rPr>
            </w:pPr>
          </w:p>
        </w:tc>
        <w:tc>
          <w:tcPr>
            <w:tcW w:w="66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0.23</w:t>
            </w:r>
          </w:p>
        </w:tc>
      </w:tr>
      <w:tr>
        <w:trPr>
          <w:trHeight w:val="270"/>
        </w:trPr>
        <w:tc>
          <w:tcPr>
            <w:tcW w:w="6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r>
      <w:tr>
        <w:trPr>
          <w:trHeight w:val="270"/>
        </w:trPr>
        <w:tc>
          <w:tcPr>
            <w:tcW w:w="6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0.04</w:t>
            </w:r>
          </w:p>
        </w:tc>
      </w:tr>
      <w:tr>
        <w:trPr>
          <w:trHeight w:val="270"/>
        </w:trPr>
        <w:tc>
          <w:tcPr>
            <w:tcW w:w="6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w:t>
            </w:r>
          </w:p>
        </w:tc>
      </w:tr>
      <w:tr>
        <w:trPr>
          <w:trHeight w:val="270"/>
        </w:trPr>
        <w:tc>
          <w:tcPr>
            <w:tcW w:w="6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w:t>
            </w:r>
          </w:p>
        </w:tc>
      </w:tr>
      <w:tr>
        <w:trPr>
          <w:trHeight w:val="270"/>
        </w:trPr>
        <w:tc>
          <w:tcPr>
            <w:tcW w:w="660" w:type="dxa"/>
            <w:vAlign w:val="bottom"/>
          </w:tcPr>
          <w:p>
            <w:pPr>
              <w:spacing w:after="0"/>
              <w:rPr>
                <w:sz w:val="23"/>
                <w:szCs w:val="23"/>
                <w:color w:val="auto"/>
              </w:rPr>
            </w:pP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6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0.01</w:t>
            </w:r>
          </w:p>
        </w:tc>
      </w:tr>
      <w:tr>
        <w:trPr>
          <w:trHeight w:val="245"/>
        </w:trPr>
        <w:tc>
          <w:tcPr>
            <w:tcW w:w="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21"/>
                <w:szCs w:val="21"/>
                <w:color w:val="auto"/>
              </w:rPr>
            </w:pPr>
          </w:p>
        </w:tc>
        <w:tc>
          <w:tcPr>
            <w:tcW w:w="66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0.27</w:t>
            </w:r>
          </w:p>
        </w:tc>
      </w:tr>
      <w:tr>
        <w:trPr>
          <w:trHeight w:val="410"/>
        </w:trPr>
        <w:tc>
          <w:tcPr>
            <w:tcW w:w="6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U.S. Pawn</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Latin America Pawn</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0"/>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3"/>
          </w:tcPr>
          <w:p>
            <w:pPr>
              <w:jc w:val="right"/>
              <w:ind w:right="448"/>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82" w:lineRule="exact"/>
        <w:rPr>
          <w:sz w:val="20"/>
          <w:szCs w:val="20"/>
          <w:color w:val="auto"/>
        </w:rPr>
      </w:pPr>
    </w:p>
    <w:p>
      <w:pPr>
        <w:sectPr>
          <w:pgSz w:w="11900" w:h="16838" w:orient="portrait"/>
          <w:cols w:equalWidth="0" w:num="2">
            <w:col w:w="4860" w:space="720"/>
            <w:col w:w="5800"/>
          </w:cols>
          <w:pgMar w:left="280" w:top="724"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Segment contribution 2019 Q1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33.6</w:t>
            </w:r>
          </w:p>
        </w:tc>
      </w:tr>
      <w:tr>
        <w:trPr>
          <w:trHeight w:val="270"/>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Adjustment for Republic Metals Corporation reserve</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r>
      <w:tr>
        <w:trPr>
          <w:trHeight w:val="270"/>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Charge-off of aged assets and other</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0.8</w:t>
            </w:r>
          </w:p>
        </w:tc>
      </w:tr>
      <w:tr>
        <w:trPr>
          <w:trHeight w:val="275"/>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Currency exchange rate fluctuations</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0.3</w:t>
            </w:r>
          </w:p>
        </w:tc>
      </w:tr>
      <w:tr>
        <w:trPr>
          <w:trHeight w:val="245"/>
        </w:trPr>
        <w:tc>
          <w:tcPr>
            <w:tcW w:w="6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Adjusted segment contribution 2019 Q1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21"/>
                <w:szCs w:val="21"/>
                <w:color w:val="auto"/>
              </w:rPr>
            </w:pPr>
          </w:p>
        </w:tc>
        <w:tc>
          <w:tcPr>
            <w:tcW w:w="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39.0</w:t>
            </w:r>
          </w:p>
        </w:tc>
      </w:tr>
      <w:tr>
        <w:trPr>
          <w:trHeight w:val="410"/>
        </w:trPr>
        <w:tc>
          <w:tcPr>
            <w:tcW w:w="6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U.S. Pawn</w:t>
            </w:r>
          </w:p>
        </w:tc>
        <w:tc>
          <w:tcPr>
            <w:tcW w:w="18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80"/>
        </w:trPr>
        <w:tc>
          <w:tcPr>
            <w:tcW w:w="6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Segment contribution 2018 Q1</w:t>
            </w: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1"/>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Impact from hurricane store operating expenses</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5"/>
        </w:trPr>
        <w:tc>
          <w:tcPr>
            <w:tcW w:w="6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Adjusted segment contribution 2018 Q1</w:t>
            </w: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r>
    </w:tbl>
    <w:p>
      <w:pPr>
        <w:sectPr>
          <w:pgSz w:w="11900" w:h="16838" w:orient="portrait"/>
          <w:cols w:equalWidth="0" w:num="1">
            <w:col w:w="11380"/>
          </w:cols>
          <w:pgMar w:left="280" w:top="724" w:right="239" w:bottom="1440" w:gutter="0" w:footer="0" w:header="0"/>
          <w:type w:val="continuous"/>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2019 Q1:</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 Dollar Amount</w:t>
            </w:r>
          </w:p>
        </w:tc>
        <w:tc>
          <w:tcPr>
            <w:tcW w:w="100" w:type="dxa"/>
            <w:vAlign w:val="bottom"/>
            <w:vMerge w:val="restart"/>
          </w:tcPr>
          <w:p>
            <w:pPr>
              <w:spacing w:after="0"/>
              <w:rPr>
                <w:sz w:val="13"/>
                <w:szCs w:val="13"/>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95"/>
        </w:trPr>
        <w:tc>
          <w:tcPr>
            <w:tcW w:w="8580" w:type="dxa"/>
            <w:vAlign w:val="bottom"/>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YOY</w:t>
            </w:r>
          </w:p>
        </w:tc>
        <w:tc>
          <w:tcPr>
            <w:tcW w:w="0" w:type="dxa"/>
            <w:vAlign w:val="bottom"/>
          </w:tcPr>
          <w:p>
            <w:pPr>
              <w:spacing w:after="0"/>
              <w:rPr>
                <w:sz w:val="1"/>
                <w:szCs w:val="1"/>
                <w:color w:val="auto"/>
              </w:rPr>
            </w:pPr>
          </w:p>
        </w:tc>
      </w:tr>
      <w:tr>
        <w:trPr>
          <w:trHeight w:val="380"/>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Latin America Pawn PLO</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r>
        <w:trPr>
          <w:trHeight w:val="275"/>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Currency exchange rate fluctuations</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8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Constant currency Latin America Pawn PLO</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392"/>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Latin America Pawn same store PLO</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275"/>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Currency exchange rate fluctuations</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8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Constant currency Latin America Pawn same store PLO</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392"/>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Latin America Pawn same store PSC revenue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275"/>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Currency exchange rate fluctuations</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8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Constant currency Latin America Pawn same store PSC revenue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392"/>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revenue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215.9</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275"/>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Currency exchange rate fluctuations</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8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Constant currency consolidated revenue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218.1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392"/>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net revenue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130.2</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275"/>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Currency exchange rate fluctuations</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8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Constant currency consolidated net revenue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392"/>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PSC revenue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275"/>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Currency exchange rate fluctuations</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8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Constant currency consolidated PSC revenue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405"/>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merchandise sales gross profit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275"/>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Currency exchange rate fluctuations</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8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Constant currency consolidated merchandise sales gross profit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392"/>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operations expenses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89.5</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275"/>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Currency exchange rate fluctuations</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8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Constant currency consolidated operations expenses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392"/>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Latin America Pawn net revenue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275"/>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Currency exchange rate fluctuations</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8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Constant currency Latin America Pawn net revenue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392"/>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Latin America Pawn PSC revenue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275"/>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Currency exchange rate fluctuations</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8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Constant currency Latin America Pawn PSC revenue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392"/>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Latin America Pawn segment profit before tax</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75"/>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Currency exchange rate fluctuations</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8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Constant currency Latin America Pawn segment profit before tax</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80"/>
      </w:cols>
      <w:pgMar w:left="280" w:top="7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lvl w:ilvl="1">
      <w:lvlJc w:val="left"/>
      <w:lvlText w:val="\endash "/>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2020-01-10T05:13:21Z</dcterms:created>
  <dcterms:modified xsi:type="dcterms:W3CDTF">2020-01-10T05:13:21Z</dcterms:modified>
</cp:coreProperties>
</file>