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4, 2022</w:t>
      </w:r>
    </w:p>
    <w:p>
      <w:pPr>
        <w:spacing w:after="0" w:line="8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9"/>
        </w:trPr>
        <w:tc>
          <w:tcPr>
            <w:tcW w:w="18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75"/>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97"/>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May 4, 2022, EZCORP, Inc. ("EZCORP") issued a press release announcing its results of operations and financial condition for the quarter ended March 31, 2022. A copy of that press release is attached as Exhibit 99.1.</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2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20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 copy of the presentation materials that management will review during the Company’s earnings conference call (to be held on May 5, 2022) will be posted in the Investor Relations section of the company’s website at www.ezcorp.com.</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720" w:right="1180" w:hanging="525"/>
        <w:spacing w:after="0" w:line="245" w:lineRule="auto"/>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May 4, 2022, announcing EZCORP, Inc.’s results of operations and financial condition for the quarter ended March 31, 2022.</w:t>
      </w:r>
    </w:p>
    <w:p>
      <w:pPr>
        <w:spacing w:after="0" w:line="1"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6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2022</w:t>
            </w:r>
          </w:p>
        </w:tc>
        <w:tc>
          <w:tcPr>
            <w:tcW w:w="23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K. Jugmans</w:t>
            </w:r>
          </w:p>
        </w:tc>
      </w:tr>
      <w:tr>
        <w:trPr>
          <w:trHeight w:val="218"/>
        </w:trPr>
        <w:tc>
          <w:tcPr>
            <w:tcW w:w="3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r>
      <w:tr>
        <w:trPr>
          <w:trHeight w:val="234"/>
        </w:trPr>
        <w:tc>
          <w:tcPr>
            <w:tcW w:w="30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1049" w:right="359" w:bottom="1440" w:gutter="0" w:footer="0" w:header="0"/>
        </w:sectPr>
      </w:pPr>
    </w:p>
    <w:bookmarkStart w:id="2" w:name="page3"/>
    <w:bookmarkEnd w:id="2"/>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603250</wp:posOffset>
            </wp:positionV>
            <wp:extent cx="2005965"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7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5"/>
          <w:szCs w:val="25"/>
          <w:b w:val="1"/>
          <w:bCs w:val="1"/>
          <w:color w:val="auto"/>
        </w:rPr>
        <w:t>EZCORP Reports Second Quarter 2022 Results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PLO Up 39%; Revenue up 17%; Net Income up 179%</w:t>
      </w:r>
    </w:p>
    <w:p>
      <w:pPr>
        <w:jc w:val="center"/>
        <w:ind w:right="-39"/>
        <w:spacing w:after="0"/>
        <w:rPr>
          <w:sz w:val="20"/>
          <w:szCs w:val="20"/>
          <w:color w:val="auto"/>
        </w:rPr>
      </w:pPr>
      <w:r>
        <w:rPr>
          <w:rFonts w:ascii="Arial" w:cs="Arial" w:eastAsia="Arial" w:hAnsi="Arial"/>
          <w:sz w:val="18"/>
          <w:szCs w:val="18"/>
          <w:b w:val="1"/>
          <w:bCs w:val="1"/>
          <w:color w:val="auto"/>
        </w:rPr>
        <w:t>Board of Directors Authorizes a Three-Year $50 Million Share Repurchase Program</w:t>
      </w:r>
    </w:p>
    <w:p>
      <w:pPr>
        <w:spacing w:after="0" w:line="20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 xml:space="preserve">Austin, Texas (May 4, 2022) — </w:t>
      </w:r>
      <w:r>
        <w:rPr>
          <w:rFonts w:ascii="Arial" w:cs="Arial" w:eastAsia="Arial" w:hAnsi="Arial"/>
          <w:sz w:val="18"/>
          <w:szCs w:val="18"/>
          <w:color w:val="auto"/>
        </w:rPr>
        <w:t>EZCORP, Inc. (NASDAQ: EZPW), a leading provider of pawn transactions in the United States and Latin</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today announced results for its second quarter ended March 31, 2022.</w:t>
      </w:r>
    </w:p>
    <w:p>
      <w:pPr>
        <w:spacing w:after="0" w:line="106"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i w:val="1"/>
          <w:iCs w:val="1"/>
          <w:color w:val="auto"/>
        </w:rPr>
        <w:t>Unless otherwise noted, all amounts in this release are in conformity with U.S. generally accepted accounting principles ("GAAP") and comparisons shown are to the same period in the prior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HIGHLIGHTS</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Pawn loans outstanding (PLO) was up 39%.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increased 17%, and net revenue increased 13%.</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Merchandise sales gross profit margin was at the high end of our stated range at 38%.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income increased 179%.</w:t>
      </w:r>
    </w:p>
    <w:p>
      <w:pPr>
        <w:spacing w:after="0" w:line="171" w:lineRule="exact"/>
        <w:rPr>
          <w:rFonts w:ascii="Arial" w:cs="Arial" w:eastAsia="Arial" w:hAnsi="Arial"/>
          <w:sz w:val="18"/>
          <w:szCs w:val="18"/>
          <w:b w:val="1"/>
          <w:bCs w:val="1"/>
          <w:color w:val="auto"/>
        </w:rPr>
      </w:pPr>
    </w:p>
    <w:p>
      <w:pPr>
        <w:ind w:left="660" w:right="140" w:hanging="328"/>
        <w:spacing w:after="0" w:line="231"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of $0.20 were up significantly from $0.10. On an adjusted basis</w:t>
      </w:r>
      <w:r>
        <w:rPr>
          <w:rFonts w:ascii="Arial" w:cs="Arial" w:eastAsia="Arial" w:hAnsi="Arial"/>
          <w:sz w:val="23"/>
          <w:szCs w:val="23"/>
          <w:color w:val="auto"/>
          <w:vertAlign w:val="superscript"/>
        </w:rPr>
        <w:t>1</w:t>
      </w:r>
      <w:r>
        <w:rPr>
          <w:rFonts w:ascii="Arial" w:cs="Arial" w:eastAsia="Arial" w:hAnsi="Arial"/>
          <w:sz w:val="18"/>
          <w:szCs w:val="18"/>
          <w:color w:val="auto"/>
        </w:rPr>
        <w:t>, diluted earnings per share were $0.22, compared to $0.17 in the prior-year quarter.</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Return on earning assets (ROEA) remains strong at 175%.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1"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Chief Executive Officer Lachie Given stated, “We continue to execute on the plan we put in place at the end of fiscal 2020 and drove another quarter of successful results. We had a significant increase in net income, and PLO continues to grow strongly. PLO is at the highest level it has ever been at the end of the second quarter, and is now within 4% of pre-pandemic levels on a same store basis.</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“Our Board of Directors has approved a new three-year share repurchase program for up to $50 million that enables us to return capital to shareholders by buying back shares at what we believe to be attractive valuations. This share repurchase program underscores our confidence in our balance sheet and strong cash flow generation. We believe our consistent and positive business momentum provides us with capacity to return cash to shareholders while continuing to innovate and grow the business.</w:t>
      </w:r>
    </w:p>
    <w:p>
      <w:pPr>
        <w:spacing w:after="0" w:line="12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“In the second quarter, we opened three de novo stores in Latin America, and after the end of the quarter, we acquired three stores in the Dallas, Texas area. We continue to look for opportunities to grow and diversify in new and established pawn markets.</w:t>
      </w:r>
    </w:p>
    <w:p>
      <w:pPr>
        <w:spacing w:after="0" w:line="99"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“We have expanded our EZ+ Rewards program beyond the US and Mexico into Guatemala. We are now live in our three largest regions, with over 900,000 customers enrolled. We have also improved our online customer experience with live chat support. Our focus is on providing our customers with a unique and essential service by addressing their short-term cash needs, as well as an environmentally friendly retail experience. The nature of our business contributes to the circular economy, extending the useful life of items and reducing waste, and we are looking to further expand our customer base with programs focused on environmentally conscious consumers.</w:t>
      </w:r>
    </w:p>
    <w:p>
      <w:pPr>
        <w:spacing w:after="0" w:line="11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“Improving the experience for team members as well as our customers is the foundation for improving our financial results. Attracting and retaining talent is a high priority. We engage with team members at all levels to understand their goals, identify future leaders and make sure we are rewarding performance.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“People, Pawn and Passion is our operating theme, and our team is focused on improving efficiency, optimizing costs and providing the best experience for our customers. I am extremely proud of our team members, who have driven another successful quarter. We are committed to continuous improvement for all stakeholders: our team, our customers and our shareholders.”</w:t>
      </w:r>
    </w:p>
    <w:p>
      <w:pPr>
        <w:sectPr>
          <w:pgSz w:w="11900" w:h="16838" w:orient="portrait"/>
          <w:cols w:equalWidth="0" w:num="1">
            <w:col w:w="11220"/>
          </w:cols>
          <w:pgMar w:left="320" w:top="1440"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572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568"/>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60" w:type="dxa"/>
            <w:vAlign w:val="bottom"/>
          </w:tcPr>
          <w:p>
            <w:pPr>
              <w:spacing w:after="0"/>
              <w:rPr>
                <w:sz w:val="24"/>
                <w:szCs w:val="24"/>
                <w:color w:val="auto"/>
              </w:rPr>
            </w:pPr>
          </w:p>
        </w:tc>
        <w:tc>
          <w:tcPr>
            <w:tcW w:w="272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23"/>
                <w:szCs w:val="23"/>
                <w:b w:val="1"/>
                <w:bCs w:val="1"/>
                <w:color w:val="auto"/>
                <w:vertAlign w:val="superscript"/>
              </w:rPr>
              <w:t>1</w:t>
            </w:r>
          </w:p>
        </w:tc>
        <w:tc>
          <w:tcPr>
            <w:tcW w:w="820" w:type="dxa"/>
            <w:vAlign w:val="bottom"/>
          </w:tcPr>
          <w:p>
            <w:pPr>
              <w:spacing w:after="0"/>
              <w:rPr>
                <w:sz w:val="24"/>
                <w:szCs w:val="24"/>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2021</w:t>
            </w:r>
          </w:p>
        </w:tc>
      </w:tr>
      <w:tr>
        <w:trPr>
          <w:trHeight w:val="258"/>
        </w:trPr>
        <w:tc>
          <w:tcPr>
            <w:tcW w:w="57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184.9</w:t>
            </w:r>
          </w:p>
        </w:tc>
        <w:tc>
          <w:tcPr>
            <w:tcW w:w="4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184.9</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113.7</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113.7</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Income before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39"/>
        </w:trPr>
        <w:tc>
          <w:tcPr>
            <w:tcW w:w="5720" w:type="dxa"/>
            <w:vAlign w:val="bottom"/>
          </w:tcPr>
          <w:p>
            <w:pPr>
              <w:ind w:left="20"/>
              <w:spacing w:after="0"/>
              <w:rPr>
                <w:sz w:val="20"/>
                <w:szCs w:val="20"/>
                <w:color w:val="auto"/>
              </w:rPr>
            </w:pPr>
            <w:r>
              <w:rPr>
                <w:rFonts w:ascii="Arial" w:cs="Arial" w:eastAsia="Arial" w:hAnsi="Arial"/>
                <w:sz w:val="18"/>
                <w:szCs w:val="18"/>
                <w:color w:val="auto"/>
              </w:rPr>
              <w:t>EBITDA (non-GAAP measure)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c>
          <w:tcPr>
            <w:tcW w:w="4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r>
    </w:tbl>
    <w:p>
      <w:pPr>
        <w:spacing w:after="0" w:line="234" w:lineRule="exact"/>
        <w:rPr>
          <w:sz w:val="20"/>
          <w:szCs w:val="20"/>
          <w:color w:val="auto"/>
        </w:rPr>
      </w:pPr>
    </w:p>
    <w:p>
      <w:pPr>
        <w:ind w:left="660" w:right="100" w:hanging="328"/>
        <w:spacing w:after="0" w:line="271" w:lineRule="auto"/>
        <w:tabs>
          <w:tab w:leader="none" w:pos="669"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Diluted earnings per share were $0.20 for the second quarter, up from $0.10. On an adjusted basis, diluted earnings per share were $0.22, up from $0.17.</w:t>
      </w:r>
    </w:p>
    <w:p>
      <w:pPr>
        <w:spacing w:after="0" w:line="99"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before taxes improved by 196% to $20.1 million, while adjusted EBITDA increased 61% to $32.1 million.</w:t>
      </w:r>
    </w:p>
    <w:p>
      <w:pPr>
        <w:spacing w:after="0" w:line="171" w:lineRule="exact"/>
        <w:rPr>
          <w:rFonts w:ascii="Arial" w:cs="Arial" w:eastAsia="Arial" w:hAnsi="Arial"/>
          <w:sz w:val="18"/>
          <w:szCs w:val="18"/>
          <w:color w:val="auto"/>
        </w:rPr>
      </w:pPr>
    </w:p>
    <w:p>
      <w:pPr>
        <w:ind w:left="660" w:right="120" w:hanging="328"/>
        <w:spacing w:after="0" w:line="231" w:lineRule="auto"/>
        <w:tabs>
          <w:tab w:leader="none" w:pos="669"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PLO increased 39% to $173.6 million, up $48.4 million. On a same-store basis</w:t>
      </w:r>
      <w:r>
        <w:rPr>
          <w:rFonts w:ascii="Times New Roman" w:cs="Times New Roman" w:eastAsia="Times New Roman" w:hAnsi="Times New Roman"/>
          <w:sz w:val="23"/>
          <w:szCs w:val="23"/>
          <w:color w:val="auto"/>
          <w:vertAlign w:val="superscript"/>
        </w:rPr>
        <w:t>2</w:t>
      </w:r>
      <w:r>
        <w:rPr>
          <w:rFonts w:ascii="Arial" w:cs="Arial" w:eastAsia="Arial" w:hAnsi="Arial"/>
          <w:sz w:val="18"/>
          <w:szCs w:val="18"/>
          <w:color w:val="auto"/>
        </w:rPr>
        <w:t>, PLO increased 33% due to increased loan demand reflecting a recovery towards pre-COVID levels.</w:t>
      </w:r>
    </w:p>
    <w:p>
      <w:pPr>
        <w:spacing w:after="0" w:line="139" w:lineRule="exact"/>
        <w:rPr>
          <w:rFonts w:ascii="Arial" w:cs="Arial" w:eastAsia="Arial" w:hAnsi="Arial"/>
          <w:sz w:val="18"/>
          <w:szCs w:val="18"/>
          <w:b w:val="1"/>
          <w:bCs w:val="1"/>
          <w:color w:val="auto"/>
        </w:rPr>
      </w:pPr>
    </w:p>
    <w:p>
      <w:pPr>
        <w:ind w:left="660" w:right="52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increased 17%, and net revenues increased 13%, reflecting improved pawn service charge (PSC) revenue and merchandise sales.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PSC increased 21% due to an increase in the average PLO balance during the quarter.</w:t>
      </w:r>
    </w:p>
    <w:p>
      <w:pPr>
        <w:spacing w:after="0" w:line="171" w:lineRule="exact"/>
        <w:rPr>
          <w:rFonts w:ascii="Arial" w:cs="Arial" w:eastAsia="Arial" w:hAnsi="Arial"/>
          <w:sz w:val="18"/>
          <w:szCs w:val="18"/>
          <w:color w:val="auto"/>
        </w:rPr>
      </w:pPr>
    </w:p>
    <w:p>
      <w:pPr>
        <w:ind w:left="660" w:right="260" w:hanging="328"/>
        <w:spacing w:after="0" w:line="268"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Merchandise sales gross profit margin was at the high end of our stated range at 38%, reflecting the commitment to improving the core business by decreasing aged general merchandise (less than 1% of total general merchandise inventory) and focusing on selling inventory in the first 90 days.</w:t>
      </w:r>
    </w:p>
    <w:p>
      <w:pPr>
        <w:spacing w:after="0" w:line="116" w:lineRule="exact"/>
        <w:rPr>
          <w:rFonts w:ascii="Arial" w:cs="Arial" w:eastAsia="Arial" w:hAnsi="Arial"/>
          <w:sz w:val="18"/>
          <w:szCs w:val="18"/>
          <w:color w:val="auto"/>
        </w:rPr>
      </w:pPr>
    </w:p>
    <w:p>
      <w:pPr>
        <w:ind w:left="660" w:right="18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inventory increased 39% reflecting a return towards normalized inventory levels. Inventory turnover remained strong at 2.9x for the quarter, down from 3.1x.</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Store expenses increased 6%, primarily due to increased store count. On a same-store basis, store expenses were flat.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decreased 11%, primarily due to the reversal of incentive compensation for the departing CEO.</w:t>
      </w:r>
    </w:p>
    <w:p>
      <w:pPr>
        <w:spacing w:after="0" w:line="171" w:lineRule="exact"/>
        <w:rPr>
          <w:rFonts w:ascii="Arial" w:cs="Arial" w:eastAsia="Arial" w:hAnsi="Arial"/>
          <w:sz w:val="18"/>
          <w:szCs w:val="18"/>
          <w:color w:val="auto"/>
        </w:rPr>
      </w:pPr>
    </w:p>
    <w:p>
      <w:pPr>
        <w:ind w:left="660" w:right="100" w:hanging="328"/>
        <w:spacing w:after="0" w:line="287" w:lineRule="auto"/>
        <w:tabs>
          <w:tab w:leader="none" w:pos="669"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Cash and cash equivalents at the end of the quarter was $255.0 million, down 24% year-over-year. The decrease is primarily due to the increase in PLO and inventory, strategic investments and the acquisition of new stores.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PLO continued to increase, ending the quarter at $133.5 million, up 40% (39% on a same store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was up 10% and net revenues increased 10%, reflecting increasing PSC and higher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PSC increased 19% as a result of higher average PLO.</w:t>
      </w:r>
    </w:p>
    <w:p>
      <w:pPr>
        <w:spacing w:after="0" w:line="171" w:lineRule="exact"/>
        <w:rPr>
          <w:rFonts w:ascii="Arial" w:cs="Arial" w:eastAsia="Arial" w:hAnsi="Arial"/>
          <w:sz w:val="18"/>
          <w:szCs w:val="18"/>
          <w:color w:val="auto"/>
        </w:rPr>
      </w:pPr>
    </w:p>
    <w:p>
      <w:pPr>
        <w:ind w:left="660" w:right="580" w:hanging="328"/>
        <w:spacing w:after="0" w:line="287"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Merchandise sales gross profit gross margins decreased to 41% from 45% as expected. Aged general merchandise inventory improved to 0.4% from 1.6% of total merchandise inventory.</w:t>
      </w:r>
    </w:p>
    <w:p>
      <w:pPr>
        <w:spacing w:after="0" w:line="98" w:lineRule="exact"/>
        <w:rPr>
          <w:rFonts w:ascii="Arial" w:cs="Arial" w:eastAsia="Arial" w:hAnsi="Arial"/>
          <w:sz w:val="18"/>
          <w:szCs w:val="18"/>
          <w:color w:val="auto"/>
        </w:rPr>
      </w:pPr>
    </w:p>
    <w:p>
      <w:pPr>
        <w:ind w:left="660" w:right="60" w:hanging="328"/>
        <w:spacing w:after="0" w:line="287"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inventory increased 34%. Inventory turnover decreased to 2.6x from 2.9x due to increased inventory levels in the current quarter and stimulus impacts in the prior year.</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Store expenses increased 1% primarily due to increased store count.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Segment contribution increased 31% to $33.8 million.</w:t>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ind w:left="660" w:right="340" w:hanging="328"/>
        <w:spacing w:after="0" w:line="287"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PLO improved to $40.1 million or 34% (31% on constant currency basis). On a same store basis, PLO increased 15% (13% on a constant currency basis).</w:t>
      </w:r>
    </w:p>
    <w:p>
      <w:pPr>
        <w:spacing w:after="0" w:line="98" w:lineRule="exact"/>
        <w:rPr>
          <w:rFonts w:ascii="Arial" w:cs="Arial" w:eastAsia="Arial" w:hAnsi="Arial"/>
          <w:sz w:val="18"/>
          <w:szCs w:val="18"/>
          <w:color w:val="auto"/>
        </w:rPr>
      </w:pPr>
    </w:p>
    <w:p>
      <w:pPr>
        <w:ind w:left="660" w:right="400" w:hanging="328"/>
        <w:spacing w:after="0" w:line="287"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was up 42% (43% on a constant currency basis), while net revenues increased 30% (31% on a constant currency basis).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PSC increased to $17.9 million or 29% (30% on a constant currency basis) as a result of higher average PLO for the quarter.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Merchandise sales gross profit margins decreased from 35% to 29%, reflecting a return to more normalized margins.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18"/>
          <w:szCs w:val="18"/>
          <w:color w:val="auto"/>
        </w:rPr>
        <w:t>Net inventory increased 62% (58% on a constant currency basis). Inventory turnover remains strong at 3.8x, down from 4.0x.</w:t>
      </w:r>
    </w:p>
    <w:p>
      <w:pPr>
        <w:spacing w:after="0" w:line="161" w:lineRule="exact"/>
        <w:rPr>
          <w:rFonts w:ascii="Arial" w:cs="Arial" w:eastAsia="Arial" w:hAnsi="Arial"/>
          <w:sz w:val="20"/>
          <w:szCs w:val="20"/>
          <w:color w:val="auto"/>
        </w:rPr>
      </w:pPr>
    </w:p>
    <w:p>
      <w:pPr>
        <w:ind w:left="660" w:right="340" w:hanging="328"/>
        <w:spacing w:after="0" w:line="287"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Store expenses increased 22% (22% on a constant currency basis) primarily due to growth in year-over-year store count. Same-store expenses decreased 1% (1% on a constant currency basis).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contribution increased to $4.8 million or 85% (88% on a constant currency basis), compared to $2.6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store count increased by three de novo stores opened during the quarter.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Board of Directors has approved a new share repurchase program, which will replace the previous program that was suspended in March 2020 at the onset of the COVID-19 pandemic. Under the new program, the Company is authorized to repurchase up to $50 million of our Class A Non-Voting common shares over the next three years. This decision reflects the strength of our balance sheet and the successful recovery from the adverse impacts of the pandemic, as well as the Board’s confidence in our continued ability to generate significant cash flows and our commitment to driving long-term shareholder value through efficient capital deployment. Execution of the program will be responsive to fluctuating market conditions and valuations, liquidity needs and the expected return on investment compared to other opportunities.</w:t>
      </w:r>
    </w:p>
    <w:p>
      <w:pPr>
        <w:spacing w:after="0" w:line="12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Under the stock repurchase program, the Company may purchase Class A Non-Voting common stock from time to time at management’s discretion in accordance with applicable securities laws, including through open market transactions, block or privately negotiated transactions, or any combination thereof. In addition, the Company may purchase shares pursuant to a trading plan meeting the requirements of Rule 10b5-1 under the Securities Exchange Act of 1934.</w:t>
      </w:r>
    </w:p>
    <w:p>
      <w:pPr>
        <w:spacing w:after="0" w:line="12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w:t>
      </w:r>
    </w:p>
    <w:p>
      <w:pPr>
        <w:spacing w:after="0" w:line="171" w:lineRule="exact"/>
        <w:rPr>
          <w:sz w:val="20"/>
          <w:szCs w:val="20"/>
          <w:color w:val="auto"/>
        </w:rPr>
      </w:pPr>
    </w:p>
    <w:p>
      <w:pPr>
        <w:ind w:right="880"/>
        <w:spacing w:after="0" w:line="318" w:lineRule="auto"/>
        <w:rPr>
          <w:sz w:val="20"/>
          <w:szCs w:val="20"/>
          <w:color w:val="auto"/>
        </w:rPr>
      </w:pPr>
      <w:r>
        <w:rPr>
          <w:rFonts w:ascii="Arial" w:cs="Arial" w:eastAsia="Arial" w:hAnsi="Arial"/>
          <w:sz w:val="17"/>
          <w:szCs w:val="17"/>
          <w:color w:val="auto"/>
        </w:rPr>
        <w:t>EZCORP’s Quarterly Report on Form 10-Q for the quarter ended March 31, 2022 has been filed with the Securities and Exchange Commission. The report is available in the Investor Relations section of the Company’s website at http://investors.ezcorp.com.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71"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EZCORP will host a conference call on Thursday, May 5, 2022, at 7:00 am Central Time to discuss Second Quarter Fiscal 2022 results. Analysts and institutional investors may participate on the conference call by dialing (833) 579-0921, Conference ID: 5093419, or internationally by dialing (778) 560-2579. The conference call will be webcast simultaneously to the public through this</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link: </w:t>
      </w:r>
      <w:r>
        <w:rPr>
          <w:rFonts w:ascii="Arial" w:cs="Arial" w:eastAsia="Arial" w:hAnsi="Arial"/>
          <w:sz w:val="18"/>
          <w:szCs w:val="18"/>
          <w:u w:val="single" w:color="auto"/>
          <w:color w:val="auto"/>
        </w:rPr>
        <w:t>http://investors.ezcorp.com/</w:t>
      </w:r>
      <w:r>
        <w:rPr>
          <w:rFonts w:ascii="Arial" w:cs="Arial" w:eastAsia="Arial" w:hAnsi="Arial"/>
          <w:sz w:val="18"/>
          <w:szCs w:val="18"/>
          <w:color w:val="auto"/>
        </w:rPr>
        <w:t xml:space="preserve">. A replay of the conference call will be available online at </w:t>
      </w:r>
      <w:r>
        <w:rPr>
          <w:rFonts w:ascii="Arial" w:cs="Arial" w:eastAsia="Arial" w:hAnsi="Arial"/>
          <w:sz w:val="18"/>
          <w:szCs w:val="18"/>
          <w:u w:val="single" w:color="auto"/>
          <w:color w:val="auto"/>
        </w:rPr>
        <w:t>http://investors.ezcorp.com/</w:t>
      </w:r>
      <w:r>
        <w:rPr>
          <w:rFonts w:ascii="Arial" w:cs="Arial" w:eastAsia="Arial" w:hAnsi="Arial"/>
          <w:sz w:val="18"/>
          <w:szCs w:val="18"/>
          <w:color w:val="auto"/>
        </w:rPr>
        <w:t xml:space="preserve"> shortly after the end of the 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Formed in 1989, EZCORP has grown into a leading provider of pawn transactions in the United States and Latin America. We also sell merchandise, primarily collateral forfeited from pawn lending operations and pre-owned and recycled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1000 Index and Nasdaq Composite Index.</w:t>
      </w:r>
    </w:p>
    <w:p>
      <w:pPr>
        <w:sectPr>
          <w:pgSz w:w="11900" w:h="16838" w:orient="portrait"/>
          <w:cols w:equalWidth="0" w:num="1">
            <w:col w:w="11220"/>
          </w:cols>
          <w:pgMar w:left="320" w:top="1093"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Follow us on social 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Facebook EZPAWN Official https://www.facebook.com/EZPAWN/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Instagram Official https://www.instagram.com/ezcorp_official/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EZPAWN Instagram Official https://www.instagram.com/ezpawnofficial/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Linked In https://www.linkedin.com/company/ezcorp/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Percentages are calculated from the underlying numbers in millions and, as a result, may not agree to the percentages calculated from numbers in thousands.</w:t>
      </w:r>
    </w:p>
    <w:p>
      <w:pPr>
        <w:spacing w:after="0" w:line="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9"/>
          <w:szCs w:val="9"/>
          <w:i w:val="1"/>
          <w:iCs w:val="1"/>
          <w:color w:val="auto"/>
        </w:rPr>
        <w:t>1</w:t>
      </w:r>
      <w:r>
        <w:rPr>
          <w:rFonts w:ascii="Times New Roman" w:cs="Times New Roman" w:eastAsia="Times New Roman" w:hAnsi="Times New Roman"/>
          <w:sz w:val="14"/>
          <w:szCs w:val="14"/>
          <w:i w:val="1"/>
          <w:iCs w:val="1"/>
          <w:color w:val="auto"/>
        </w:rPr>
        <w:t>”Adjusted” basis, which is a non-GAAP measure, excludes certain items. “Constant currency” basis, which is a non-GAAP measure, excludes the impact of foreign currency exchange rate</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14"/>
          <w:szCs w:val="14"/>
          <w:i w:val="1"/>
          <w:iCs w:val="1"/>
          <w:color w:val="auto"/>
        </w:rPr>
        <w:t>fluctuations. “Free cash flow,” which is a non-GAAP measure, includes certain adjustments to cash flow from operating activities. For additional information about these calculations, as well as a reconciliation to the most comparable GAAP financial measures, see “Non-GAAP Financial Information” at the end of this release.</w:t>
      </w:r>
    </w:p>
    <w:p>
      <w:pPr>
        <w:spacing w:after="0"/>
        <w:rPr>
          <w:sz w:val="20"/>
          <w:szCs w:val="20"/>
          <w:color w:val="auto"/>
        </w:rPr>
      </w:pP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4"/>
          <w:szCs w:val="14"/>
          <w:i w:val="1"/>
          <w:iCs w:val="1"/>
          <w:color w:val="auto"/>
        </w:rPr>
        <w:t>”Same Store” basis, which is a financial measure, includes stores open the entirety of the comparable periods.</w:t>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5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09"/>
        </w:trPr>
        <w:tc>
          <w:tcPr>
            <w:tcW w:w="522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195"/>
        </w:trPr>
        <w:tc>
          <w:tcPr>
            <w:tcW w:w="522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5"/>
        </w:trPr>
        <w:tc>
          <w:tcPr>
            <w:tcW w:w="5220" w:type="dxa"/>
            <w:vAlign w:val="bottom"/>
          </w:tcPr>
          <w:p>
            <w:pPr>
              <w:ind w:left="240"/>
              <w:spacing w:after="0"/>
              <w:rPr>
                <w:sz w:val="20"/>
                <w:szCs w:val="20"/>
                <w:color w:val="auto"/>
              </w:rPr>
            </w:pPr>
            <w:r>
              <w:rPr>
                <w:rFonts w:ascii="Arial" w:cs="Arial" w:eastAsia="Arial" w:hAnsi="Arial"/>
                <w:sz w:val="16"/>
                <w:szCs w:val="16"/>
                <w:color w:val="auto"/>
              </w:rPr>
              <w:t>Merchandise sales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133,556</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115,225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271,276</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223,008</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Jewelry scrapping sales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5,690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12,634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12,834</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76,683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63,436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152,708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126,925</w:t>
            </w:r>
          </w:p>
        </w:tc>
      </w:tr>
      <w:tr>
        <w:trPr>
          <w:trHeight w:val="217"/>
        </w:trPr>
        <w:tc>
          <w:tcPr>
            <w:tcW w:w="52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revenues,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r>
      <w:tr>
        <w:trPr>
          <w:trHeight w:val="209"/>
        </w:trPr>
        <w:tc>
          <w:tcPr>
            <w:tcW w:w="52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215,982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184,939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436,976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363,074</w:t>
            </w: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82,246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65,790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165,357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130,333</w:t>
            </w:r>
          </w:p>
        </w:tc>
      </w:tr>
      <w:tr>
        <w:trPr>
          <w:trHeight w:val="217"/>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4,808</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10,580</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10,603</w:t>
            </w:r>
          </w:p>
        </w:tc>
      </w:tr>
      <w:tr>
        <w:trPr>
          <w:trHeight w:val="209"/>
        </w:trPr>
        <w:tc>
          <w:tcPr>
            <w:tcW w:w="522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128,928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113,748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261,039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222,138</w:t>
            </w: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Store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85,743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81,149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172,514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160,458</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12,227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27,772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26,281</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15,661</w:t>
            </w:r>
          </w:p>
        </w:tc>
      </w:tr>
      <w:tr>
        <w:trPr>
          <w:trHeight w:val="217"/>
        </w:trPr>
        <w:tc>
          <w:tcPr>
            <w:tcW w:w="52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(Gain) loss on sale or disposal of assets and 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10"/>
        </w:trPr>
        <w:tc>
          <w:tcPr>
            <w:tcW w:w="52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104,723</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214,618</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202,490</w:t>
            </w:r>
          </w:p>
        </w:tc>
      </w:tr>
      <w:tr>
        <w:trPr>
          <w:trHeight w:val="209"/>
        </w:trPr>
        <w:tc>
          <w:tcPr>
            <w:tcW w:w="52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24,205</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46,421</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19,648</w:t>
            </w:r>
          </w:p>
        </w:tc>
      </w:tr>
      <w:tr>
        <w:trPr>
          <w:trHeight w:val="209"/>
        </w:trPr>
        <w:tc>
          <w:tcPr>
            <w:tcW w:w="52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2,527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10,973</w:t>
            </w: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(1,406)</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Equity in net loss (income) of unconsolidated affiliates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(1,766)</w:t>
            </w:r>
          </w:p>
        </w:tc>
      </w:tr>
      <w:tr>
        <w:trPr>
          <w:trHeight w:val="217"/>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expense (income)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r>
      <w:tr>
        <w:trPr>
          <w:trHeight w:val="209"/>
        </w:trPr>
        <w:tc>
          <w:tcPr>
            <w:tcW w:w="52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20,123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41,470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12,301</w:t>
            </w:r>
          </w:p>
        </w:tc>
      </w:tr>
      <w:tr>
        <w:trPr>
          <w:trHeight w:val="21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5,236</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10,862</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w:t>
            </w:r>
          </w:p>
        </w:tc>
      </w:tr>
      <w:tr>
        <w:trPr>
          <w:trHeight w:val="218"/>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14,887</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30,608</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9,629</w:t>
            </w:r>
          </w:p>
        </w:tc>
      </w:tr>
      <w:tr>
        <w:trPr>
          <w:trHeight w:val="417"/>
        </w:trPr>
        <w:tc>
          <w:tcPr>
            <w:tcW w:w="522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0.17</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0.17</w:t>
            </w:r>
          </w:p>
        </w:tc>
      </w:tr>
      <w:tr>
        <w:trPr>
          <w:trHeight w:val="432"/>
        </w:trPr>
        <w:tc>
          <w:tcPr>
            <w:tcW w:w="5220" w:type="dxa"/>
            <w:vAlign w:val="bottom"/>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56,561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55,661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56,370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55,509</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82,407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55,665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82,270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55,511</w:t>
            </w:r>
          </w:p>
        </w:tc>
      </w:tr>
    </w:tbl>
    <w:p>
      <w:pPr>
        <w:sectPr>
          <w:pgSz w:w="11900" w:h="16838" w:orient="portrait"/>
          <w:cols w:equalWidth="0" w:num="1">
            <w:col w:w="11240"/>
          </w:cols>
          <w:pgMar w:left="320" w:top="117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48"/>
        </w:trPr>
        <w:tc>
          <w:tcPr>
            <w:tcW w:w="6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80" w:type="dxa"/>
            <w:vAlign w:val="bottom"/>
            <w:gridSpan w:val="5"/>
          </w:tcPr>
          <w:p>
            <w:pPr>
              <w:ind w:left="840"/>
              <w:spacing w:after="0"/>
              <w:rPr>
                <w:sz w:val="20"/>
                <w:szCs w:val="20"/>
                <w:color w:val="auto"/>
              </w:rPr>
            </w:pPr>
            <w:r>
              <w:rPr>
                <w:rFonts w:ascii="Arial" w:cs="Arial" w:eastAsia="Arial" w:hAnsi="Arial"/>
                <w:sz w:val="16"/>
                <w:szCs w:val="16"/>
                <w:color w:val="auto"/>
              </w:rPr>
              <w:t>(Unaudited)</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254,964</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335,638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253,667</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9,957</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173,618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125,268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175,901</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28,319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29,337</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119,890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86,214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110,989</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27,267</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30,676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31,010</w:t>
            </w:r>
          </w:p>
        </w:tc>
        <w:tc>
          <w:tcPr>
            <w:tcW w:w="0" w:type="dxa"/>
            <w:vAlign w:val="bottom"/>
          </w:tcPr>
          <w:p>
            <w:pPr>
              <w:spacing w:after="0"/>
              <w:rPr>
                <w:sz w:val="1"/>
                <w:szCs w:val="1"/>
                <w:color w:val="auto"/>
              </w:rPr>
            </w:pP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612,771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606,644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610,861</w:t>
            </w:r>
          </w:p>
        </w:tc>
        <w:tc>
          <w:tcPr>
            <w:tcW w:w="0" w:type="dxa"/>
            <w:vAlign w:val="bottom"/>
          </w:tcPr>
          <w:p>
            <w:pPr>
              <w:spacing w:after="0"/>
              <w:rPr>
                <w:sz w:val="1"/>
                <w:szCs w:val="1"/>
                <w:color w:val="auto"/>
              </w:rPr>
            </w:pPr>
          </w:p>
        </w:tc>
      </w:tr>
      <w:tr>
        <w:trPr>
          <w:trHeight w:val="215"/>
        </w:trPr>
        <w:tc>
          <w:tcPr>
            <w:tcW w:w="6700" w:type="dxa"/>
            <w:vAlign w:val="bottom"/>
          </w:tcPr>
          <w:p>
            <w:pPr>
              <w:ind w:left="260"/>
              <w:spacing w:after="0"/>
              <w:rPr>
                <w:sz w:val="20"/>
                <w:szCs w:val="20"/>
                <w:color w:val="auto"/>
              </w:rPr>
            </w:pPr>
            <w:r>
              <w:rPr>
                <w:rFonts w:ascii="Arial" w:cs="Arial" w:eastAsia="Arial" w:hAnsi="Arial"/>
                <w:sz w:val="16"/>
                <w:szCs w:val="16"/>
                <w:color w:val="auto"/>
              </w:rPr>
              <w:t>Investments in unconsolidated affiliates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42,002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34,961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37,724</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Other investments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50,874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51,836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53,811</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Right-of-use asset,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204,343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170,479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200,990</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286,214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258,199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285,758</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62,145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62,104</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Notes receivable,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1,181</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Deferred tax asset,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9,746</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4,736</w:t>
            </w:r>
          </w:p>
        </w:tc>
        <w:tc>
          <w:tcPr>
            <w:tcW w:w="0" w:type="dxa"/>
            <w:vAlign w:val="bottom"/>
          </w:tcPr>
          <w:p>
            <w:pPr>
              <w:spacing w:after="0"/>
              <w:rPr>
                <w:sz w:val="1"/>
                <w:szCs w:val="1"/>
                <w:color w:val="auto"/>
              </w:rPr>
            </w:pPr>
          </w:p>
        </w:tc>
      </w:tr>
      <w:tr>
        <w:trPr>
          <w:trHeight w:val="218"/>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1,299,996</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1,196,253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1,266,911</w:t>
            </w:r>
          </w:p>
        </w:tc>
        <w:tc>
          <w:tcPr>
            <w:tcW w:w="0" w:type="dxa"/>
            <w:vAlign w:val="bottom"/>
          </w:tcPr>
          <w:p>
            <w:pPr>
              <w:spacing w:after="0"/>
              <w:rPr>
                <w:sz w:val="1"/>
                <w:szCs w:val="1"/>
                <w:color w:val="auto"/>
              </w:rPr>
            </w:pPr>
          </w:p>
        </w:tc>
      </w:tr>
      <w:tr>
        <w:trPr>
          <w:trHeight w:val="309"/>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stockholders' equity:</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69,695</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69,019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90,268</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12,557</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Lease liability</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52,446</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41,060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52,263</w:t>
            </w:r>
          </w:p>
        </w:tc>
        <w:tc>
          <w:tcPr>
            <w:tcW w:w="0" w:type="dxa"/>
            <w:vAlign w:val="bottom"/>
          </w:tcPr>
          <w:p>
            <w:pPr>
              <w:spacing w:after="0"/>
              <w:rPr>
                <w:sz w:val="1"/>
                <w:szCs w:val="1"/>
                <w:color w:val="auto"/>
              </w:rPr>
            </w:pP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137,187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121,480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155,088</w:t>
            </w:r>
          </w:p>
        </w:tc>
        <w:tc>
          <w:tcPr>
            <w:tcW w:w="0" w:type="dxa"/>
            <w:vAlign w:val="bottom"/>
          </w:tcPr>
          <w:p>
            <w:pPr>
              <w:spacing w:after="0"/>
              <w:rPr>
                <w:sz w:val="1"/>
                <w:szCs w:val="1"/>
                <w:color w:val="auto"/>
              </w:rPr>
            </w:pPr>
          </w:p>
        </w:tc>
      </w:tr>
      <w:tr>
        <w:trPr>
          <w:trHeight w:val="215"/>
        </w:trPr>
        <w:tc>
          <w:tcPr>
            <w:tcW w:w="6700" w:type="dxa"/>
            <w:vAlign w:val="bottom"/>
          </w:tcPr>
          <w:p>
            <w:pPr>
              <w:ind w:left="260"/>
              <w:spacing w:after="0"/>
              <w:rPr>
                <w:sz w:val="20"/>
                <w:szCs w:val="20"/>
                <w:color w:val="auto"/>
              </w:rPr>
            </w:pPr>
            <w:r>
              <w:rPr>
                <w:rFonts w:ascii="Arial" w:cs="Arial" w:eastAsia="Arial" w:hAnsi="Arial"/>
                <w:sz w:val="16"/>
                <w:szCs w:val="16"/>
                <w:color w:val="auto"/>
              </w:rPr>
              <w:t>Long-term debt,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312,168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257,143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264,186</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Deferred tax liability,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3,684</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Lease liability</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163,506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138,622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161,330</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11,940</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10,385</w:t>
            </w:r>
          </w:p>
        </w:tc>
        <w:tc>
          <w:tcPr>
            <w:tcW w:w="0" w:type="dxa"/>
            <w:vAlign w:val="bottom"/>
          </w:tcPr>
          <w:p>
            <w:pPr>
              <w:spacing w:after="0"/>
              <w:rPr>
                <w:sz w:val="1"/>
                <w:szCs w:val="1"/>
                <w:color w:val="auto"/>
              </w:rPr>
            </w:pP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624,980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527,009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594,673</w:t>
            </w:r>
          </w:p>
        </w:tc>
        <w:tc>
          <w:tcPr>
            <w:tcW w:w="0" w:type="dxa"/>
            <w:vAlign w:val="bottom"/>
          </w:tcPr>
          <w:p>
            <w:pPr>
              <w:spacing w:after="0"/>
              <w:rPr>
                <w:sz w:val="1"/>
                <w:szCs w:val="1"/>
                <w:color w:val="auto"/>
              </w:rPr>
            </w:pPr>
          </w:p>
        </w:tc>
      </w:tr>
      <w:tr>
        <w:trPr>
          <w:trHeight w:val="215"/>
        </w:trPr>
        <w:tc>
          <w:tcPr>
            <w:tcW w:w="6700" w:type="dxa"/>
            <w:vAlign w:val="bottom"/>
          </w:tcPr>
          <w:p>
            <w:pPr>
              <w:ind w:left="240"/>
              <w:spacing w:after="0"/>
              <w:rPr>
                <w:sz w:val="20"/>
                <w:szCs w:val="20"/>
                <w:color w:val="auto"/>
              </w:rPr>
            </w:pPr>
            <w:r>
              <w:rPr>
                <w:rFonts w:ascii="Arial" w:cs="Arial" w:eastAsia="Arial" w:hAnsi="Arial"/>
                <w:sz w:val="16"/>
                <w:szCs w:val="16"/>
                <w:color w:val="auto"/>
              </w:rPr>
              <w:t>Commitments and Contingencies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4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6700" w:type="dxa"/>
            <w:vAlign w:val="bottom"/>
          </w:tcPr>
          <w:p>
            <w:pPr>
              <w:ind w:left="480"/>
              <w:spacing w:after="0" w:line="164" w:lineRule="exact"/>
              <w:rPr>
                <w:sz w:val="20"/>
                <w:szCs w:val="20"/>
                <w:color w:val="auto"/>
              </w:rPr>
            </w:pPr>
            <w:r>
              <w:rPr>
                <w:rFonts w:ascii="Arial" w:cs="Arial" w:eastAsia="Arial" w:hAnsi="Arial"/>
                <w:sz w:val="16"/>
                <w:szCs w:val="16"/>
                <w:color w:val="auto"/>
              </w:rPr>
              <w:t>Class A Non-voting Common Stock, par value $0.01 per share; shares authorized:</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00" w:type="dxa"/>
            <w:vAlign w:val="bottom"/>
          </w:tcPr>
          <w:p>
            <w:pPr>
              <w:ind w:left="480"/>
              <w:spacing w:after="0" w:line="162" w:lineRule="exact"/>
              <w:rPr>
                <w:sz w:val="20"/>
                <w:szCs w:val="20"/>
                <w:color w:val="auto"/>
              </w:rPr>
            </w:pPr>
            <w:r>
              <w:rPr>
                <w:rFonts w:ascii="Arial" w:cs="Arial" w:eastAsia="Arial" w:hAnsi="Arial"/>
                <w:sz w:val="16"/>
                <w:szCs w:val="16"/>
                <w:color w:val="auto"/>
              </w:rPr>
              <w:t>100 million; issued and outstanding: 53,685,333 as of March 31, 2022; 52,873,568 as</w:t>
            </w:r>
          </w:p>
        </w:tc>
        <w:tc>
          <w:tcPr>
            <w:tcW w:w="2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of March 31, 2021; and 53,086,438 as of September 30, 2021</w:t>
            </w: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700" w:type="dxa"/>
            <w:vAlign w:val="bottom"/>
          </w:tcPr>
          <w:p>
            <w:pPr>
              <w:ind w:left="480"/>
              <w:spacing w:after="0" w:line="164" w:lineRule="exact"/>
              <w:rPr>
                <w:sz w:val="20"/>
                <w:szCs w:val="20"/>
                <w:color w:val="auto"/>
              </w:rPr>
            </w:pPr>
            <w:r>
              <w:rPr>
                <w:rFonts w:ascii="Arial" w:cs="Arial" w:eastAsia="Arial" w:hAnsi="Arial"/>
                <w:sz w:val="16"/>
                <w:szCs w:val="16"/>
                <w:color w:val="auto"/>
              </w:rPr>
              <w:t>Class B Voting Common Stock, convertible, par value $0.01 per share; shares</w:t>
            </w:r>
          </w:p>
        </w:tc>
        <w:tc>
          <w:tcPr>
            <w:tcW w:w="2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authorized: 3 million; issued and outstanding: 2,970,171</w:t>
            </w: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341,913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399,439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403,312</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384,246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327,798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326,781</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(51,710)</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(58,551)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(58,415)</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675,016</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669,244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672,238</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1,299,996</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1,196,253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1,266,911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704"/>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196"/>
        </w:trPr>
        <w:tc>
          <w:tcPr>
            <w:tcW w:w="8260" w:type="dxa"/>
            <w:vAlign w:val="bottom"/>
          </w:tcPr>
          <w:p>
            <w:pPr>
              <w:ind w:left="20"/>
              <w:spacing w:after="0"/>
              <w:rPr>
                <w:sz w:val="20"/>
                <w:szCs w:val="20"/>
                <w:color w:val="auto"/>
              </w:rPr>
            </w:pPr>
            <w:r>
              <w:rPr>
                <w:rFonts w:ascii="Arial" w:cs="Arial" w:eastAsia="Arial" w:hAnsi="Arial"/>
                <w:sz w:val="15"/>
                <w:szCs w:val="15"/>
                <w:color w:val="auto"/>
              </w:rPr>
              <w:t>(in thousands)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2021</w:t>
            </w:r>
          </w:p>
        </w:tc>
      </w:tr>
      <w:tr>
        <w:trPr>
          <w:trHeight w:val="231"/>
        </w:trPr>
        <w:tc>
          <w:tcPr>
            <w:tcW w:w="8260" w:type="dxa"/>
            <w:vAlign w:val="bottom"/>
          </w:tcPr>
          <w:p>
            <w:pPr>
              <w:ind w:left="20"/>
              <w:spacing w:after="0"/>
              <w:rPr>
                <w:sz w:val="20"/>
                <w:szCs w:val="20"/>
                <w:color w:val="auto"/>
              </w:rPr>
            </w:pPr>
            <w:r>
              <w:rPr>
                <w:rFonts w:ascii="Arial" w:cs="Arial" w:eastAsia="Arial" w:hAnsi="Arial"/>
                <w:sz w:val="15"/>
                <w:szCs w:val="15"/>
                <w:color w:val="auto"/>
              </w:rPr>
              <w:t>Operating activities: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30,608</w:t>
            </w:r>
          </w:p>
        </w:tc>
        <w:tc>
          <w:tcPr>
            <w:tcW w:w="4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9,629</w:t>
            </w:r>
          </w:p>
        </w:tc>
      </w:tr>
      <w:tr>
        <w:trPr>
          <w:trHeight w:val="202"/>
        </w:trPr>
        <w:tc>
          <w:tcPr>
            <w:tcW w:w="8260" w:type="dxa"/>
            <w:vAlign w:val="bottom"/>
          </w:tcPr>
          <w:p>
            <w:pPr>
              <w:ind w:left="480"/>
              <w:spacing w:after="0"/>
              <w:rPr>
                <w:sz w:val="20"/>
                <w:szCs w:val="20"/>
                <w:color w:val="auto"/>
              </w:rPr>
            </w:pPr>
            <w:r>
              <w:rPr>
                <w:rFonts w:ascii="Arial" w:cs="Arial" w:eastAsia="Arial" w:hAnsi="Arial"/>
                <w:sz w:val="15"/>
                <w:szCs w:val="15"/>
                <w:color w:val="auto"/>
              </w:rPr>
              <w:t>Adjustments to reconcile net income to net cash flows from operating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15,024</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15,661</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Amortization of debt discount and deferred financing costs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698</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6,754</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Amortization of lease right-of-use asset</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25,746</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23,835</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Deferred income taxes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212</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(1,119)</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Other adjustments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(708)</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(250)</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Provision for inventory reserve</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(1,780)</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(5,265)</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Stock compensation expense</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2,158</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1,618</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Equity in net loss (income) of unconsolidated affiliates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301</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(1,766)</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Service charges and fees receivable</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687</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(106)</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Inventory</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(2,779)</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6,481</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Prepaid expenses, other current assets and other assets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88</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3,874</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Accounts payable, accrued expenses and other liabilities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(50,258)</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(43,436)</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Customer layaway deposits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2,342</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238</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Income taxes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6,576</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2,573</w:t>
            </w:r>
          </w:p>
        </w:tc>
      </w:tr>
      <w:tr>
        <w:trPr>
          <w:trHeight w:val="205"/>
        </w:trPr>
        <w:tc>
          <w:tcPr>
            <w:tcW w:w="82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Dividends from unconsolidated affiliates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1,660</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8260" w:type="dxa"/>
            <w:vAlign w:val="bottom"/>
          </w:tcPr>
          <w:p>
            <w:pPr>
              <w:ind w:left="80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30,575</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18,721</w:t>
            </w:r>
          </w:p>
        </w:tc>
      </w:tr>
      <w:tr>
        <w:trPr>
          <w:trHeight w:val="200"/>
        </w:trPr>
        <w:tc>
          <w:tcPr>
            <w:tcW w:w="8260" w:type="dxa"/>
            <w:vAlign w:val="bottom"/>
          </w:tcPr>
          <w:p>
            <w:pPr>
              <w:ind w:left="20"/>
              <w:spacing w:after="0"/>
              <w:rPr>
                <w:sz w:val="20"/>
                <w:szCs w:val="20"/>
                <w:color w:val="auto"/>
              </w:rPr>
            </w:pPr>
            <w:r>
              <w:rPr>
                <w:rFonts w:ascii="Arial" w:cs="Arial" w:eastAsia="Arial" w:hAnsi="Arial"/>
                <w:sz w:val="15"/>
                <w:szCs w:val="15"/>
                <w:color w:val="auto"/>
              </w:rPr>
              <w:t>Investing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Loans made</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(329,459)</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(269,468)</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Loans repaid</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199,836</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177,888</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Recovery of pawn loan principal through sale of forfeited collateral</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129,311</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109,019</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Capital expenditures, net</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(10,498)</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(8,359)</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Issuance of note receivable</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(1,000)</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8260" w:type="dxa"/>
            <w:vAlign w:val="bottom"/>
          </w:tcPr>
          <w:p>
            <w:pPr>
              <w:ind w:left="220"/>
              <w:spacing w:after="0"/>
              <w:rPr>
                <w:sz w:val="20"/>
                <w:szCs w:val="20"/>
                <w:color w:val="auto"/>
              </w:rPr>
            </w:pPr>
            <w:r>
              <w:rPr>
                <w:rFonts w:ascii="Arial" w:cs="Arial" w:eastAsia="Arial" w:hAnsi="Arial"/>
                <w:sz w:val="15"/>
                <w:szCs w:val="15"/>
                <w:color w:val="auto"/>
              </w:rPr>
              <w:t>Investment in unconsolidated affiliates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(3,577)</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82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Investment in other investments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(16,500)</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8260" w:type="dxa"/>
            <w:vAlign w:val="bottom"/>
          </w:tcPr>
          <w:p>
            <w:pPr>
              <w:ind w:left="800"/>
              <w:spacing w:after="0"/>
              <w:rPr>
                <w:sz w:val="20"/>
                <w:szCs w:val="20"/>
                <w:color w:val="auto"/>
              </w:rPr>
            </w:pPr>
            <w:r>
              <w:rPr>
                <w:rFonts w:ascii="Arial" w:cs="Arial" w:eastAsia="Arial" w:hAnsi="Arial"/>
                <w:sz w:val="15"/>
                <w:szCs w:val="15"/>
                <w:color w:val="auto"/>
              </w:rPr>
              <w:t>Net cash (used in) provided by investing activities</w:t>
            </w:r>
          </w:p>
        </w:tc>
        <w:tc>
          <w:tcPr>
            <w:tcW w:w="340" w:type="dxa"/>
            <w:vAlign w:val="bottom"/>
          </w:tcPr>
          <w:p>
            <w:pPr>
              <w:spacing w:after="0"/>
              <w:rPr>
                <w:sz w:val="16"/>
                <w:szCs w:val="16"/>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(31,887)</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9,080</w:t>
            </w:r>
          </w:p>
        </w:tc>
      </w:tr>
      <w:tr>
        <w:trPr>
          <w:trHeight w:val="200"/>
        </w:trPr>
        <w:tc>
          <w:tcPr>
            <w:tcW w:w="8260" w:type="dxa"/>
            <w:vAlign w:val="bottom"/>
          </w:tcPr>
          <w:p>
            <w:pPr>
              <w:ind w:left="20"/>
              <w:spacing w:after="0"/>
              <w:rPr>
                <w:sz w:val="20"/>
                <w:szCs w:val="20"/>
                <w:color w:val="auto"/>
              </w:rPr>
            </w:pPr>
            <w:r>
              <w:rPr>
                <w:rFonts w:ascii="Arial" w:cs="Arial" w:eastAsia="Arial" w:hAnsi="Arial"/>
                <w:sz w:val="15"/>
                <w:szCs w:val="15"/>
                <w:color w:val="auto"/>
              </w:rPr>
              <w:t>Financing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Taxes paid related to net share settlement of equity awards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(792)</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(839)</w:t>
            </w:r>
          </w:p>
        </w:tc>
      </w:tr>
      <w:tr>
        <w:trPr>
          <w:trHeight w:val="205"/>
        </w:trPr>
        <w:tc>
          <w:tcPr>
            <w:tcW w:w="82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Payments on assumed debt and other borrowings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(871)</w:t>
            </w:r>
          </w:p>
        </w:tc>
      </w:tr>
      <w:tr>
        <w:trPr>
          <w:trHeight w:val="195"/>
        </w:trPr>
        <w:tc>
          <w:tcPr>
            <w:tcW w:w="8260" w:type="dxa"/>
            <w:vAlign w:val="bottom"/>
          </w:tcPr>
          <w:p>
            <w:pPr>
              <w:ind w:left="800"/>
              <w:spacing w:after="0"/>
              <w:rPr>
                <w:sz w:val="20"/>
                <w:szCs w:val="20"/>
                <w:color w:val="auto"/>
              </w:rPr>
            </w:pPr>
            <w:r>
              <w:rPr>
                <w:rFonts w:ascii="Arial" w:cs="Arial" w:eastAsia="Arial" w:hAnsi="Arial"/>
                <w:sz w:val="15"/>
                <w:szCs w:val="15"/>
                <w:color w:val="auto"/>
              </w:rPr>
              <w:t>Net cash used in financing activities</w:t>
            </w:r>
          </w:p>
        </w:tc>
        <w:tc>
          <w:tcPr>
            <w:tcW w:w="340" w:type="dxa"/>
            <w:vAlign w:val="bottom"/>
          </w:tcPr>
          <w:p>
            <w:pPr>
              <w:spacing w:after="0"/>
              <w:rPr>
                <w:sz w:val="16"/>
                <w:szCs w:val="16"/>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(792)</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(1,710)</w:t>
            </w:r>
          </w:p>
        </w:tc>
      </w:tr>
      <w:tr>
        <w:trPr>
          <w:trHeight w:val="20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Effect of exchange rate changes on cash and cash equivalents and restricted cash</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2,157</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w:t>
            </w:r>
          </w:p>
        </w:tc>
      </w:tr>
      <w:tr>
        <w:trPr>
          <w:trHeight w:val="195"/>
        </w:trPr>
        <w:tc>
          <w:tcPr>
            <w:tcW w:w="8260" w:type="dxa"/>
            <w:vAlign w:val="bottom"/>
          </w:tcPr>
          <w:p>
            <w:pPr>
              <w:ind w:left="20"/>
              <w:spacing w:after="0"/>
              <w:rPr>
                <w:sz w:val="20"/>
                <w:szCs w:val="20"/>
                <w:color w:val="auto"/>
              </w:rPr>
            </w:pPr>
            <w:r>
              <w:rPr>
                <w:rFonts w:ascii="Arial" w:cs="Arial" w:eastAsia="Arial" w:hAnsi="Arial"/>
                <w:sz w:val="15"/>
                <w:szCs w:val="15"/>
                <w:color w:val="auto"/>
              </w:rPr>
              <w:t>Net increase in cash, cash equivalents and restricted cash</w:t>
            </w:r>
          </w:p>
        </w:tc>
        <w:tc>
          <w:tcPr>
            <w:tcW w:w="34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53</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31,091</w:t>
            </w:r>
          </w:p>
        </w:tc>
      </w:tr>
      <w:tr>
        <w:trPr>
          <w:trHeight w:val="20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Cash, cash equivalents and restricted cash at beginning of period</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263,624</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312,553</w:t>
            </w:r>
          </w:p>
        </w:tc>
      </w:tr>
      <w:tr>
        <w:trPr>
          <w:trHeight w:val="206"/>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Cash, cash equivalents and restricted cash at end of period</w:t>
            </w:r>
          </w:p>
        </w:tc>
        <w:tc>
          <w:tcPr>
            <w:tcW w:w="3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263,677</w:t>
            </w:r>
          </w:p>
        </w:tc>
        <w:tc>
          <w:tcPr>
            <w:tcW w:w="48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343,644</w:t>
            </w:r>
          </w:p>
        </w:tc>
      </w:tr>
      <w:tr>
        <w:trPr>
          <w:trHeight w:val="237"/>
        </w:trPr>
        <w:tc>
          <w:tcPr>
            <w:tcW w:w="8260" w:type="dxa"/>
            <w:vAlign w:val="bottom"/>
          </w:tcPr>
          <w:p>
            <w:pPr>
              <w:ind w:left="20"/>
              <w:spacing w:after="0"/>
              <w:rPr>
                <w:sz w:val="20"/>
                <w:szCs w:val="20"/>
                <w:color w:val="auto"/>
              </w:rPr>
            </w:pPr>
            <w:r>
              <w:rPr>
                <w:rFonts w:ascii="Arial" w:cs="Arial" w:eastAsia="Arial" w:hAnsi="Arial"/>
                <w:sz w:val="15"/>
                <w:szCs w:val="15"/>
                <w:color w:val="auto"/>
              </w:rPr>
              <w:t>Supplemental disclosure of cash flow information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3"/>
        </w:trPr>
        <w:tc>
          <w:tcPr>
            <w:tcW w:w="8260" w:type="dxa"/>
            <w:vAlign w:val="bottom"/>
          </w:tcPr>
          <w:p>
            <w:pPr>
              <w:ind w:left="140"/>
              <w:spacing w:after="0"/>
              <w:rPr>
                <w:sz w:val="20"/>
                <w:szCs w:val="20"/>
                <w:color w:val="auto"/>
              </w:rPr>
            </w:pPr>
            <w:r>
              <w:rPr>
                <w:rFonts w:ascii="Arial" w:cs="Arial" w:eastAsia="Arial" w:hAnsi="Arial"/>
                <w:sz w:val="15"/>
                <w:szCs w:val="15"/>
                <w:color w:val="auto"/>
              </w:rPr>
              <w:t>Cash and cash equivalents</w:t>
            </w: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254,964</w:t>
            </w:r>
          </w:p>
        </w:tc>
        <w:tc>
          <w:tcPr>
            <w:tcW w:w="4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335,638</w:t>
            </w:r>
          </w:p>
        </w:tc>
      </w:tr>
      <w:tr>
        <w:trPr>
          <w:trHeight w:val="205"/>
        </w:trPr>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Restricted cash</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8,713</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8,006</w:t>
            </w:r>
          </w:p>
        </w:tc>
      </w:tr>
      <w:tr>
        <w:trPr>
          <w:trHeight w:val="206"/>
        </w:trPr>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Total cash and cash equivalents and restricted cash</w:t>
            </w:r>
          </w:p>
        </w:tc>
        <w:tc>
          <w:tcPr>
            <w:tcW w:w="3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263,677</w:t>
            </w:r>
          </w:p>
        </w:tc>
        <w:tc>
          <w:tcPr>
            <w:tcW w:w="48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343,644</w:t>
            </w:r>
          </w:p>
        </w:tc>
      </w:tr>
      <w:tr>
        <w:trPr>
          <w:trHeight w:val="291"/>
        </w:trPr>
        <w:tc>
          <w:tcPr>
            <w:tcW w:w="8260" w:type="dxa"/>
            <w:vAlign w:val="bottom"/>
          </w:tcPr>
          <w:p>
            <w:pPr>
              <w:ind w:left="20"/>
              <w:spacing w:after="0"/>
              <w:rPr>
                <w:sz w:val="20"/>
                <w:szCs w:val="20"/>
                <w:color w:val="auto"/>
              </w:rPr>
            </w:pPr>
            <w:r>
              <w:rPr>
                <w:rFonts w:ascii="Arial" w:cs="Arial" w:eastAsia="Arial" w:hAnsi="Arial"/>
                <w:sz w:val="15"/>
                <w:szCs w:val="15"/>
                <w:color w:val="auto"/>
              </w:rPr>
              <w:t>Non-cash investing and financing activities: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Pawn loans forfeited and transferred to inventory</w:t>
            </w: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134,562</w:t>
            </w:r>
          </w:p>
        </w:tc>
        <w:tc>
          <w:tcPr>
            <w:tcW w:w="4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99,285</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Transfer of consideration for other investment</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1,500</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r>
    </w:tbl>
    <w:p>
      <w:pPr>
        <w:sectPr>
          <w:pgSz w:w="11900" w:h="16838" w:orient="portrait"/>
          <w:cols w:equalWidth="0" w:num="1">
            <w:col w:w="11240"/>
          </w:cols>
          <w:pgMar w:left="320" w:top="125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7"/>
          </w:tcPr>
          <w:p>
            <w:pPr>
              <w:ind w:left="100"/>
              <w:spacing w:after="0"/>
              <w:rPr>
                <w:sz w:val="20"/>
                <w:szCs w:val="20"/>
                <w:color w:val="auto"/>
              </w:rPr>
            </w:pPr>
            <w:r>
              <w:rPr>
                <w:rFonts w:ascii="Arial" w:cs="Arial" w:eastAsia="Arial" w:hAnsi="Arial"/>
                <w:sz w:val="16"/>
                <w:szCs w:val="16"/>
                <w:b w:val="1"/>
                <w:bCs w:val="1"/>
                <w:color w:val="auto"/>
              </w:rPr>
              <w:t>Three Months Ended March 31, 2022</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8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180" w:type="dxa"/>
            <w:vAlign w:val="bottom"/>
          </w:tcPr>
          <w:p>
            <w:pPr>
              <w:jc w:val="right"/>
              <w:ind w:right="19"/>
              <w:spacing w:after="0" w:line="155" w:lineRule="exact"/>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2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Investments</w:t>
            </w:r>
          </w:p>
        </w:tc>
        <w:tc>
          <w:tcPr>
            <w:tcW w:w="1420" w:type="dxa"/>
            <w:vAlign w:val="bottom"/>
            <w:gridSpan w:val="3"/>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4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100,064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33,492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133,556</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133,556</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5,690</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58,772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17,911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76,683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76,683</w:t>
            </w:r>
          </w:p>
        </w:tc>
        <w:tc>
          <w:tcPr>
            <w:tcW w:w="0" w:type="dxa"/>
            <w:vAlign w:val="bottom"/>
          </w:tcPr>
          <w:p>
            <w:pPr>
              <w:spacing w:after="0"/>
              <w:rPr>
                <w:sz w:val="1"/>
                <w:szCs w:val="1"/>
                <w:color w:val="auto"/>
              </w:rPr>
            </w:pPr>
          </w:p>
        </w:tc>
      </w:tr>
      <w:tr>
        <w:trPr>
          <w:trHeight w:val="217"/>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9"/>
        </w:trPr>
        <w:tc>
          <w:tcPr>
            <w:tcW w:w="28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162,340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53,613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215,982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215,982</w:t>
            </w:r>
          </w:p>
        </w:tc>
        <w:tc>
          <w:tcPr>
            <w:tcW w:w="0" w:type="dxa"/>
            <w:vAlign w:val="bottom"/>
          </w:tcPr>
          <w:p>
            <w:pPr>
              <w:spacing w:after="0"/>
              <w:rPr>
                <w:sz w:val="1"/>
                <w:szCs w:val="1"/>
                <w:color w:val="auto"/>
              </w:rPr>
            </w:pP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58,613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23,633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82,246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82,246</w:t>
            </w:r>
          </w:p>
        </w:tc>
        <w:tc>
          <w:tcPr>
            <w:tcW w:w="0" w:type="dxa"/>
            <w:vAlign w:val="bottom"/>
          </w:tcPr>
          <w:p>
            <w:pPr>
              <w:spacing w:after="0"/>
              <w:rPr>
                <w:sz w:val="1"/>
                <w:szCs w:val="1"/>
                <w:color w:val="auto"/>
              </w:rPr>
            </w:pPr>
          </w:p>
        </w:tc>
      </w:tr>
      <w:tr>
        <w:trPr>
          <w:trHeight w:val="217"/>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4,808</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4,808</w:t>
            </w:r>
          </w:p>
        </w:tc>
        <w:tc>
          <w:tcPr>
            <w:tcW w:w="0" w:type="dxa"/>
            <w:vAlign w:val="bottom"/>
          </w:tcPr>
          <w:p>
            <w:pPr>
              <w:spacing w:after="0"/>
              <w:rPr>
                <w:sz w:val="1"/>
                <w:szCs w:val="1"/>
                <w:color w:val="auto"/>
              </w:rPr>
            </w:pPr>
          </w:p>
        </w:tc>
      </w:tr>
      <w:tr>
        <w:trPr>
          <w:trHeight w:val="209"/>
        </w:trPr>
        <w:tc>
          <w:tcPr>
            <w:tcW w:w="284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100,929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27,970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128,928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128,928</w:t>
            </w:r>
          </w:p>
        </w:tc>
        <w:tc>
          <w:tcPr>
            <w:tcW w:w="0" w:type="dxa"/>
            <w:vAlign w:val="bottom"/>
          </w:tcPr>
          <w:p>
            <w:pPr>
              <w:spacing w:after="0"/>
              <w:rPr>
                <w:sz w:val="1"/>
                <w:szCs w:val="1"/>
                <w:color w:val="auto"/>
              </w:rPr>
            </w:pPr>
          </w:p>
        </w:tc>
      </w:tr>
      <w:tr>
        <w:trPr>
          <w:trHeight w:val="163"/>
        </w:trPr>
        <w:tc>
          <w:tcPr>
            <w:tcW w:w="2840" w:type="dxa"/>
            <w:vAlign w:val="bottom"/>
          </w:tcPr>
          <w:p>
            <w:pPr>
              <w:ind w:left="20"/>
              <w:spacing w:after="0" w:line="164" w:lineRule="exact"/>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64,492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21,251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85,743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85,743</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12,227</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164"/>
        </w:trPr>
        <w:tc>
          <w:tcPr>
            <w:tcW w:w="2840" w:type="dxa"/>
            <w:vAlign w:val="bottom"/>
          </w:tcPr>
          <w:p>
            <w:pPr>
              <w:ind w:left="220"/>
              <w:spacing w:after="0" w:line="164" w:lineRule="exact"/>
              <w:rPr>
                <w:sz w:val="20"/>
                <w:szCs w:val="20"/>
                <w:color w:val="auto"/>
              </w:rPr>
            </w:pPr>
            <w:r>
              <w:rPr>
                <w:rFonts w:ascii="Arial" w:cs="Arial" w:eastAsia="Arial" w:hAnsi="Arial"/>
                <w:sz w:val="16"/>
                <w:szCs w:val="16"/>
                <w:color w:val="auto"/>
              </w:rPr>
              <w:t>Gain on sale or disposal of assets</w:t>
            </w:r>
          </w:p>
        </w:tc>
        <w:tc>
          <w:tcPr>
            <w:tcW w:w="18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15"/>
        </w:trPr>
        <w:tc>
          <w:tcPr>
            <w:tcW w:w="284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2,527</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164"/>
        </w:trPr>
        <w:tc>
          <w:tcPr>
            <w:tcW w:w="2840" w:type="dxa"/>
            <w:vAlign w:val="bottom"/>
          </w:tcPr>
          <w:p>
            <w:pPr>
              <w:ind w:left="220"/>
              <w:spacing w:after="0" w:line="164" w:lineRule="exact"/>
              <w:rPr>
                <w:sz w:val="20"/>
                <w:szCs w:val="20"/>
                <w:color w:val="auto"/>
              </w:rPr>
            </w:pPr>
            <w:r>
              <w:rPr>
                <w:rFonts w:ascii="Arial" w:cs="Arial" w:eastAsia="Arial" w:hAnsi="Arial"/>
                <w:sz w:val="16"/>
                <w:szCs w:val="16"/>
                <w:color w:val="auto"/>
              </w:rPr>
              <w:t>Equity in net loss of unconsolidated</w:t>
            </w:r>
          </w:p>
        </w:tc>
        <w:tc>
          <w:tcPr>
            <w:tcW w:w="18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1,439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1,439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1,439</w:t>
            </w:r>
          </w:p>
        </w:tc>
        <w:tc>
          <w:tcPr>
            <w:tcW w:w="0" w:type="dxa"/>
            <w:vAlign w:val="bottom"/>
          </w:tcPr>
          <w:p>
            <w:pPr>
              <w:spacing w:after="0"/>
              <w:rPr>
                <w:sz w:val="1"/>
                <w:szCs w:val="1"/>
                <w:color w:val="auto"/>
              </w:rPr>
            </w:pPr>
          </w:p>
        </w:tc>
      </w:tr>
      <w:tr>
        <w:trPr>
          <w:trHeight w:val="215"/>
        </w:trPr>
        <w:tc>
          <w:tcPr>
            <w:tcW w:w="284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expense</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33,812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4,758</w:t>
            </w: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37,152</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37,152</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(17,029)</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20,123</w:t>
            </w: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Three Months Ended March 31, 2021</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180" w:type="dxa"/>
            <w:vAlign w:val="bottom"/>
          </w:tcPr>
          <w:p>
            <w:pPr>
              <w:jc w:val="right"/>
              <w:ind w:right="39"/>
              <w:spacing w:after="0" w:line="155" w:lineRule="exact"/>
              <w:rPr>
                <w:sz w:val="20"/>
                <w:szCs w:val="20"/>
                <w:color w:val="auto"/>
              </w:rPr>
            </w:pPr>
            <w:r>
              <w:rPr>
                <w:rFonts w:ascii="Arial" w:cs="Arial" w:eastAsia="Arial" w:hAnsi="Arial"/>
                <w:sz w:val="16"/>
                <w:szCs w:val="16"/>
                <w:b w:val="1"/>
                <w:bCs w:val="1"/>
                <w:color w:val="auto"/>
                <w:w w:val="98"/>
              </w:rPr>
              <w:t>Latin America</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2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Investments</w:t>
            </w:r>
          </w:p>
        </w:tc>
        <w:tc>
          <w:tcPr>
            <w:tcW w:w="1420" w:type="dxa"/>
            <w:vAlign w:val="bottom"/>
            <w:gridSpan w:val="3"/>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86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93,827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21,398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115,225</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115,225</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6,075</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49,577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63,436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63,436</w:t>
            </w:r>
          </w:p>
        </w:tc>
        <w:tc>
          <w:tcPr>
            <w:tcW w:w="0" w:type="dxa"/>
            <w:vAlign w:val="bottom"/>
          </w:tcPr>
          <w:p>
            <w:pPr>
              <w:spacing w:after="0"/>
              <w:rPr>
                <w:sz w:val="1"/>
                <w:szCs w:val="1"/>
                <w:color w:val="auto"/>
              </w:rPr>
            </w:pPr>
          </w:p>
        </w:tc>
      </w:tr>
      <w:tr>
        <w:trPr>
          <w:trHeight w:val="217"/>
        </w:trPr>
        <w:tc>
          <w:tcPr>
            <w:tcW w:w="28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9"/>
        </w:trPr>
        <w:tc>
          <w:tcPr>
            <w:tcW w:w="286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147,014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37,751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184,939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184,939</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51,812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65,790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65,790</w:t>
            </w:r>
          </w:p>
        </w:tc>
        <w:tc>
          <w:tcPr>
            <w:tcW w:w="0" w:type="dxa"/>
            <w:vAlign w:val="bottom"/>
          </w:tcPr>
          <w:p>
            <w:pPr>
              <w:spacing w:after="0"/>
              <w:rPr>
                <w:sz w:val="1"/>
                <w:szCs w:val="1"/>
                <w:color w:val="auto"/>
              </w:rPr>
            </w:pPr>
          </w:p>
        </w:tc>
      </w:tr>
      <w:tr>
        <w:trPr>
          <w:trHeight w:val="217"/>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5,401</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5,401</w:t>
            </w:r>
          </w:p>
        </w:tc>
        <w:tc>
          <w:tcPr>
            <w:tcW w:w="0" w:type="dxa"/>
            <w:vAlign w:val="bottom"/>
          </w:tcPr>
          <w:p>
            <w:pPr>
              <w:spacing w:after="0"/>
              <w:rPr>
                <w:sz w:val="1"/>
                <w:szCs w:val="1"/>
                <w:color w:val="auto"/>
              </w:rPr>
            </w:pPr>
          </w:p>
        </w:tc>
      </w:tr>
      <w:tr>
        <w:trPr>
          <w:trHeight w:val="209"/>
        </w:trPr>
        <w:tc>
          <w:tcPr>
            <w:tcW w:w="286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92,053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113,748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113,748</w:t>
            </w:r>
          </w:p>
        </w:tc>
        <w:tc>
          <w:tcPr>
            <w:tcW w:w="0" w:type="dxa"/>
            <w:vAlign w:val="bottom"/>
          </w:tcPr>
          <w:p>
            <w:pPr>
              <w:spacing w:after="0"/>
              <w:rPr>
                <w:sz w:val="1"/>
                <w:szCs w:val="1"/>
                <w:color w:val="auto"/>
              </w:rPr>
            </w:pPr>
          </w:p>
        </w:tc>
      </w:tr>
      <w:tr>
        <w:trPr>
          <w:trHeight w:val="163"/>
        </w:trPr>
        <w:tc>
          <w:tcPr>
            <w:tcW w:w="2860" w:type="dxa"/>
            <w:vAlign w:val="bottom"/>
          </w:tcPr>
          <w:p>
            <w:pPr>
              <w:ind w:left="20"/>
              <w:spacing w:after="0" w:line="164" w:lineRule="exact"/>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6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63,657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17,492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81,149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81,149</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13,771</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8,089</w:t>
            </w:r>
          </w:p>
        </w:tc>
        <w:tc>
          <w:tcPr>
            <w:tcW w:w="0" w:type="dxa"/>
            <w:vAlign w:val="bottom"/>
          </w:tcPr>
          <w:p>
            <w:pPr>
              <w:spacing w:after="0"/>
              <w:rPr>
                <w:sz w:val="1"/>
                <w:szCs w:val="1"/>
                <w:color w:val="auto"/>
              </w:rPr>
            </w:pPr>
          </w:p>
        </w:tc>
      </w:tr>
      <w:tr>
        <w:trPr>
          <w:trHeight w:val="164"/>
        </w:trPr>
        <w:tc>
          <w:tcPr>
            <w:tcW w:w="2860" w:type="dxa"/>
            <w:vAlign w:val="bottom"/>
          </w:tcPr>
          <w:p>
            <w:pPr>
              <w:ind w:left="220"/>
              <w:spacing w:after="0" w:line="164" w:lineRule="exact"/>
              <w:rPr>
                <w:sz w:val="20"/>
                <w:szCs w:val="20"/>
                <w:color w:val="auto"/>
              </w:rPr>
            </w:pPr>
            <w:r>
              <w:rPr>
                <w:rFonts w:ascii="Arial" w:cs="Arial" w:eastAsia="Arial" w:hAnsi="Arial"/>
                <w:sz w:val="16"/>
                <w:szCs w:val="16"/>
                <w:color w:val="auto"/>
              </w:rPr>
              <w:t>Loss on sale or disposal of assets</w:t>
            </w:r>
          </w:p>
        </w:tc>
        <w:tc>
          <w:tcPr>
            <w:tcW w:w="18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5"/>
        </w:trPr>
        <w:tc>
          <w:tcPr>
            <w:tcW w:w="286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5,518</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164"/>
        </w:trPr>
        <w:tc>
          <w:tcPr>
            <w:tcW w:w="2860" w:type="dxa"/>
            <w:vAlign w:val="bottom"/>
          </w:tcPr>
          <w:p>
            <w:pPr>
              <w:ind w:left="220"/>
              <w:spacing w:after="0" w:line="164" w:lineRule="exact"/>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5"/>
        </w:trPr>
        <w:tc>
          <w:tcPr>
            <w:tcW w:w="286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expense</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0"/>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2,621</w:t>
            </w: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29,796</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29,796</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(22,997)</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6,799</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7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Six Months Ended March 31, 2022</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88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340" w:type="dxa"/>
            <w:vAlign w:val="bottom"/>
            <w:gridSpan w:val="3"/>
          </w:tcPr>
          <w:p>
            <w:pPr>
              <w:jc w:val="center"/>
              <w:ind w:right="12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Other</w:t>
            </w:r>
          </w:p>
        </w:tc>
        <w:tc>
          <w:tcPr>
            <w:tcW w:w="13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Segments</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Corporate</w:t>
            </w:r>
          </w:p>
        </w:tc>
        <w:tc>
          <w:tcPr>
            <w:tcW w:w="120" w:type="dxa"/>
            <w:vAlign w:val="bottom"/>
          </w:tcPr>
          <w:p>
            <w:pPr>
              <w:spacing w:after="0"/>
              <w:rPr>
                <w:sz w:val="13"/>
                <w:szCs w:val="13"/>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2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Investments</w:t>
            </w:r>
          </w:p>
        </w:tc>
        <w:tc>
          <w:tcPr>
            <w:tcW w:w="13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80" w:type="dxa"/>
            <w:vAlign w:val="bottom"/>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202,142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69,134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271,276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271,276</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12,634</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115,329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37,379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152,708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152,708</w:t>
            </w:r>
          </w:p>
        </w:tc>
        <w:tc>
          <w:tcPr>
            <w:tcW w:w="0" w:type="dxa"/>
            <w:vAlign w:val="bottom"/>
          </w:tcPr>
          <w:p>
            <w:pPr>
              <w:spacing w:after="0"/>
              <w:rPr>
                <w:sz w:val="1"/>
                <w:szCs w:val="1"/>
                <w:color w:val="auto"/>
              </w:rPr>
            </w:pPr>
          </w:p>
        </w:tc>
      </w:tr>
      <w:tr>
        <w:trPr>
          <w:trHeight w:val="217"/>
        </w:trPr>
        <w:tc>
          <w:tcPr>
            <w:tcW w:w="28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09"/>
        </w:trPr>
        <w:tc>
          <w:tcPr>
            <w:tcW w:w="288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325,977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110,927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436,976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436,976</w:t>
            </w:r>
          </w:p>
        </w:tc>
        <w:tc>
          <w:tcPr>
            <w:tcW w:w="0" w:type="dxa"/>
            <w:vAlign w:val="bottom"/>
          </w:tcPr>
          <w:p>
            <w:pPr>
              <w:spacing w:after="0"/>
              <w:rPr>
                <w:sz w:val="1"/>
                <w:szCs w:val="1"/>
                <w:color w:val="auto"/>
              </w:rPr>
            </w:pPr>
          </w:p>
        </w:tc>
      </w:tr>
      <w:tr>
        <w:trPr>
          <w:trHeight w:val="215"/>
        </w:trPr>
        <w:tc>
          <w:tcPr>
            <w:tcW w:w="288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116,445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48,912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165,357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165,357</w:t>
            </w:r>
          </w:p>
        </w:tc>
        <w:tc>
          <w:tcPr>
            <w:tcW w:w="0" w:type="dxa"/>
            <w:vAlign w:val="bottom"/>
          </w:tcPr>
          <w:p>
            <w:pPr>
              <w:spacing w:after="0"/>
              <w:rPr>
                <w:sz w:val="1"/>
                <w:szCs w:val="1"/>
                <w:color w:val="auto"/>
              </w:rPr>
            </w:pPr>
          </w:p>
        </w:tc>
      </w:tr>
      <w:tr>
        <w:trPr>
          <w:trHeight w:val="164"/>
        </w:trPr>
        <w:tc>
          <w:tcPr>
            <w:tcW w:w="2880" w:type="dxa"/>
            <w:vAlign w:val="bottom"/>
          </w:tcPr>
          <w:p>
            <w:pPr>
              <w:ind w:left="220"/>
              <w:spacing w:after="0" w:line="164" w:lineRule="exact"/>
              <w:rPr>
                <w:sz w:val="20"/>
                <w:szCs w:val="20"/>
                <w:color w:val="auto"/>
              </w:rPr>
            </w:pPr>
            <w:r>
              <w:rPr>
                <w:rFonts w:ascii="Arial" w:cs="Arial" w:eastAsia="Arial" w:hAnsi="Arial"/>
                <w:sz w:val="16"/>
                <w:szCs w:val="16"/>
                <w:color w:val="auto"/>
              </w:rPr>
              <w:t>Jewelry scrapping cost of goods</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6,773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3,807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10,580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10,580</w:t>
            </w:r>
          </w:p>
        </w:tc>
        <w:tc>
          <w:tcPr>
            <w:tcW w:w="0" w:type="dxa"/>
            <w:vAlign w:val="bottom"/>
          </w:tcPr>
          <w:p>
            <w:pPr>
              <w:spacing w:after="0"/>
              <w:rPr>
                <w:sz w:val="1"/>
                <w:szCs w:val="1"/>
                <w:color w:val="auto"/>
              </w:rPr>
            </w:pPr>
          </w:p>
        </w:tc>
      </w:tr>
      <w:tr>
        <w:trPr>
          <w:trHeight w:val="215"/>
        </w:trPr>
        <w:tc>
          <w:tcPr>
            <w:tcW w:w="28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sold</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202,759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58,208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261,039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261,039</w:t>
            </w:r>
          </w:p>
        </w:tc>
        <w:tc>
          <w:tcPr>
            <w:tcW w:w="0" w:type="dxa"/>
            <w:vAlign w:val="bottom"/>
          </w:tcPr>
          <w:p>
            <w:pPr>
              <w:spacing w:after="0"/>
              <w:rPr>
                <w:sz w:val="1"/>
                <w:szCs w:val="1"/>
                <w:color w:val="auto"/>
              </w:rPr>
            </w:pPr>
          </w:p>
        </w:tc>
      </w:tr>
      <w:tr>
        <w:trPr>
          <w:trHeight w:val="163"/>
        </w:trPr>
        <w:tc>
          <w:tcPr>
            <w:tcW w:w="2880" w:type="dxa"/>
            <w:vAlign w:val="bottom"/>
          </w:tcPr>
          <w:p>
            <w:pPr>
              <w:ind w:left="20"/>
              <w:spacing w:after="0" w:line="164" w:lineRule="exact"/>
              <w:rPr>
                <w:sz w:val="20"/>
                <w:szCs w:val="20"/>
                <w:color w:val="auto"/>
              </w:rPr>
            </w:pPr>
            <w:r>
              <w:rPr>
                <w:rFonts w:ascii="Arial" w:cs="Arial" w:eastAsia="Arial" w:hAnsi="Arial"/>
                <w:sz w:val="16"/>
                <w:szCs w:val="16"/>
                <w:color w:val="auto"/>
              </w:rPr>
              <w:t>Segment and corporate expenses</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80" w:type="dxa"/>
            <w:vAlign w:val="bottom"/>
          </w:tcPr>
          <w:p>
            <w:pPr>
              <w:ind w:left="2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8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129,181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43,333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172,514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172,514</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27,772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27,772</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15,024</w:t>
            </w:r>
          </w:p>
        </w:tc>
        <w:tc>
          <w:tcPr>
            <w:tcW w:w="0" w:type="dxa"/>
            <w:vAlign w:val="bottom"/>
          </w:tcPr>
          <w:p>
            <w:pPr>
              <w:spacing w:after="0"/>
              <w:rPr>
                <w:sz w:val="1"/>
                <w:szCs w:val="1"/>
                <w:color w:val="auto"/>
              </w:rPr>
            </w:pPr>
          </w:p>
        </w:tc>
      </w:tr>
      <w:tr>
        <w:trPr>
          <w:trHeight w:val="164"/>
        </w:trPr>
        <w:tc>
          <w:tcPr>
            <w:tcW w:w="2880" w:type="dxa"/>
            <w:vAlign w:val="bottom"/>
          </w:tcPr>
          <w:p>
            <w:pPr>
              <w:ind w:left="220"/>
              <w:spacing w:after="0" w:line="164" w:lineRule="exact"/>
              <w:rPr>
                <w:sz w:val="20"/>
                <w:szCs w:val="20"/>
                <w:color w:val="auto"/>
              </w:rPr>
            </w:pPr>
            <w:r>
              <w:rPr>
                <w:rFonts w:ascii="Arial" w:cs="Arial" w:eastAsia="Arial" w:hAnsi="Arial"/>
                <w:sz w:val="16"/>
                <w:szCs w:val="16"/>
                <w:color w:val="auto"/>
              </w:rPr>
              <w:t>Gain on sale or disposal of assets</w:t>
            </w:r>
          </w:p>
        </w:tc>
        <w:tc>
          <w:tcPr>
            <w:tcW w:w="160" w:type="dxa"/>
            <w:vAlign w:val="bottom"/>
          </w:tcPr>
          <w:p>
            <w:pPr>
              <w:spacing w:after="0"/>
              <w:rPr>
                <w:sz w:val="14"/>
                <w:szCs w:val="14"/>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5"/>
        </w:trPr>
        <w:tc>
          <w:tcPr>
            <w:tcW w:w="288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4,958</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164"/>
        </w:trPr>
        <w:tc>
          <w:tcPr>
            <w:tcW w:w="2880" w:type="dxa"/>
            <w:vAlign w:val="bottom"/>
          </w:tcPr>
          <w:p>
            <w:pPr>
              <w:ind w:left="220"/>
              <w:spacing w:after="0" w:line="164" w:lineRule="exact"/>
              <w:rPr>
                <w:sz w:val="20"/>
                <w:szCs w:val="20"/>
                <w:color w:val="auto"/>
              </w:rPr>
            </w:pPr>
            <w:r>
              <w:rPr>
                <w:rFonts w:ascii="Arial" w:cs="Arial" w:eastAsia="Arial" w:hAnsi="Arial"/>
                <w:sz w:val="16"/>
                <w:szCs w:val="16"/>
                <w:color w:val="auto"/>
              </w:rPr>
              <w:t>Equity in net loss of unconsolidated</w:t>
            </w:r>
          </w:p>
        </w:tc>
        <w:tc>
          <w:tcPr>
            <w:tcW w:w="160" w:type="dxa"/>
            <w:vAlign w:val="bottom"/>
          </w:tcPr>
          <w:p>
            <w:pPr>
              <w:spacing w:after="0"/>
              <w:rPr>
                <w:sz w:val="14"/>
                <w:szCs w:val="14"/>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5"/>
        </w:trPr>
        <w:tc>
          <w:tcPr>
            <w:tcW w:w="288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expense (income)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0"/>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68,283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79,303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79,303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(37,833)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41,470</w:t>
            </w:r>
          </w:p>
        </w:tc>
        <w:tc>
          <w:tcPr>
            <w:tcW w:w="0" w:type="dxa"/>
            <w:vAlign w:val="bottom"/>
          </w:tcPr>
          <w:p>
            <w:pPr>
              <w:spacing w:after="0"/>
              <w:rPr>
                <w:sz w:val="1"/>
                <w:szCs w:val="1"/>
                <w:color w:val="auto"/>
              </w:rPr>
            </w:pPr>
          </w:p>
        </w:tc>
      </w:tr>
    </w:tbl>
    <w:p>
      <w:pPr>
        <w:sectPr>
          <w:pgSz w:w="11900" w:h="16838" w:orient="portrait"/>
          <w:cols w:equalWidth="0" w:num="1">
            <w:col w:w="10920"/>
          </w:cols>
          <w:pgMar w:left="320" w:top="1232" w:right="6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ind w:left="60"/>
              <w:spacing w:after="0"/>
              <w:rPr>
                <w:sz w:val="20"/>
                <w:szCs w:val="20"/>
                <w:color w:val="auto"/>
              </w:rPr>
            </w:pPr>
            <w:r>
              <w:rPr>
                <w:rFonts w:ascii="Arial" w:cs="Arial" w:eastAsia="Arial" w:hAnsi="Arial"/>
                <w:sz w:val="16"/>
                <w:szCs w:val="16"/>
                <w:b w:val="1"/>
                <w:bCs w:val="1"/>
                <w:color w:val="auto"/>
              </w:rPr>
              <w:t>Six Months Ended March 31, 2021</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8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34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Other</w:t>
            </w:r>
          </w:p>
        </w:tc>
        <w:tc>
          <w:tcPr>
            <w:tcW w:w="13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Segments</w:t>
            </w:r>
          </w:p>
        </w:tc>
        <w:tc>
          <w:tcPr>
            <w:tcW w:w="180" w:type="dxa"/>
            <w:vAlign w:val="bottom"/>
          </w:tcPr>
          <w:p>
            <w:pPr>
              <w:spacing w:after="0"/>
              <w:rPr>
                <w:sz w:val="13"/>
                <w:szCs w:val="13"/>
                <w:color w:val="auto"/>
              </w:rPr>
            </w:pPr>
          </w:p>
        </w:tc>
        <w:tc>
          <w:tcPr>
            <w:tcW w:w="120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Corporate</w:t>
            </w:r>
          </w:p>
        </w:tc>
        <w:tc>
          <w:tcPr>
            <w:tcW w:w="120" w:type="dxa"/>
            <w:vAlign w:val="bottom"/>
          </w:tcPr>
          <w:p>
            <w:pPr>
              <w:spacing w:after="0"/>
              <w:rPr>
                <w:sz w:val="13"/>
                <w:szCs w:val="13"/>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3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Items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176,080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46,928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223,008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223,008</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12,834</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99,797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27,128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126,925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126,925</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09"/>
        </w:trPr>
        <w:tc>
          <w:tcPr>
            <w:tcW w:w="28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283,513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79,312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363,074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363,074</w:t>
            </w: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99,871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30,462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130,333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130,333</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10,603</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cost of revenues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82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177,649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44,240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222,138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222,138</w:t>
            </w:r>
          </w:p>
        </w:tc>
        <w:tc>
          <w:tcPr>
            <w:tcW w:w="0" w:type="dxa"/>
            <w:vAlign w:val="bottom"/>
          </w:tcPr>
          <w:p>
            <w:pPr>
              <w:spacing w:after="0"/>
              <w:rPr>
                <w:sz w:val="1"/>
                <w:szCs w:val="1"/>
                <w:color w:val="auto"/>
              </w:rPr>
            </w:pPr>
          </w:p>
        </w:tc>
      </w:tr>
      <w:tr>
        <w:trPr>
          <w:trHeight w:val="163"/>
        </w:trPr>
        <w:tc>
          <w:tcPr>
            <w:tcW w:w="2820" w:type="dxa"/>
            <w:vAlign w:val="bottom"/>
          </w:tcPr>
          <w:p>
            <w:pPr>
              <w:ind w:left="20"/>
              <w:spacing w:after="0" w:line="164" w:lineRule="exact"/>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125,749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34,709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160,458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160,458</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26,281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26,281</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15,661</w:t>
            </w:r>
          </w:p>
        </w:tc>
        <w:tc>
          <w:tcPr>
            <w:tcW w:w="0" w:type="dxa"/>
            <w:vAlign w:val="bottom"/>
          </w:tcPr>
          <w:p>
            <w:pPr>
              <w:spacing w:after="0"/>
              <w:rPr>
                <w:sz w:val="1"/>
                <w:szCs w:val="1"/>
                <w:color w:val="auto"/>
              </w:rPr>
            </w:pPr>
          </w:p>
        </w:tc>
      </w:tr>
      <w:tr>
        <w:trPr>
          <w:trHeight w:val="164"/>
        </w:trPr>
        <w:tc>
          <w:tcPr>
            <w:tcW w:w="2820" w:type="dxa"/>
            <w:vAlign w:val="bottom"/>
          </w:tcPr>
          <w:p>
            <w:pPr>
              <w:ind w:left="220"/>
              <w:spacing w:after="0" w:line="164" w:lineRule="exact"/>
              <w:rPr>
                <w:sz w:val="20"/>
                <w:szCs w:val="20"/>
                <w:color w:val="auto"/>
              </w:rPr>
            </w:pPr>
            <w:r>
              <w:rPr>
                <w:rFonts w:ascii="Arial" w:cs="Arial" w:eastAsia="Arial" w:hAnsi="Arial"/>
                <w:sz w:val="16"/>
                <w:szCs w:val="16"/>
                <w:color w:val="auto"/>
              </w:rPr>
              <w:t>Loss on sale or disposal of assets</w:t>
            </w: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10,973</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164"/>
        </w:trPr>
        <w:tc>
          <w:tcPr>
            <w:tcW w:w="2820" w:type="dxa"/>
            <w:vAlign w:val="bottom"/>
          </w:tcPr>
          <w:p>
            <w:pPr>
              <w:ind w:left="220"/>
              <w:spacing w:after="0" w:line="164" w:lineRule="exact"/>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4"/>
                <w:szCs w:val="14"/>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(1,766)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(1,766)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46,501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2,216</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56,300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56,300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(43,999)</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12,301</w:t>
            </w:r>
          </w:p>
        </w:tc>
        <w:tc>
          <w:tcPr>
            <w:tcW w:w="0" w:type="dxa"/>
            <w:vAlign w:val="bottom"/>
          </w:tcPr>
          <w:p>
            <w:pPr>
              <w:spacing w:after="0"/>
              <w:rPr>
                <w:sz w:val="1"/>
                <w:szCs w:val="1"/>
                <w:color w:val="auto"/>
              </w:rPr>
            </w:pPr>
          </w:p>
        </w:tc>
      </w:tr>
    </w:tbl>
    <w:p>
      <w:pPr>
        <w:sectPr>
          <w:pgSz w:w="11900" w:h="16838" w:orient="portrait"/>
          <w:cols w:equalWidth="0" w:num="1">
            <w:col w:w="10920"/>
          </w:cols>
          <w:pgMar w:left="320" w:top="1030" w:right="6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49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EZCORP, Inc.</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49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STORE COUNT ACTIVITY</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80" w:type="dxa"/>
            <w:vAlign w:val="bottom"/>
          </w:tcPr>
          <w:p>
            <w:pPr>
              <w:spacing w:after="0"/>
              <w:rPr>
                <w:sz w:val="18"/>
                <w:szCs w:val="18"/>
                <w:color w:val="auto"/>
              </w:rPr>
            </w:pPr>
          </w:p>
        </w:tc>
        <w:tc>
          <w:tcPr>
            <w:tcW w:w="4980" w:type="dxa"/>
            <w:vAlign w:val="bottom"/>
            <w:gridSpan w:val="3"/>
          </w:tcPr>
          <w:p>
            <w:pPr>
              <w:jc w:val="center"/>
              <w:ind w:right="300"/>
              <w:spacing w:after="0"/>
              <w:rPr>
                <w:sz w:val="20"/>
                <w:szCs w:val="20"/>
                <w:color w:val="auto"/>
              </w:rPr>
            </w:pPr>
            <w:r>
              <w:rPr>
                <w:rFonts w:ascii="Arial" w:cs="Arial" w:eastAsia="Arial" w:hAnsi="Arial"/>
                <w:sz w:val="16"/>
                <w:szCs w:val="16"/>
                <w:color w:val="auto"/>
              </w:rPr>
              <w:t>(Unaudited)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March 31, 2022</w:t>
            </w: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vMerge w:val="restart"/>
          </w:tcPr>
          <w:p>
            <w:pPr>
              <w:spacing w:after="0"/>
              <w:rPr>
                <w:sz w:val="13"/>
                <w:szCs w:val="13"/>
                <w:color w:val="auto"/>
              </w:rPr>
            </w:pP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80" w:type="dxa"/>
            <w:vAlign w:val="bottom"/>
          </w:tcPr>
          <w:p>
            <w:pPr>
              <w:ind w:left="20"/>
              <w:spacing w:after="0"/>
              <w:rPr>
                <w:sz w:val="20"/>
                <w:szCs w:val="20"/>
                <w:color w:val="auto"/>
              </w:rPr>
            </w:pPr>
            <w:r>
              <w:rPr>
                <w:rFonts w:ascii="Arial" w:cs="Arial" w:eastAsia="Arial" w:hAnsi="Arial"/>
                <w:sz w:val="16"/>
                <w:szCs w:val="16"/>
                <w:color w:val="auto"/>
              </w:rPr>
              <w:t>As of December 31, 2021</w:t>
            </w:r>
          </w:p>
        </w:tc>
        <w:tc>
          <w:tcPr>
            <w:tcW w:w="4880" w:type="dxa"/>
            <w:vAlign w:val="bottom"/>
            <w:gridSpan w:val="2"/>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17"/>
        </w:trPr>
        <w:tc>
          <w:tcPr>
            <w:tcW w:w="32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3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8"/>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March 31, 2022</w:t>
            </w:r>
          </w:p>
        </w:tc>
        <w:tc>
          <w:tcPr>
            <w:tcW w:w="4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581"/>
        </w:trPr>
        <w:tc>
          <w:tcPr>
            <w:tcW w:w="3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March 31, 2021</w:t>
            </w: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vMerge w:val="restart"/>
          </w:tcPr>
          <w:p>
            <w:pPr>
              <w:spacing w:after="0"/>
              <w:rPr>
                <w:sz w:val="13"/>
                <w:szCs w:val="13"/>
                <w:color w:val="auto"/>
              </w:rPr>
            </w:pP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80" w:type="dxa"/>
            <w:vAlign w:val="bottom"/>
          </w:tcPr>
          <w:p>
            <w:pPr>
              <w:ind w:left="20"/>
              <w:spacing w:after="0"/>
              <w:rPr>
                <w:sz w:val="20"/>
                <w:szCs w:val="20"/>
                <w:color w:val="auto"/>
              </w:rPr>
            </w:pPr>
            <w:r>
              <w:rPr>
                <w:rFonts w:ascii="Arial" w:cs="Arial" w:eastAsia="Arial" w:hAnsi="Arial"/>
                <w:sz w:val="16"/>
                <w:szCs w:val="16"/>
                <w:color w:val="auto"/>
              </w:rPr>
              <w:t>As of December 31, 2020</w:t>
            </w:r>
          </w:p>
        </w:tc>
        <w:tc>
          <w:tcPr>
            <w:tcW w:w="4880" w:type="dxa"/>
            <w:vAlign w:val="bottom"/>
            <w:gridSpan w:val="2"/>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7"/>
        </w:trPr>
        <w:tc>
          <w:tcPr>
            <w:tcW w:w="32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3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March 31, 2021</w:t>
            </w:r>
          </w:p>
        </w:tc>
        <w:tc>
          <w:tcPr>
            <w:tcW w:w="4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554"/>
        </w:trPr>
        <w:tc>
          <w:tcPr>
            <w:tcW w:w="3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Six Months Ended March 31, 2022</w:t>
            </w: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vMerge w:val="restart"/>
          </w:tcPr>
          <w:p>
            <w:pPr>
              <w:spacing w:after="0"/>
              <w:rPr>
                <w:sz w:val="13"/>
                <w:szCs w:val="13"/>
                <w:color w:val="auto"/>
              </w:rPr>
            </w:pP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80" w:type="dxa"/>
            <w:vAlign w:val="bottom"/>
          </w:tcPr>
          <w:p>
            <w:pPr>
              <w:ind w:left="20"/>
              <w:spacing w:after="0"/>
              <w:rPr>
                <w:sz w:val="20"/>
                <w:szCs w:val="20"/>
                <w:color w:val="auto"/>
              </w:rPr>
            </w:pPr>
            <w:r>
              <w:rPr>
                <w:rFonts w:ascii="Arial" w:cs="Arial" w:eastAsia="Arial" w:hAnsi="Arial"/>
                <w:sz w:val="16"/>
                <w:szCs w:val="16"/>
                <w:color w:val="auto"/>
              </w:rPr>
              <w:t>As of September 30, 2021</w:t>
            </w:r>
          </w:p>
        </w:tc>
        <w:tc>
          <w:tcPr>
            <w:tcW w:w="4880" w:type="dxa"/>
            <w:vAlign w:val="bottom"/>
            <w:gridSpan w:val="2"/>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17"/>
        </w:trPr>
        <w:tc>
          <w:tcPr>
            <w:tcW w:w="32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3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March 31, 2022</w:t>
            </w:r>
          </w:p>
        </w:tc>
        <w:tc>
          <w:tcPr>
            <w:tcW w:w="4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548"/>
        </w:trPr>
        <w:tc>
          <w:tcPr>
            <w:tcW w:w="3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Six Months Ended March 31, 2021</w:t>
            </w: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vMerge w:val="restart"/>
          </w:tcPr>
          <w:p>
            <w:pPr>
              <w:spacing w:after="0"/>
              <w:rPr>
                <w:sz w:val="13"/>
                <w:szCs w:val="13"/>
                <w:color w:val="auto"/>
              </w:rPr>
            </w:pP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80" w:type="dxa"/>
            <w:vAlign w:val="bottom"/>
          </w:tcPr>
          <w:p>
            <w:pPr>
              <w:ind w:left="20"/>
              <w:spacing w:after="0"/>
              <w:rPr>
                <w:sz w:val="20"/>
                <w:szCs w:val="20"/>
                <w:color w:val="auto"/>
              </w:rPr>
            </w:pPr>
            <w:r>
              <w:rPr>
                <w:rFonts w:ascii="Arial" w:cs="Arial" w:eastAsia="Arial" w:hAnsi="Arial"/>
                <w:sz w:val="16"/>
                <w:szCs w:val="16"/>
                <w:color w:val="auto"/>
              </w:rPr>
              <w:t>As of September 30, 2020</w:t>
            </w:r>
          </w:p>
        </w:tc>
        <w:tc>
          <w:tcPr>
            <w:tcW w:w="4880" w:type="dxa"/>
            <w:vAlign w:val="bottom"/>
            <w:gridSpan w:val="2"/>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7"/>
        </w:trPr>
        <w:tc>
          <w:tcPr>
            <w:tcW w:w="32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3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March 31, 2021</w:t>
            </w:r>
          </w:p>
        </w:tc>
        <w:tc>
          <w:tcPr>
            <w:tcW w:w="4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bl>
    <w:p>
      <w:pPr>
        <w:sectPr>
          <w:pgSz w:w="11900" w:h="16838" w:orient="portrait"/>
          <w:cols w:equalWidth="0" w:num="1">
            <w:col w:w="11240"/>
          </w:cols>
          <w:pgMar w:left="320" w:top="93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six months ended March 31, 2022 and 2021 were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540" w:type="dxa"/>
            <w:vAlign w:val="bottom"/>
            <w:gridSpan w:val="3"/>
            <w:vMerge w:val="restart"/>
          </w:tcPr>
          <w:p>
            <w:pPr>
              <w:ind w:left="780"/>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230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54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48"/>
        </w:trPr>
        <w:tc>
          <w:tcPr>
            <w:tcW w:w="4120" w:type="dxa"/>
            <w:vAlign w:val="bottom"/>
          </w:tcPr>
          <w:p>
            <w:pPr>
              <w:spacing w:after="0"/>
              <w:rPr>
                <w:sz w:val="20"/>
                <w:szCs w:val="20"/>
                <w:color w:val="auto"/>
              </w:rPr>
            </w:pPr>
            <w:r>
              <w:rPr>
                <w:rFonts w:ascii="Arial" w:cs="Arial" w:eastAsia="Arial" w:hAnsi="Arial"/>
                <w:sz w:val="16"/>
                <w:szCs w:val="16"/>
                <w:color w:val="auto"/>
              </w:rPr>
              <w:t>Mexican peso</w:t>
            </w:r>
          </w:p>
        </w:tc>
        <w:tc>
          <w:tcPr>
            <w:tcW w:w="110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Guatemalan quetzal</w:t>
            </w: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Honduran lempira</w:t>
            </w:r>
          </w:p>
        </w:tc>
        <w:tc>
          <w:tcPr>
            <w:tcW w:w="110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Peruvian sol</w:t>
            </w: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r>
      <w:tr>
        <w:trPr>
          <w:trHeight w:val="209"/>
        </w:trPr>
        <w:tc>
          <w:tcPr>
            <w:tcW w:w="84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48"/>
        </w:trPr>
        <w:tc>
          <w:tcPr>
            <w:tcW w:w="8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1"/>
                <w:szCs w:val="21"/>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84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6"/>
        </w:trPr>
        <w:tc>
          <w:tcPr>
            <w:tcW w:w="84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6"/>
        </w:trPr>
        <w:tc>
          <w:tcPr>
            <w:tcW w:w="84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210"/>
        </w:trPr>
        <w:tc>
          <w:tcPr>
            <w:tcW w:w="8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r>
    </w:tbl>
    <w:p>
      <w:pPr>
        <w:sectPr>
          <w:pgSz w:w="11900" w:h="16838" w:orient="portrait"/>
          <w:cols w:equalWidth="0" w:num="1">
            <w:col w:w="11240"/>
          </w:cols>
          <w:pgMar w:left="320" w:top="1095"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Net</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60" w:type="dxa"/>
            <w:vAlign w:val="bottom"/>
          </w:tcPr>
          <w:p>
            <w:pPr>
              <w:spacing w:after="0"/>
              <w:rPr>
                <w:sz w:val="16"/>
                <w:szCs w:val="16"/>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00" w:type="dxa"/>
            <w:vAlign w:val="bottom"/>
          </w:tcPr>
          <w:p>
            <w:pPr>
              <w:ind w:left="20"/>
              <w:spacing w:after="0"/>
              <w:rPr>
                <w:sz w:val="20"/>
                <w:szCs w:val="20"/>
                <w:color w:val="auto"/>
              </w:rPr>
            </w:pPr>
            <w:r>
              <w:rPr>
                <w:rFonts w:ascii="Arial" w:cs="Arial" w:eastAsia="Arial" w:hAnsi="Arial"/>
                <w:sz w:val="16"/>
                <w:szCs w:val="16"/>
                <w:color w:val="auto"/>
              </w:rPr>
              <w:t>2022</w:t>
            </w:r>
          </w:p>
        </w:tc>
        <w:tc>
          <w:tcPr>
            <w:tcW w:w="260" w:type="dxa"/>
            <w:vAlign w:val="bottom"/>
          </w:tcPr>
          <w:p>
            <w:pPr>
              <w:ind w:left="40"/>
              <w:spacing w:after="0"/>
              <w:rPr>
                <w:sz w:val="20"/>
                <w:szCs w:val="20"/>
                <w:color w:val="auto"/>
              </w:rPr>
            </w:pPr>
            <w:r>
              <w:rPr>
                <w:rFonts w:ascii="Arial" w:cs="Arial" w:eastAsia="Arial" w:hAnsi="Arial"/>
                <w:sz w:val="16"/>
                <w:szCs w:val="16"/>
                <w:color w:val="auto"/>
                <w:w w:val="93"/>
              </w:rPr>
              <w:t>Q2</w:t>
            </w:r>
          </w:p>
        </w:tc>
        <w:tc>
          <w:tcPr>
            <w:tcW w:w="2380" w:type="dxa"/>
            <w:vAlign w:val="bottom"/>
          </w:tcPr>
          <w:p>
            <w:pPr>
              <w:ind w:left="40"/>
              <w:spacing w:after="0"/>
              <w:rPr>
                <w:sz w:val="20"/>
                <w:szCs w:val="20"/>
                <w:color w:val="auto"/>
              </w:rPr>
            </w:pPr>
            <w:r>
              <w:rPr>
                <w:rFonts w:ascii="Arial" w:cs="Arial" w:eastAsia="Arial" w:hAnsi="Arial"/>
                <w:sz w:val="16"/>
                <w:szCs w:val="16"/>
                <w:color w:val="auto"/>
              </w:rPr>
              <w:t>Reported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2"/>
                <w:szCs w:val="22"/>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2"/>
                <w:szCs w:val="22"/>
                <w:color w:val="auto"/>
              </w:rPr>
            </w:pPr>
          </w:p>
        </w:tc>
        <w:tc>
          <w:tcPr>
            <w:tcW w:w="3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CCV Adjustment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FX impact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5"/>
        </w:trPr>
        <w:tc>
          <w:tcPr>
            <w:tcW w:w="30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Constant currency impact</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93"/>
              </w:rPr>
              <w:t>Q2</w:t>
            </w:r>
          </w:p>
        </w:tc>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Adjusted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453"/>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Net</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24"/>
                <w:szCs w:val="24"/>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8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Net</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60" w:type="dxa"/>
            <w:vAlign w:val="bottom"/>
          </w:tcPr>
          <w:p>
            <w:pPr>
              <w:spacing w:after="0"/>
              <w:rPr>
                <w:sz w:val="24"/>
                <w:szCs w:val="24"/>
                <w:color w:val="auto"/>
              </w:rPr>
            </w:pPr>
          </w:p>
        </w:tc>
        <w:tc>
          <w:tcPr>
            <w:tcW w:w="88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Income</w:t>
            </w:r>
          </w:p>
        </w:tc>
        <w:tc>
          <w:tcPr>
            <w:tcW w:w="1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00" w:type="dxa"/>
            <w:vAlign w:val="bottom"/>
          </w:tcPr>
          <w:p>
            <w:pPr>
              <w:ind w:left="20"/>
              <w:spacing w:after="0"/>
              <w:rPr>
                <w:sz w:val="20"/>
                <w:szCs w:val="20"/>
                <w:color w:val="auto"/>
              </w:rPr>
            </w:pPr>
            <w:r>
              <w:rPr>
                <w:rFonts w:ascii="Arial" w:cs="Arial" w:eastAsia="Arial" w:hAnsi="Arial"/>
                <w:sz w:val="16"/>
                <w:szCs w:val="16"/>
                <w:color w:val="auto"/>
              </w:rPr>
              <w:t>2021</w:t>
            </w:r>
          </w:p>
        </w:tc>
        <w:tc>
          <w:tcPr>
            <w:tcW w:w="260" w:type="dxa"/>
            <w:vAlign w:val="bottom"/>
          </w:tcPr>
          <w:p>
            <w:pPr>
              <w:ind w:left="40"/>
              <w:spacing w:after="0"/>
              <w:rPr>
                <w:sz w:val="20"/>
                <w:szCs w:val="20"/>
                <w:color w:val="auto"/>
              </w:rPr>
            </w:pPr>
            <w:r>
              <w:rPr>
                <w:rFonts w:ascii="Arial" w:cs="Arial" w:eastAsia="Arial" w:hAnsi="Arial"/>
                <w:sz w:val="16"/>
                <w:szCs w:val="16"/>
                <w:color w:val="auto"/>
                <w:w w:val="93"/>
              </w:rPr>
              <w:t>Q2</w:t>
            </w:r>
          </w:p>
        </w:tc>
        <w:tc>
          <w:tcPr>
            <w:tcW w:w="2380" w:type="dxa"/>
            <w:vAlign w:val="bottom"/>
          </w:tcPr>
          <w:p>
            <w:pPr>
              <w:ind w:left="40"/>
              <w:spacing w:after="0"/>
              <w:rPr>
                <w:sz w:val="20"/>
                <w:szCs w:val="20"/>
                <w:color w:val="auto"/>
              </w:rPr>
            </w:pPr>
            <w:r>
              <w:rPr>
                <w:rFonts w:ascii="Arial" w:cs="Arial" w:eastAsia="Arial" w:hAnsi="Arial"/>
                <w:sz w:val="16"/>
                <w:szCs w:val="16"/>
                <w:color w:val="auto"/>
              </w:rPr>
              <w:t>Reported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2"/>
                <w:szCs w:val="22"/>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3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Acquisition expenses</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Non cash interest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0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Non-recurring tax expense</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93"/>
              </w:rPr>
              <w:t>Q2</w:t>
            </w:r>
          </w:p>
        </w:tc>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Adjusted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34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rPr>
              <w:t>March 31, 2022</w:t>
            </w:r>
          </w:p>
        </w:tc>
        <w:tc>
          <w:tcPr>
            <w:tcW w:w="120" w:type="dxa"/>
            <w:vAlign w:val="bottom"/>
          </w:tcPr>
          <w:p>
            <w:pPr>
              <w:spacing w:after="0"/>
              <w:rPr>
                <w:sz w:val="18"/>
                <w:szCs w:val="18"/>
                <w:color w:val="auto"/>
              </w:rPr>
            </w:pPr>
          </w:p>
        </w:tc>
        <w:tc>
          <w:tcPr>
            <w:tcW w:w="23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March 31, 2022</w:t>
            </w:r>
          </w:p>
        </w:tc>
        <w:tc>
          <w:tcPr>
            <w:tcW w:w="0" w:type="dxa"/>
            <w:vAlign w:val="bottom"/>
          </w:tcPr>
          <w:p>
            <w:pPr>
              <w:spacing w:after="0"/>
              <w:rPr>
                <w:sz w:val="1"/>
                <w:szCs w:val="1"/>
                <w:color w:val="auto"/>
              </w:rPr>
            </w:pPr>
          </w:p>
        </w:tc>
      </w:tr>
      <w:tr>
        <w:trPr>
          <w:trHeight w:val="156"/>
        </w:trPr>
        <w:tc>
          <w:tcPr>
            <w:tcW w:w="59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U.S. Dollar</w:t>
            </w:r>
          </w:p>
        </w:tc>
        <w:tc>
          <w:tcPr>
            <w:tcW w:w="12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Percentage</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U.S. Dollar</w:t>
            </w:r>
          </w:p>
        </w:tc>
        <w:tc>
          <w:tcPr>
            <w:tcW w:w="1240" w:type="dxa"/>
            <w:vAlign w:val="bottom"/>
            <w:tcBorders>
              <w:top w:val="single" w:sz="8" w:color="auto"/>
            </w:tcBorders>
          </w:tcPr>
          <w:p>
            <w:pPr>
              <w:jc w:val="right"/>
              <w:ind w:right="99"/>
              <w:spacing w:after="0" w:line="155"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6"/>
        </w:trPr>
        <w:tc>
          <w:tcPr>
            <w:tcW w:w="5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Amount</w:t>
            </w: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Change YOY</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Change YOY</w:t>
            </w:r>
          </w:p>
        </w:tc>
        <w:tc>
          <w:tcPr>
            <w:tcW w:w="0" w:type="dxa"/>
            <w:vAlign w:val="bottom"/>
          </w:tcPr>
          <w:p>
            <w:pPr>
              <w:spacing w:after="0"/>
              <w:rPr>
                <w:sz w:val="1"/>
                <w:szCs w:val="1"/>
                <w:color w:val="auto"/>
              </w:rPr>
            </w:pPr>
          </w:p>
        </w:tc>
      </w:tr>
      <w:tr>
        <w:trPr>
          <w:trHeight w:val="248"/>
        </w:trPr>
        <w:tc>
          <w:tcPr>
            <w:tcW w:w="5940" w:type="dxa"/>
            <w:vAlign w:val="bottom"/>
          </w:tcPr>
          <w:p>
            <w:pPr>
              <w:ind w:left="20"/>
              <w:spacing w:after="0"/>
              <w:rPr>
                <w:sz w:val="20"/>
                <w:szCs w:val="20"/>
                <w:color w:val="auto"/>
              </w:rPr>
            </w:pPr>
            <w:r>
              <w:rPr>
                <w:rFonts w:ascii="Arial" w:cs="Arial" w:eastAsia="Arial" w:hAnsi="Arial"/>
                <w:sz w:val="16"/>
                <w:szCs w:val="16"/>
                <w:color w:val="auto"/>
              </w:rPr>
              <w:t>Consolidated revenue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216.0</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17 %</w:t>
            </w:r>
          </w:p>
        </w:tc>
        <w:tc>
          <w:tcPr>
            <w:tcW w:w="4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437.0</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437.8</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Consolidated net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128.9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261.0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net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Consolidated net inventory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net inventory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89"/>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net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30 %</w:t>
            </w:r>
          </w:p>
        </w:tc>
        <w:tc>
          <w:tcPr>
            <w:tcW w:w="4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net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PLO</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PLO</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PSC revenues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PSC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merchandise sales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merchandise sales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segment profit before tax</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segment profit before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2022-05-04T15:24:26Z</dcterms:created>
  <dcterms:modified xsi:type="dcterms:W3CDTF">2022-05-04T15:24:26Z</dcterms:modified>
</cp:coreProperties>
</file>