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9, 2015</w:t>
      </w:r>
    </w:p>
    <w:p>
      <w:pPr>
        <w:spacing w:after="0" w:line="139" w:lineRule="exact"/>
        <w:rPr>
          <w:sz w:val="24"/>
          <w:szCs w:val="24"/>
          <w:color w:val="auto"/>
        </w:rPr>
      </w:pPr>
    </w:p>
    <w:p>
      <w:pPr>
        <w:ind w:left="896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3" w:lineRule="exact"/>
        <w:rPr>
          <w:sz w:val="24"/>
          <w:szCs w:val="24"/>
          <w:color w:val="auto"/>
        </w:rPr>
      </w:pPr>
    </w:p>
    <w:p>
      <w:pPr>
        <w:ind w:left="1620"/>
        <w:spacing w:after="0"/>
        <w:tabs>
          <w:tab w:leader="none" w:pos="5500" w:val="left"/>
          <w:tab w:leader="none" w:pos="89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5900</w:t>
      </w:r>
      <w:r>
        <w:rPr>
          <w:sz w:val="20"/>
          <w:szCs w:val="20"/>
          <w:color w:val="auto"/>
        </w:rPr>
        <w:tab/>
      </w:r>
      <w:r>
        <w:rPr>
          <w:rFonts w:ascii="Arial" w:cs="Arial" w:eastAsia="Arial" w:hAnsi="Arial"/>
          <w:sz w:val="17"/>
          <w:szCs w:val="17"/>
          <w:b w:val="1"/>
          <w:bCs w:val="1"/>
          <w:color w:val="auto"/>
        </w:rPr>
        <w:t>74-2540145</w:t>
      </w:r>
    </w:p>
    <w:p>
      <w:pPr>
        <w:spacing w:after="0" w:line="77" w:lineRule="exact"/>
        <w:rPr>
          <w:sz w:val="24"/>
          <w:szCs w:val="24"/>
          <w:color w:val="auto"/>
        </w:rPr>
      </w:pPr>
    </w:p>
    <w:p>
      <w:pPr>
        <w:ind w:left="1100"/>
        <w:spacing w:after="0"/>
        <w:tabs>
          <w:tab w:leader="none" w:pos="4800" w:val="left"/>
          <w:tab w:leader="none" w:pos="83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4"/>
          <w:szCs w:val="14"/>
          <w:color w:val="auto"/>
        </w:rPr>
        <w:t>(Primary Standard Industrial</w:t>
      </w:r>
      <w:r>
        <w:rPr>
          <w:sz w:val="20"/>
          <w:szCs w:val="20"/>
          <w:color w:val="auto"/>
        </w:rPr>
        <w:tab/>
      </w:r>
      <w:r>
        <w:rPr>
          <w:rFonts w:ascii="Arial" w:cs="Arial" w:eastAsia="Arial" w:hAnsi="Arial"/>
          <w:sz w:val="14"/>
          <w:szCs w:val="14"/>
          <w:color w:val="auto"/>
        </w:rPr>
        <w:t>(I.R.S. Employer Identification No.)</w:t>
      </w:r>
    </w:p>
    <w:p>
      <w:pPr>
        <w:spacing w:after="0" w:line="1" w:lineRule="exact"/>
        <w:rPr>
          <w:sz w:val="24"/>
          <w:szCs w:val="24"/>
          <w:color w:val="auto"/>
        </w:rPr>
      </w:pPr>
    </w:p>
    <w:p>
      <w:pPr>
        <w:ind w:left="1080"/>
        <w:spacing w:after="0"/>
        <w:tabs>
          <w:tab w:leader="none" w:pos="478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4"/>
          <w:szCs w:val="14"/>
          <w:color w:val="auto"/>
        </w:rPr>
        <w:t>Classification Code Number)</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Ross Avenue, 3700 Trammel Crow Center, 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220-7800</w:t>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248" w:lineRule="exact"/>
        <w:rPr>
          <w:sz w:val="24"/>
          <w:szCs w:val="24"/>
          <w:color w:val="auto"/>
        </w:rPr>
      </w:pPr>
    </w:p>
    <w:p>
      <w:pPr>
        <w:ind w:right="20"/>
        <w:spacing w:after="0" w:line="259"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21"/>
          <w:szCs w:val="21"/>
          <w:color w:val="auto"/>
        </w:rPr>
        <w:t>☐</w:t>
      </w:r>
    </w:p>
    <w:p>
      <w:pPr>
        <w:spacing w:after="0" w:line="131" w:lineRule="exact"/>
        <w:rPr>
          <w:sz w:val="24"/>
          <w:szCs w:val="24"/>
          <w:color w:val="auto"/>
        </w:rPr>
      </w:pPr>
    </w:p>
    <w:p>
      <w:pPr>
        <w:ind w:right="20"/>
        <w:spacing w:after="0" w:line="259"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131" w:lineRule="exact"/>
        <w:rPr>
          <w:sz w:val="24"/>
          <w:szCs w:val="24"/>
          <w:color w:val="auto"/>
        </w:rPr>
      </w:pPr>
    </w:p>
    <w:p>
      <w:pPr>
        <w:ind w:right="20"/>
        <w:spacing w:after="0" w:line="259"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1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ind w:left="380"/>
        <w:spacing w:after="0" w:line="242" w:lineRule="exact"/>
        <w:tabs>
          <w:tab w:leader="none" w:pos="2780" w:val="left"/>
          <w:tab w:leader="none" w:pos="5580" w:val="left"/>
          <w:tab w:leader="none" w:pos="884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21"/>
          <w:szCs w:val="21"/>
          <w:color w:val="auto"/>
        </w:rPr>
        <w:t>x</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p>
    <w:p>
      <w:pPr>
        <w:spacing w:after="0" w:line="119" w:lineRule="exact"/>
        <w:rPr>
          <w:sz w:val="24"/>
          <w:szCs w:val="24"/>
          <w:color w:val="auto"/>
        </w:rPr>
      </w:pPr>
    </w:p>
    <w:p>
      <w:pPr>
        <w:ind w:left="4820"/>
        <w:spacing w:after="0"/>
        <w:rPr>
          <w:sz w:val="20"/>
          <w:szCs w:val="20"/>
          <w:color w:val="auto"/>
        </w:rPr>
      </w:pPr>
      <w:r>
        <w:rPr>
          <w:rFonts w:ascii="Arial" w:cs="Arial" w:eastAsia="Arial" w:hAnsi="Arial"/>
          <w:sz w:val="16"/>
          <w:szCs w:val="16"/>
          <w:color w:val="auto"/>
        </w:rPr>
        <w:t>(Do not check if a smaller reporting company)</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311"/>
        </w:trPr>
        <w:tc>
          <w:tcPr>
            <w:tcW w:w="6120" w:type="dxa"/>
            <w:vAlign w:val="bottom"/>
            <w:gridSpan w:val="3"/>
          </w:tcPr>
          <w:p>
            <w:pPr>
              <w:ind w:left="1580"/>
              <w:spacing w:after="0"/>
              <w:rPr>
                <w:sz w:val="20"/>
                <w:szCs w:val="20"/>
                <w:color w:val="auto"/>
              </w:rPr>
            </w:pPr>
            <w:r>
              <w:rPr>
                <w:rFonts w:ascii="Arial" w:cs="Arial" w:eastAsia="Arial" w:hAnsi="Arial"/>
                <w:sz w:val="16"/>
                <w:szCs w:val="16"/>
                <w:color w:val="000033"/>
              </w:rPr>
              <w:t>Exchange Act Rule 13e-4(i) (Cross-Border Issuer Tender Offer)</w:t>
            </w:r>
          </w:p>
        </w:tc>
        <w:tc>
          <w:tcPr>
            <w:tcW w:w="480" w:type="dxa"/>
            <w:vAlign w:val="bottom"/>
          </w:tcPr>
          <w:p>
            <w:pPr>
              <w:spacing w:after="0"/>
              <w:rPr>
                <w:sz w:val="24"/>
                <w:szCs w:val="24"/>
                <w:color w:val="auto"/>
              </w:rPr>
            </w:pPr>
          </w:p>
        </w:tc>
        <w:tc>
          <w:tcPr>
            <w:tcW w:w="1200" w:type="dxa"/>
            <w:vAlign w:val="bottom"/>
          </w:tcPr>
          <w:p>
            <w:pPr>
              <w:ind w:left="600"/>
              <w:spacing w:after="0" w:line="221" w:lineRule="exact"/>
              <w:rPr>
                <w:sz w:val="20"/>
                <w:szCs w:val="20"/>
                <w:color w:val="auto"/>
              </w:rPr>
            </w:pPr>
            <w:r>
              <w:rPr>
                <w:rFonts w:ascii="MS PGothic" w:cs="MS PGothic" w:eastAsia="MS PGothic" w:hAnsi="MS PGothic"/>
                <w:sz w:val="22"/>
                <w:szCs w:val="22"/>
                <w:color w:val="auto"/>
              </w:rPr>
              <w:t>☐</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600" w:type="dxa"/>
            <w:vAlign w:val="bottom"/>
            <w:gridSpan w:val="4"/>
          </w:tcPr>
          <w:p>
            <w:pPr>
              <w:ind w:left="1580"/>
              <w:spacing w:after="0"/>
              <w:rPr>
                <w:sz w:val="20"/>
                <w:szCs w:val="20"/>
                <w:color w:val="auto"/>
              </w:rPr>
            </w:pPr>
            <w:r>
              <w:rPr>
                <w:rFonts w:ascii="Arial" w:cs="Arial" w:eastAsia="Arial" w:hAnsi="Arial"/>
                <w:sz w:val="16"/>
                <w:szCs w:val="16"/>
                <w:color w:val="000033"/>
              </w:rPr>
              <w:t>Exchange Act Rule 14d-1(d) (Cross-Border Third-Party Tender Offer)</w:t>
            </w:r>
          </w:p>
        </w:tc>
        <w:tc>
          <w:tcPr>
            <w:tcW w:w="1200" w:type="dxa"/>
            <w:vAlign w:val="bottom"/>
          </w:tcPr>
          <w:p>
            <w:pPr>
              <w:ind w:left="600"/>
              <w:spacing w:after="0" w:line="221" w:lineRule="exact"/>
              <w:rPr>
                <w:sz w:val="20"/>
                <w:szCs w:val="20"/>
                <w:color w:val="auto"/>
              </w:rPr>
            </w:pPr>
            <w:r>
              <w:rPr>
                <w:rFonts w:ascii="MS PGothic" w:cs="MS PGothic" w:eastAsia="MS PGothic" w:hAnsi="MS PGothic"/>
                <w:sz w:val="22"/>
                <w:szCs w:val="22"/>
                <w:color w:val="auto"/>
              </w:rPr>
              <w:t>☐</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4"/>
                <w:szCs w:val="24"/>
                <w:color w:val="auto"/>
              </w:rPr>
            </w:pPr>
          </w:p>
        </w:tc>
        <w:tc>
          <w:tcPr>
            <w:tcW w:w="3660" w:type="dxa"/>
            <w:vAlign w:val="bottom"/>
            <w:gridSpan w:val="4"/>
          </w:tcPr>
          <w:p>
            <w:pPr>
              <w:ind w:left="60"/>
              <w:spacing w:after="0"/>
              <w:rPr>
                <w:sz w:val="20"/>
                <w:szCs w:val="20"/>
                <w:color w:val="auto"/>
              </w:rPr>
            </w:pPr>
            <w:r>
              <w:rPr>
                <w:rFonts w:ascii="Arial" w:cs="Arial" w:eastAsia="Arial" w:hAnsi="Arial"/>
                <w:sz w:val="16"/>
                <w:szCs w:val="16"/>
                <w:b w:val="1"/>
                <w:bCs w:val="1"/>
                <w:color w:val="auto"/>
              </w:rPr>
              <w:t>CALCULATION OF REGISTRATION FEE</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40" w:type="dxa"/>
            <w:vAlign w:val="bottom"/>
            <w:tcBorders>
              <w:right w:val="single" w:sz="8" w:color="auto"/>
            </w:tcBorders>
            <w:vMerge w:val="restart"/>
          </w:tcPr>
          <w:p>
            <w:pPr>
              <w:ind w:left="1340"/>
              <w:spacing w:after="0"/>
              <w:rPr>
                <w:sz w:val="20"/>
                <w:szCs w:val="20"/>
                <w:color w:val="auto"/>
              </w:rPr>
            </w:pPr>
            <w:r>
              <w:rPr>
                <w:rFonts w:ascii="Arial" w:cs="Arial" w:eastAsia="Arial" w:hAnsi="Arial"/>
                <w:sz w:val="16"/>
                <w:szCs w:val="16"/>
                <w:color w:val="auto"/>
              </w:rPr>
              <w:t>Title of each class of</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Amount to be</w:t>
            </w:r>
          </w:p>
        </w:tc>
        <w:tc>
          <w:tcPr>
            <w:tcW w:w="14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01"/>
              <w:spacing w:after="0"/>
              <w:rPr>
                <w:sz w:val="20"/>
                <w:szCs w:val="20"/>
                <w:color w:val="auto"/>
              </w:rPr>
            </w:pPr>
            <w:r>
              <w:rPr>
                <w:rFonts w:ascii="Arial" w:cs="Arial" w:eastAsia="Arial" w:hAnsi="Arial"/>
                <w:sz w:val="16"/>
                <w:szCs w:val="16"/>
                <w:color w:val="auto"/>
              </w:rPr>
              <w:t>Proposed 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Proposed maximum</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Amount of</w:t>
            </w:r>
          </w:p>
        </w:tc>
        <w:tc>
          <w:tcPr>
            <w:tcW w:w="0" w:type="dxa"/>
            <w:vAlign w:val="bottom"/>
          </w:tcPr>
          <w:p>
            <w:pPr>
              <w:spacing w:after="0"/>
              <w:rPr>
                <w:sz w:val="1"/>
                <w:szCs w:val="1"/>
                <w:color w:val="auto"/>
              </w:rPr>
            </w:pPr>
          </w:p>
        </w:tc>
      </w:tr>
      <w:tr>
        <w:trPr>
          <w:trHeight w:val="95"/>
        </w:trPr>
        <w:tc>
          <w:tcPr>
            <w:tcW w:w="414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Borders>
              <w:right w:val="single" w:sz="8" w:color="auto"/>
            </w:tcBorders>
            <w:gridSpan w:val="2"/>
            <w:vMerge w:val="restart"/>
          </w:tcPr>
          <w:p>
            <w:pPr>
              <w:jc w:val="center"/>
              <w:ind w:right="81"/>
              <w:spacing w:after="0"/>
              <w:rPr>
                <w:sz w:val="20"/>
                <w:szCs w:val="20"/>
                <w:color w:val="auto"/>
              </w:rPr>
            </w:pPr>
            <w:r>
              <w:rPr>
                <w:rFonts w:ascii="Arial" w:cs="Arial" w:eastAsia="Arial" w:hAnsi="Arial"/>
                <w:sz w:val="16"/>
                <w:szCs w:val="16"/>
                <w:color w:val="auto"/>
              </w:rPr>
              <w:t>offering price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aggregate offering price</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tcBorders>
              <w:right w:val="single" w:sz="8" w:color="auto"/>
            </w:tcBorders>
            <w:vMerge w:val="restart"/>
          </w:tcPr>
          <w:p>
            <w:pPr>
              <w:ind w:left="1140"/>
              <w:spacing w:after="0"/>
              <w:rPr>
                <w:sz w:val="20"/>
                <w:szCs w:val="20"/>
                <w:color w:val="auto"/>
              </w:rPr>
            </w:pPr>
            <w:r>
              <w:rPr>
                <w:rFonts w:ascii="Arial" w:cs="Arial" w:eastAsia="Arial" w:hAnsi="Arial"/>
                <w:sz w:val="16"/>
                <w:szCs w:val="16"/>
                <w:color w:val="auto"/>
              </w:rPr>
              <w:t>securities to be registered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Registered</w:t>
            </w:r>
          </w:p>
        </w:tc>
        <w:tc>
          <w:tcPr>
            <w:tcW w:w="14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registration fee (1)</w:t>
            </w:r>
          </w:p>
        </w:tc>
        <w:tc>
          <w:tcPr>
            <w:tcW w:w="0" w:type="dxa"/>
            <w:vAlign w:val="bottom"/>
          </w:tcPr>
          <w:p>
            <w:pPr>
              <w:spacing w:after="0"/>
              <w:rPr>
                <w:sz w:val="1"/>
                <w:szCs w:val="1"/>
                <w:color w:val="auto"/>
              </w:rPr>
            </w:pPr>
          </w:p>
        </w:tc>
      </w:tr>
      <w:tr>
        <w:trPr>
          <w:trHeight w:val="100"/>
        </w:trPr>
        <w:tc>
          <w:tcPr>
            <w:tcW w:w="414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tcBorders>
              <w:right w:val="single" w:sz="8" w:color="auto"/>
            </w:tcBorders>
            <w:gridSpan w:val="2"/>
            <w:vMerge w:val="restart"/>
          </w:tcPr>
          <w:p>
            <w:pPr>
              <w:jc w:val="center"/>
              <w:ind w:right="81"/>
              <w:spacing w:after="0"/>
              <w:rPr>
                <w:sz w:val="20"/>
                <w:szCs w:val="20"/>
                <w:color w:val="auto"/>
              </w:rPr>
            </w:pPr>
            <w:r>
              <w:rPr>
                <w:rFonts w:ascii="Arial" w:cs="Arial" w:eastAsia="Arial" w:hAnsi="Arial"/>
                <w:sz w:val="16"/>
                <w:szCs w:val="16"/>
                <w:color w:val="auto"/>
              </w:rPr>
              <w:t>per share (1)</w:t>
            </w:r>
          </w:p>
        </w:tc>
        <w:tc>
          <w:tcPr>
            <w:tcW w:w="1820" w:type="dxa"/>
            <w:vAlign w:val="bottom"/>
            <w:tcBorders>
              <w:right w:val="single" w:sz="8" w:color="auto"/>
            </w:tcBorders>
            <w:vMerge w:val="restart"/>
          </w:tcPr>
          <w:p>
            <w:pPr>
              <w:jc w:val="right"/>
              <w:ind w:right="739"/>
              <w:spacing w:after="0"/>
              <w:rPr>
                <w:sz w:val="20"/>
                <w:szCs w:val="20"/>
                <w:color w:val="auto"/>
              </w:rPr>
            </w:pPr>
            <w:r>
              <w:rPr>
                <w:rFonts w:ascii="Arial" w:cs="Arial" w:eastAsia="Arial" w:hAnsi="Arial"/>
                <w:sz w:val="16"/>
                <w:szCs w:val="16"/>
                <w:color w:val="auto"/>
              </w:rPr>
              <w:t>(1)</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gridSpan w:val="2"/>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Class A Non-Voting Common Stock, par value $.01 per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2,000,000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Borders>
              <w:right w:val="single" w:sz="8" w:color="auto"/>
            </w:tcBorders>
            <w:vMerge w:val="restart"/>
          </w:tcPr>
          <w:p>
            <w:pPr>
              <w:jc w:val="center"/>
              <w:ind w:right="561"/>
              <w:spacing w:after="0"/>
              <w:rPr>
                <w:sz w:val="20"/>
                <w:szCs w:val="20"/>
                <w:color w:val="auto"/>
              </w:rPr>
            </w:pPr>
            <w:r>
              <w:rPr>
                <w:rFonts w:ascii="Arial" w:cs="Arial" w:eastAsia="Arial" w:hAnsi="Arial"/>
                <w:sz w:val="16"/>
                <w:szCs w:val="16"/>
                <w:color w:val="auto"/>
              </w:rPr>
              <w:t>$9.92</w:t>
            </w:r>
          </w:p>
        </w:tc>
        <w:tc>
          <w:tcPr>
            <w:tcW w:w="182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$19,840,000</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100"/>
        </w:trPr>
        <w:tc>
          <w:tcPr>
            <w:tcW w:w="4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share</w:t>
            </w:r>
          </w:p>
        </w:tc>
        <w:tc>
          <w:tcPr>
            <w:tcW w:w="18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4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233" w:right="239" w:bottom="0" w:gutter="0" w:footer="0" w:header="0"/>
        </w:sectPr>
      </w:pPr>
    </w:p>
    <w:p>
      <w:pPr>
        <w:spacing w:after="0" w:line="21" w:lineRule="exact"/>
        <w:rPr>
          <w:sz w:val="24"/>
          <w:szCs w:val="24"/>
          <w:color w:val="auto"/>
        </w:rPr>
      </w:pPr>
    </w:p>
    <w:p>
      <w:pPr>
        <w:ind w:left="500" w:right="60" w:hanging="478"/>
        <w:spacing w:after="0" w:line="258"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457(c), on the basis of the price of securities of the same class, using the average of the high and low prices for the Class A Non-Voting Common Stock reported on The NASDAQ Stock Market on March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154305</wp:posOffset>
            </wp:positionV>
            <wp:extent cx="3439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6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March 9,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 Shares of Class A Non-Voting Common Stock</w:t>
      </w:r>
    </w:p>
    <w:p>
      <w:pPr>
        <w:spacing w:after="0" w:line="247"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This prospectus relates to 2,000,000 shares of our Class A Non-Voting Common Stock that we may offer and issue from time to time in connection with future acquisitions of other businesses, assets or securities by EZCORP or its subsidiaries.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determine the amount and type of consideration to be offered, and the other specific terms of each acquisition, following negotiation with the owners or controlling persons of the businesses, assets or securities to be acquired. The consideration for any such acquisition may consist of shares of our Class A Non-Voting Common Stock or a combination of Class A Non-Voting Common Stock, cash, notes or assumption of liabilities. We may structure business acquisitions in a variety of ways, including acquiring stock, other equity interests or assets of the acquired business or merging the acquired business with EZCORP or one of our subsidiaries. We expect that the shares of Class A Non-Voting Common Stock issued in connection with any of these transactions will be valued at a price reasonably related to the market value of our Class A Non-Voting Common Stock either at the time an agreement is reached regarding the terms of the acquisition, at the time we issue the shares or during some other negotiated period.</w:t>
      </w:r>
    </w:p>
    <w:p>
      <w:pPr>
        <w:spacing w:after="0" w:line="16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any underwriting discounts or commissions in connection with issuing these shares, although we may pay finder’s fees in specific acquisitions. Any person receiving a finder’s fee may be deemed an underwriter within the meaning of Section 2(a)(11) of the Securities Act of 1933.</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On March 6, 2015, the last reported sale price for our Class A Non-Voting Common Stock on The NASDAQ Global Select Market was $10.11 per share.</w:t>
      </w:r>
    </w:p>
    <w:p>
      <w:pPr>
        <w:spacing w:after="0" w:line="134"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color w:val="auto"/>
        </w:rPr>
        <w:t>Investing in our Class A Non-Voting Common Stock involves risk. You should carefully consider the “Risk Factors” beginning on page 2 in determining whether to accept our Class A Non-Voting Common Stock as all or part of the purchase price for our acquisition of your business, securities or other assets.</w:t>
      </w:r>
    </w:p>
    <w:p>
      <w:pPr>
        <w:spacing w:after="0" w:line="1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March , 2015.</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4"/>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51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5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37"/>
        </w:trPr>
        <w:tc>
          <w:tcPr>
            <w:tcW w:w="40" w:type="dxa"/>
            <w:vAlign w:val="bottom"/>
          </w:tcPr>
          <w:p>
            <w:pPr>
              <w:spacing w:after="0"/>
              <w:rPr>
                <w:sz w:val="20"/>
                <w:szCs w:val="20"/>
                <w:color w:val="auto"/>
              </w:rPr>
            </w:pPr>
          </w:p>
        </w:tc>
        <w:tc>
          <w:tcPr>
            <w:tcW w:w="1080" w:type="dxa"/>
            <w:vAlign w:val="bottom"/>
            <w:tcBorders>
              <w:top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EZCORP, Inc.</w:t>
              </w:r>
            </w:hyperlink>
          </w:p>
        </w:tc>
        <w:tc>
          <w:tcPr>
            <w:tcW w:w="660" w:type="dxa"/>
            <w:vAlign w:val="bottom"/>
            <w:tcBorders>
              <w:top w:val="single" w:sz="8" w:color="0000EE"/>
            </w:tcBorders>
            <w:gridSpan w:val="2"/>
          </w:tcPr>
          <w:p>
            <w:pPr>
              <w:spacing w:after="0"/>
              <w:rPr>
                <w:sz w:val="20"/>
                <w:szCs w:val="20"/>
                <w:color w:val="auto"/>
              </w:rPr>
            </w:pPr>
          </w:p>
        </w:tc>
        <w:tc>
          <w:tcPr>
            <w:tcW w:w="2680" w:type="dxa"/>
            <w:vAlign w:val="bottom"/>
            <w:gridSpan w:val="6"/>
          </w:tcPr>
          <w:p>
            <w:pPr>
              <w:spacing w:after="0"/>
              <w:rPr>
                <w:sz w:val="20"/>
                <w:szCs w:val="20"/>
                <w:color w:val="auto"/>
              </w:rPr>
            </w:pPr>
          </w:p>
        </w:tc>
        <w:tc>
          <w:tcPr>
            <w:tcW w:w="69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9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Risk Factors</w:t>
              </w:r>
            </w:hyperlink>
          </w:p>
        </w:tc>
        <w:tc>
          <w:tcPr>
            <w:tcW w:w="1300" w:type="dxa"/>
            <w:vAlign w:val="bottom"/>
            <w:gridSpan w:val="5"/>
          </w:tcPr>
          <w:p>
            <w:pPr>
              <w:spacing w:after="0"/>
              <w:rPr>
                <w:sz w:val="20"/>
                <w:szCs w:val="20"/>
                <w:color w:val="auto"/>
              </w:rPr>
            </w:pPr>
          </w:p>
        </w:tc>
        <w:tc>
          <w:tcPr>
            <w:tcW w:w="2120" w:type="dxa"/>
            <w:vAlign w:val="bottom"/>
            <w:gridSpan w:val="4"/>
          </w:tcPr>
          <w:p>
            <w:pPr>
              <w:spacing w:after="0"/>
              <w:rPr>
                <w:sz w:val="20"/>
                <w:szCs w:val="20"/>
                <w:color w:val="auto"/>
              </w:rPr>
            </w:pPr>
          </w:p>
        </w:tc>
        <w:tc>
          <w:tcPr>
            <w:tcW w:w="69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EZCORP's Acquisition Program; Plan of Distribution</w:t>
              </w:r>
            </w:hyperlink>
          </w:p>
        </w:tc>
        <w:tc>
          <w:tcPr>
            <w:tcW w:w="694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280" w:type="dxa"/>
            <w:vAlign w:val="bottom"/>
          </w:tcPr>
          <w:p>
            <w:pPr>
              <w:spacing w:after="0"/>
              <w:rPr>
                <w:sz w:val="20"/>
                <w:szCs w:val="20"/>
                <w:color w:val="auto"/>
              </w:rPr>
            </w:pPr>
          </w:p>
        </w:tc>
        <w:tc>
          <w:tcPr>
            <w:tcW w:w="694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2220" w:type="dxa"/>
            <w:vAlign w:val="bottom"/>
            <w:gridSpan w:val="5"/>
          </w:tcPr>
          <w:p>
            <w:pPr>
              <w:spacing w:after="0"/>
              <w:rPr>
                <w:sz w:val="20"/>
                <w:szCs w:val="20"/>
                <w:color w:val="auto"/>
              </w:rPr>
            </w:pPr>
          </w:p>
        </w:tc>
        <w:tc>
          <w:tcPr>
            <w:tcW w:w="6940" w:type="dxa"/>
            <w:vAlign w:val="bottom"/>
            <w:gridSpan w:val="4"/>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3340" w:type="dxa"/>
            <w:vAlign w:val="bottom"/>
            <w:gridSpan w:val="8"/>
          </w:tcPr>
          <w:p>
            <w:pPr>
              <w:spacing w:after="0"/>
              <w:rPr>
                <w:sz w:val="20"/>
                <w:szCs w:val="20"/>
                <w:color w:val="auto"/>
              </w:rPr>
            </w:pPr>
          </w:p>
        </w:tc>
        <w:tc>
          <w:tcPr>
            <w:tcW w:w="69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69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Incorporation of Documents by Reference</w:t>
              </w:r>
            </w:hyperlink>
          </w:p>
        </w:tc>
        <w:tc>
          <w:tcPr>
            <w:tcW w:w="69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is a part of a “shelf” registration statement on Form S-4 that we filed with the Securities and Exchange Commission (the "SEC"). Under the shelf registration process, we may from time to time offer and issue up to 2,000,000 shares of our Class A Non-Voting Common Stock in connection with future acquisitions of other businesses, assets or securities. This prospectus provides a general description of the Class A Non-Voting Common Stock that we may offer and issue. We may add, update or change the information contained in this prospectus by means of one or more prospectus supplements. Before accepting shares of our Class A Non-Voting Common Stock as all or part of the purchase price for your business, securities or other assets, you should carefully review this prospectus, any prospectus supplement and the additional information described under the heading “Where You Can Find More Information.”</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prospectus incorporates important business and financial information about EZCORP that is not included in or delivered with this prospectus. We will provide, without charge, a copy of any or all of the documents incorporated by reference in this prospectus. Please direct your request for copies to:</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 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 1901 Capital Parkway, Austin,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512-314-2220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To obtain timely delivery, you must request the information no later than five business days before the date that you must make your investment decision.</w:t>
      </w:r>
    </w:p>
    <w:p>
      <w:pPr>
        <w:spacing w:after="0" w:line="12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This prospectus is not an offer to sell nor is it seeking an offer to buy these securities in any jurisdiction where the offer or sale is prohibited.</w:t>
      </w:r>
    </w:p>
    <w:p>
      <w:pPr>
        <w:spacing w:after="0" w:line="14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You should not assume that the information contained in this prospectus or any prospectus supplement, as well as the information we previously filed with the SEC that is incorporated by reference herein or therein, is accurate as of any date other than its respective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4" w:name="page5"/>
    <w:bookmarkEnd w:id="4"/>
    <w:p>
      <w:pPr>
        <w:spacing w:after="0" w:line="7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a leader in delivering instant cash solutions to our customers across channels, products, services and markets. With more than 7,300 team members and over 1,400 locations, we offer our customers multiple ways to access instant cash, including pawn loans and consumer loans in the United States, Mexico and Canada. At our pawn and buy/sell store, we also sell merchandise, primarily collateral forfeited from pawn lending operations and used merchandise purchased from customers.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single-payment and multiple-payment unsecured loans and single-payment and multiple-payment auto title loans. In our Texas locations, we do not offer or fund loan products themselves, but rather offer credit services to help customers obtain loans from independent third-party lenders.</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own a 76% interest in Prestaciones Finmart, S.A.P.I. de C.V., SOFOM, E.N.R. ("Grupo Finmart," doing business under the names “Crediamigo” and “Adex”), a leading consumer loan provider headquartered in Mexico City; and a 59% interest in Renueva Commercial S.A.P.I. de C.V. ("TUYO"), a company headquartered in Mexico City that owns and operates buy/sell stores in Mexico City and the surrounding metropolitan area.</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own approximately 32% of Cash Converters International Limited (“Cash Converters International”), which is based in Australia and franchises and operates a worldwide network of over 750 locations that provide financial services and buy and sell second-hand goods. We also own the Cash Converters master franchise rights in Canada and are the franchisor of five stores there.</w:t>
      </w:r>
    </w:p>
    <w:p>
      <w:pPr>
        <w:spacing w:after="0" w:line="14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We also buy and sell second-hand goods. At our financial services stores and at some of our pawn and buy/sell stores, we offer a variety of consumer loan products, including single-payment, unsecured loans with maturity dates typically ranging from seven to 23 days; multiple-payment unsecured loans that may be repaid over extended periods of up to seven months; single-payment 30-day loans secured by automobile titles; multiple-payment auto title loans that carry terms of two to four months; and revolving lines of credit, both unsecured and secured by auto titles. In Texas, our financial services stores and our pawn stores that also offer financial services do not offer loan products themselves, but rather offer credit services to help customers obtain loans from independent third-party lenders.</w:t>
      </w:r>
    </w:p>
    <w:p>
      <w:pPr>
        <w:spacing w:after="0" w:line="15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1901 Capital Parkway,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under “Risk Factors” below and in our SEC filings that are incorporated by reference into this prospectus. See “Incorporation of Documents by Reference”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could be materially adversely affected. In addition, the trading price of our Class A Non-Voting Common Stock could decline, and you may lose all or part of your investment. Additional risks and uncertainties not currently known to us or that we currently consider to be immaterial may also materially adversely affect our business, financial condition or results of operations.</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You should consider carefully these risks and the risks described in any documents incorporated by reference, including our most recent annual and quarterly reports, before you accept shares of our Class A Non-Voting Common Stock as all or part of the purchase price for your business, securities or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affecting our financial services and products could have a material adverse effect on our operations and financial performance.</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w:t>
      </w:r>
    </w:p>
    <w:p>
      <w:pPr>
        <w:sectPr>
          <w:pgSz w:w="11900" w:h="16916"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short-term financial services and products we offer, particularly payday loans and auto title loans.</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Adverse legislation could be enacted in any country,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example, in recent years, many cities in Texas (including Austin, Dallas, Houston, San Antonio and El Paso) have adopted municipal ordinances imposing restrictions on certain financial services products we can offer as a credit services organization or credit access business in those cities. Specifically, the ordinances require municipal registrations, limit the amount borrowers can borrow and require principal paydowns on refinancing or with each installment payment. These limitations and restrictions make the products less attractive to our customers, thus lessening demand, and severely impair the financial viability of our financial services business in those cities. In fiscal 2013 we closed 20 financial services stores in Dallas and the State of Florida primarily due to the onerous regulatory requirements.</w:t>
      </w:r>
    </w:p>
    <w:p>
      <w:pPr>
        <w:spacing w:after="0" w:line="15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current biennial session of the Texas legislature began in January 2015 and is scheduled to adjourn in May 2015. In connection with the current legislative session, several bills affecting the short-term consumer loan business in Texas have already been filed. These bills contain provisions that would, among other things, impose rate caps (36% annual percentage rate), mandate reporting to a state-wide database and enact the requirements of the municipal ordinances discussed above on a state-wide basis subject to the regulatory enforcement and supervision authority of the Office of the Consumer Credit Commissioner. It is not possible to say with any certainty what will happen with any of these bills or any other bill that may be introduced.</w:t>
      </w:r>
    </w:p>
    <w:p>
      <w:pPr>
        <w:spacing w:after="0" w:line="15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any financial services business that we undertake directly in international jurisdictions, as well as the financial services businesses conducted by our strategic affiliate,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Financial Conduct Authority (“FCA”), which on April 1, 2014, assumed primary regulatory authority over short-term consumer lending in the U.K., has issued guidance and rules that focus on the affordability of the credit extended (i.e., the customer’s ability to repay), the use of continuous payment authority to collect repayments and sustained use of short-term credit products. These rules became effective July</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0"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 2014. In addition, the FCA issued proposed rules in July 2014 that would significantly limit the amount of interest and fees that could be charged on “high cost short-term credit” products, including the loans we were offering online through our Cash Genie operations. These new limitations became effective January 1, 2015. The FCA’s guidance, new rules and proposed rules contributed to our decision to exit the online lending market in the U.K. and discontinue our Cash Genie operations in October 2014.</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spacing w:after="0" w:line="13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The Consumer Financial Protection Bureau has begun exercising its supervisory role over short-term, small-dollar lenders, which could result in a material adverse effect on our operations and financial performance.</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Consumer Financial Protection Bureau (the "CFPB") now exercises its supervisory and regulatory authority over non-depository companies providing consumer financial services products and services, including payday loans and other products and services we offer. The CFPB has cited several short-term lenders with violations of Dodd-Frank’s prohibition on “unfair, deceptive or abusive acts or practices” (“UDAAP”). It is not possible to accurately predict what affect the CFPB will have on our business. The CFPB, through its supervisory or enforcement role or through its rule-making authority, could take actions that would have a material adverse effect on our operations and financial performance. For a description of a current regulatory investigation being conducted by the CFPB, see the following risk factor.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Currently and from time to time, we are defendants in various legal and regulatory actions. We cannot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 The following is a description of significant proceedings:</w:t>
      </w:r>
    </w:p>
    <w:p>
      <w:pPr>
        <w:spacing w:after="0" w:line="134" w:lineRule="exact"/>
        <w:rPr>
          <w:sz w:val="20"/>
          <w:szCs w:val="20"/>
          <w:color w:val="auto"/>
        </w:rPr>
      </w:pPr>
    </w:p>
    <w:p>
      <w:pPr>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derivative action in the Court of Chancery of the State of Delaware styled </w:t>
      </w:r>
      <w:r>
        <w:rPr>
          <w:rFonts w:ascii="Arial" w:cs="Arial" w:eastAsia="Arial" w:hAnsi="Arial"/>
          <w:sz w:val="18"/>
          <w:szCs w:val="18"/>
          <w:i w:val="1"/>
          <w:iCs w:val="1"/>
          <w:color w:val="auto"/>
        </w:rPr>
        <w:t>Treppel v. Cohen, et al. (C.A. No. 9962-VCP)</w:t>
      </w:r>
      <w:r>
        <w:rPr>
          <w:rFonts w:ascii="Arial" w:cs="Arial" w:eastAsia="Arial" w:hAnsi="Arial"/>
          <w:sz w:val="18"/>
          <w:szCs w:val="18"/>
          <w:color w:val="auto"/>
        </w:rPr>
        <w:t>.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49"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47" w:lineRule="exact"/>
        <w:rPr>
          <w:rFonts w:ascii="Arial" w:cs="Arial" w:eastAsia="Arial" w:hAnsi="Arial"/>
          <w:sz w:val="18"/>
          <w:szCs w:val="18"/>
          <w:color w:val="auto"/>
        </w:rPr>
      </w:pPr>
    </w:p>
    <w:p>
      <w:pPr>
        <w:ind w:left="1300" w:right="60" w:hanging="320"/>
        <w:spacing w:after="0" w:line="262"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42"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jc w:val="both"/>
        <w:ind w:left="660" w:right="60"/>
        <w:spacing w:after="0" w:line="256" w:lineRule="auto"/>
        <w:rPr>
          <w:sz w:val="20"/>
          <w:szCs w:val="20"/>
          <w:color w:val="auto"/>
        </w:rPr>
      </w:pPr>
      <w:r>
        <w:rPr>
          <w:rFonts w:ascii="Arial" w:cs="Arial" w:eastAsia="Arial" w:hAnsi="Arial"/>
          <w:sz w:val="18"/>
          <w:szCs w:val="18"/>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transactions and (c) reimbursement of costs and expenses, including reasonable attorney’s fees.</w:t>
      </w:r>
    </w:p>
    <w:p>
      <w:pPr>
        <w:spacing w:after="0" w:line="171"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On October 13, 2014, motions to dismiss were filed on behalf of each defendant. The defendants filed their opening briefs in support of the motions to dismiss on November 12, 2014; the plaintiff filed his response brief on January 9, 2015; and the defendants filed their reply brief on February 6, 2015. On November 13, 2014, pursuant to the parties’ stipulation, the Court dismissed the action as to Mr. Brinkley, Mr. Rothamel and Mr. Lagos.</w:t>
      </w:r>
    </w:p>
    <w:p>
      <w:pPr>
        <w:spacing w:after="0" w:line="150"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132"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i w:val="1"/>
          <w:iCs w:val="1"/>
          <w:color w:val="auto"/>
        </w:rPr>
        <w:t xml:space="preserve">Federal securities litigation — </w:t>
      </w:r>
      <w:r>
        <w:rPr>
          <w:rFonts w:ascii="Arial" w:cs="Arial" w:eastAsia="Arial" w:hAnsi="Arial"/>
          <w:sz w:val="18"/>
          <w:szCs w:val="18"/>
          <w:color w:val="auto"/>
        </w:rPr>
        <w:t>On August 22, 2014, Jason Close, a purported holder of Class A Non-voting Common Stock, for himself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on 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 (</w:t>
      </w:r>
      <w:r>
        <w:rPr>
          <w:rFonts w:ascii="Arial" w:cs="Arial" w:eastAsia="Arial" w:hAnsi="Arial"/>
          <w:sz w:val="18"/>
          <w:szCs w:val="18"/>
          <w:color w:val="auto"/>
        </w:rPr>
        <w:t>Case No. 1:14-cv-06834-ALC). The complaint names as defendants EZCORP, Inc., Paul E. Rothamel (our former chief executive officer) and Mark Kuchenrither (our current chief financial officer and our chief executive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53"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8"/>
          <w:szCs w:val="18"/>
          <w:i w:val="1"/>
          <w:iCs w:val="1"/>
          <w:color w:val="auto"/>
        </w:rPr>
        <w:t>Automotive Machinists Pension Plan v. EZCORP, Inc., et al</w:t>
      </w:r>
      <w:r>
        <w:rPr>
          <w:rFonts w:ascii="Arial" w:cs="Arial" w:eastAsia="Arial" w:hAnsi="Arial"/>
          <w:sz w:val="18"/>
          <w:szCs w:val="18"/>
          <w:color w:val="auto"/>
        </w:rPr>
        <w:t xml:space="preserve"> (Case No. 1:14-cv-8349-ALC). The complaint names EZCORP, Inc., Mr. Rothamel and Mr. Kuchenrither as defendants, but also names Mr.</w:t>
      </w:r>
    </w:p>
    <w:p>
      <w:pPr>
        <w:spacing w:after="0" w:line="2"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35"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 xml:space="preserve">On October 21, 2014, the plaintiff in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filed a motion to consolidate the </w:t>
      </w:r>
      <w:r>
        <w:rPr>
          <w:rFonts w:ascii="Arial" w:cs="Arial" w:eastAsia="Arial" w:hAnsi="Arial"/>
          <w:sz w:val="18"/>
          <w:szCs w:val="18"/>
          <w:i w:val="1"/>
          <w:iCs w:val="1"/>
          <w:color w:val="auto"/>
        </w:rPr>
        <w:t>Close</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16, 2015, appointed the lead plaintiff and lead counsel.</w:t>
      </w:r>
    </w:p>
    <w:p>
      <w:pPr>
        <w:spacing w:after="0" w:line="144" w:lineRule="exact"/>
        <w:rPr>
          <w:sz w:val="20"/>
          <w:szCs w:val="20"/>
          <w:color w:val="auto"/>
        </w:rPr>
      </w:pPr>
    </w:p>
    <w:p>
      <w:pPr>
        <w:ind w:left="660" w:right="440"/>
        <w:spacing w:after="0" w:line="262" w:lineRule="auto"/>
        <w:rPr>
          <w:sz w:val="20"/>
          <w:szCs w:val="20"/>
          <w:color w:val="auto"/>
        </w:rPr>
      </w:pPr>
      <w:r>
        <w:rPr>
          <w:rFonts w:ascii="Arial" w:cs="Arial" w:eastAsia="Arial" w:hAnsi="Arial"/>
          <w:sz w:val="18"/>
          <w:szCs w:val="18"/>
          <w:color w:val="auto"/>
        </w:rPr>
        <w:t>The consolidated case is at a very early procedural stage. We cannot predict the outcome of the litigation, but we intend to defend vigorously against all allegations and claims.</w:t>
      </w:r>
    </w:p>
    <w:p>
      <w:pPr>
        <w:spacing w:after="0" w:line="124" w:lineRule="exact"/>
        <w:rPr>
          <w:sz w:val="20"/>
          <w:szCs w:val="20"/>
          <w:color w:val="auto"/>
        </w:rPr>
      </w:pPr>
    </w:p>
    <w:p>
      <w:pPr>
        <w:ind w:left="660" w:right="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SEC Investigation — </w:t>
      </w:r>
      <w:r>
        <w:rPr>
          <w:rFonts w:ascii="Arial" w:cs="Arial" w:eastAsia="Arial" w:hAnsi="Arial"/>
          <w:sz w:val="18"/>
          <w:szCs w:val="18"/>
          <w:color w:val="auto"/>
        </w:rPr>
        <w:t>On October 23, 2014, we received a notice from the Fort Worth Regional Office of the SEC that it was conducting</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investigation into 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Vice Chairman and a current member of our Board of Directors). The SEC has also issued subpoenas to current and former members of our Board of Directors requesting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spacing w:after="0" w:line="309" w:lineRule="auto"/>
        <w:rPr>
          <w:sz w:val="20"/>
          <w:szCs w:val="20"/>
          <w:color w:val="auto"/>
        </w:rPr>
      </w:pPr>
      <w:r>
        <w:rPr>
          <w:rFonts w:ascii="Arial" w:cs="Arial" w:eastAsia="Arial" w:hAnsi="Arial"/>
          <w:sz w:val="18"/>
          <w:szCs w:val="18"/>
          <w:color w:val="auto"/>
        </w:rPr>
        <w:t>production of similar documents. We have provided a number of documents in response to the subpoena and are cooperating fully with the SEC in its investigation.</w:t>
      </w:r>
    </w:p>
    <w:p>
      <w:pPr>
        <w:spacing w:after="0" w:line="97" w:lineRule="exact"/>
        <w:rPr>
          <w:sz w:val="20"/>
          <w:szCs w:val="20"/>
          <w:color w:val="auto"/>
        </w:rPr>
      </w:pPr>
    </w:p>
    <w:p>
      <w:pPr>
        <w:ind w:left="660" w:right="60" w:hanging="328"/>
        <w:spacing w:after="0" w:line="255"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CFPB </w:t>
      </w:r>
      <w:r>
        <w:rPr>
          <w:rFonts w:ascii="Arial" w:cs="Arial" w:eastAsia="Arial" w:hAnsi="Arial"/>
          <w:sz w:val="18"/>
          <w:szCs w:val="18"/>
          <w:color w:val="auto"/>
        </w:rPr>
        <w:t>— In February 2014, we received a Civil Investigative Demand (“CID”) from the CFPB. The CID requested us to produce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provide answers to written questions. We submitted all information requested by this CID. In October 2014, we received a follow-up CID requesting additional information regarding certain of the matters addressed in the initial CID, and since then, the CFPB has taken oral testimony from Company representatives and has requested certain follow-up information. We continue to cooperate fully with the CFPB in its investigation. To date, no claims have been asserted by the CFPB as a result of our responses, although there can be no assurance that the CFPB will not assert claims, including that one or more of our historical practices constitute UDAAP violations. Any such claim could require us to pay fines, penalties and/or customer restitution, or could result in changes to our business practices to address the claims asserted.</w:t>
      </w:r>
    </w:p>
    <w:p>
      <w:pPr>
        <w:spacing w:after="0" w:line="131" w:lineRule="exact"/>
        <w:rPr>
          <w:rFonts w:ascii="Arial" w:cs="Arial" w:eastAsia="Arial" w:hAnsi="Arial"/>
          <w:sz w:val="18"/>
          <w:szCs w:val="18"/>
          <w:i w:val="1"/>
          <w:iCs w:val="1"/>
          <w:color w:val="auto"/>
        </w:rPr>
      </w:pPr>
    </w:p>
    <w:p>
      <w:pPr>
        <w:ind w:left="660" w:right="100" w:hanging="328"/>
        <w:spacing w:after="0" w:line="255"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FCA </w:t>
      </w:r>
      <w:r>
        <w:rPr>
          <w:rFonts w:ascii="Arial" w:cs="Arial" w:eastAsia="Arial" w:hAnsi="Arial"/>
          <w:sz w:val="18"/>
          <w:szCs w:val="18"/>
          <w:color w:val="auto"/>
        </w:rPr>
        <w:t>— In the course of evaluating and preparing our Cash Genie business for compliance with the new FCA guidelines and rules, we</w:t>
      </w:r>
      <w:r>
        <w:rPr>
          <w:rFonts w:ascii="Arial" w:cs="Arial" w:eastAsia="Arial" w:hAnsi="Arial"/>
          <w:sz w:val="18"/>
          <w:szCs w:val="18"/>
          <w:i w:val="1"/>
          <w:iCs w:val="1"/>
          <w:color w:val="auto"/>
        </w:rPr>
        <w:t xml:space="preserve"> </w:t>
      </w:r>
      <w:r>
        <w:rPr>
          <w:rFonts w:ascii="Arial" w:cs="Arial" w:eastAsia="Arial" w:hAnsi="Arial"/>
          <w:sz w:val="18"/>
          <w:szCs w:val="18"/>
          <w:color w:val="auto"/>
        </w:rPr>
        <w:t>noted three issues primarily related to our legacy business and self-reported those to the FCA in June 2014 and have been in regular dialog with the FCA regarding those issues since. In July,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was selected as the skilled person to oversee the process (referred to as a “section 166 process”), which commenced in November 2014. The section 166 process is ongoing, and at this point, it cannot be determined whether resolution of this matter will have a material adverse effect on our results of operations.</w:t>
      </w:r>
    </w:p>
    <w:p>
      <w:pPr>
        <w:spacing w:after="0" w:line="14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have procured management liability insurance policies that should protect us from much of the potential exposure related to the shareholder derivative litigation and the federal securities litigation described above. However, under the terms of those policies, we bear the first $1 million of costs or liability associated with those actions. Consequently, we expect that our results of operations will be adversely affected by the current litigation until we exhaust the $1 million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3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 traded non-voting stock.</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who control our policies and operations. All of our publicly 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 traded Class A Non-Voting Common Stock.</w:t>
      </w:r>
    </w:p>
    <w:p>
      <w:pPr>
        <w:spacing w:after="0" w:line="1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July 2014, the sole voting stockholder amended the Company’s Bylaws in several respects. Those amendments, which are described in the Company’s Current Report on Form 8-K dated July 18, 2014 and filed July 22, 2014, generally restructure certain aspects of the Company’s corporate governance. For example, the amendments (a) permit the voting stockholder to fill vacancies on the Board of Directors and appoint and remove the Chairman of the Board and officers of the Company; (b) provide that the presence of 100% of the directors is necessary to constitute a quorum at any meeting of the Board; and (c) provide that the affirmative vote of 100% of the directors is necessary to approve any resolution of the Board.</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past several years, we have entered into advisory services agreements with Madison Park, LLC, a financial advisory firm wholly owned by Mr. Cohen. The agreement for fiscal 2014 called for the payment of a retainer fee of $600,000 per month plus the reimbursement of out-of-pocket expenses incurred in connection with the engagement. On May 20, 2014, we provided Madison Park with a 30-day notice of termination pursuant to the terms of the agreement, and the agreement terminated effective June 19, 2014. See “Part III — Item 13 — Certain Relationships and Related Transactions, and Director Independence — Related Party Transactions — Agreement with Madison Park” in our Annual Report on Form 10-K for the year ended September 30, 2014.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2014, over half of our financial services stores and almost half of our domestic pawn stores were located in Texas, and those stores account for a significant portion of our revenues and profitability. With the exception of activity at the municipal level that has negatively impacted (or may negatively impact) our financial services business,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negative legislative or regulatory change in Texas could have a material adverse effect on our overall operations and financial performance. We offer short-term consumer loans in Texas through our credit services organization program. If new adverse legislation is enacted in Texas, it could require us to alter or discontinue some or all of our consumer loan business in Texas. As noted above, bills that could potentially have an adverse impact on our consumer loan business in Texas have already been filed in connection with the upcoming Texas legislative session (which starts in January 2015). There can be no assurance that adverse legislation will not be considered, or possibly enacted, during the upcoming legislative session.</w:t>
      </w:r>
    </w:p>
    <w:p>
      <w:pPr>
        <w:spacing w:after="0" w:line="13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12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Gold jewelry comprises a significant portion of the collateral security for our pawn loans and our inventory, and gold scrapping accounts for a significant portion of our revenues and gross profit.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significantly impact our business. During fiscal 2014, 2013 and 2012, we experienced a significant softening of gold prices and volumes, which had a significant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have foreign operations in Mexico and Canada and equity investments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material adverse impact on our financial position,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periods of economic recession and unemployment could adversely affect our lending and retail businesses.</w:t>
      </w:r>
    </w:p>
    <w:p>
      <w:pPr>
        <w:spacing w:after="0" w:line="193" w:lineRule="exact"/>
        <w:rPr>
          <w:sz w:val="20"/>
          <w:szCs w:val="20"/>
          <w:color w:val="auto"/>
        </w:rPr>
      </w:pPr>
    </w:p>
    <w:p>
      <w:pPr>
        <w:jc w:val="both"/>
        <w:ind w:right="580"/>
        <w:spacing w:after="0" w:line="250" w:lineRule="auto"/>
        <w:rPr>
          <w:sz w:val="20"/>
          <w:szCs w:val="20"/>
          <w:color w:val="auto"/>
        </w:rPr>
      </w:pPr>
      <w:r>
        <w:rPr>
          <w:rFonts w:ascii="Arial" w:cs="Arial" w:eastAsia="Arial" w:hAnsi="Arial"/>
          <w:sz w:val="18"/>
          <w:szCs w:val="18"/>
          <w:color w:val="auto"/>
        </w:rPr>
        <w:t>All of our businesses, like other businesses, are subject to fluctuations based on varying economic conditions. Economic conditions and general consumer confidence affect the demand for our retail products and the ability and willingness of our customers to utilize our loan products and services. Our consumer loan products and services require the customer to have a verifiable recurring source of income.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Consequently, we may experience reduced demand for our consumer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p>
      <w:pPr>
        <w:spacing w:after="0" w:line="12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A significant portion of our short-term consumer loan revenues and profitability is dependent upon the ability and willingness of unaffiliated lenders to make loans to our customers.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Texas, where over half of our financial services stores are located, we do not make consumer loans to customers, but assist customers in arranging loans with unaffiliated lenders. Our credit services organization or credit access business could be adversely affected if (a) we were to lose our current relationships with unaffiliated lenders and were unable to establish a relationship with another unaffiliated lender who was willing and able to</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make short-term loans to our Texas customers or (b) the unaffiliated lenders are unable to obtain capital or other sources of funding at appropriate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expansion strategy includes opening de novo store locations and acquiring existing stores.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In addition, our acquisition strategy is dependent upon the availability of attractive acquisition candidates. The achievement of our growth objectives is also subject to our ability to attract, train and retain qualified team members. Failure to achieve our expansion goals would adversely affect our prospects and future results of operations.</w:t>
      </w:r>
    </w:p>
    <w:p>
      <w:pPr>
        <w:spacing w:after="0" w:line="13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in those countries, which could adversely affect our growth plans.</w:t>
      </w:r>
    </w:p>
    <w:p>
      <w:pPr>
        <w:spacing w:after="0" w:line="12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Our growth plans include significant expansion in Mexico.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2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Fluctuations in our sales, pawn loan balances, sales margins, pawn redemption rates and loan default and collection rates could have a material adverse impact on our operating results.</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Changes in our liquidity and capital requirements or in banks’ abilities or willingness to lend to us could limit our ability to achieve our plans.</w:t>
      </w:r>
    </w:p>
    <w:p>
      <w:pPr>
        <w:spacing w:after="0" w:line="12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require continued access to capital. 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Our ability to obtain additional credit or alternative financing, if needed, will depend upon market conditions, our financial condition and banks’ or other lenders’ willingness to lend capital at acceptable rates. The inability to access capital at acceptable rates and terms could impair our ability to achieve our growth objectives, which could adversely affect our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encounter significant competition from other pawn stores, cash advance companies, credit service organizations, credit access businesses,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9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currently have a significant investment in Cash Converters International Limited, which is a publicly 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Any realized investment loss would adversely affect our results of operations. We previously had an investment in Albemarle &amp; Bond Holdings PLC, a U.K. pawnbroking company. Based on our review of Albemarle &amp; Bond and its business as of September 30, 2013, we wrote down a significant portion of our investment, and recognized an investment loss, in the fourth quarter of fiscal 2013. Due to a continued deterioration in Albemarle</w:t>
      </w:r>
    </w:p>
    <w:p>
      <w:pPr>
        <w:spacing w:after="0" w:line="2" w:lineRule="exact"/>
        <w:rPr>
          <w:sz w:val="20"/>
          <w:szCs w:val="20"/>
          <w:color w:val="auto"/>
        </w:rPr>
      </w:pPr>
    </w:p>
    <w:p>
      <w:pPr>
        <w:ind w:right="620" w:firstLine="8"/>
        <w:spacing w:after="0" w:line="262" w:lineRule="auto"/>
        <w:tabs>
          <w:tab w:leader="none" w:pos="17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Bond’s business and prospects, we wrote down the remainder of our investment, and recognized an additional investment loss, in the second quarter of fiscal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could be subject to changes in tax rates, the adoption of new tax laws in the U.S. or other countries, or exposure to additional tax liabilities.</w:t>
      </w:r>
    </w:p>
    <w:p>
      <w:pPr>
        <w:spacing w:after="0" w:line="12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2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A decrease in demand for our products and specialty financial services and our failure to adapt to such decrease could result in a loss of revenue and could have a material adverse effect on us.</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Although our products and services are a staple of our customer base, the demand for a particular product or service may decrease due to a variety of factors, such as regulatory restrictions that reduce customer access to particular products, the availability of competing products or changes in customers' financial conditions. Should we fail to adapt to a significant change in our customers' demand for, or access to, our products, our revenues could decrease significantly. Even if we make adaptations or introduce new products to fulfill customer demand,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customers may resist or may reject products whose adaptations make them less attractive or less available. In any event, the effect of any product change on the results of our business may not be fully ascertainable until the change has been in effect for some time. In particular, we have changed, and will continue to change, some of our consumer loan operations and the products we offer. Any of these events could result in a loss of revenue and could have a material adverse effect on our business, prospectus, results of operations and financial condition.</w:t>
      </w:r>
    </w:p>
    <w:p>
      <w:pPr>
        <w:spacing w:after="0" w:line="12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Mexican payroll withholding business is highly dependent on the relationships that we build and sustain with state and local governments and labor unions.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Grupo Finmart and its brokers promote our payroll loan products through public-sector employers in governmental agencies across Mexico. If we are not able to maintain relationships with these entities or increase our distribution network through new relationships with other federal, state and local governments or labor unions, our ability to originate new payroll loans could be diminished, which would reduce the size of our payroll withholding lending loan portfolio. In addition, despite contractual arrangements which provide that the payroll counterparty will continue to deduct payments even if our relationship with that entity is terminated, the credit risk of our existing payroll loan portfolio could increase because payroll deduction payments on existing payroll loans could be disrupted, whether due to our severing a relationship with a broker or otherwise.</w:t>
      </w:r>
    </w:p>
    <w:p>
      <w:pPr>
        <w:spacing w:after="0" w:line="131"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carrying value of our goodwill was $347 million, or approximately 25% of our total assets, as of September 30, 2014.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2014 (following the impairment or write-down of goodwill associated with discontinued operations in our two online lending business units) and determined that no material impairment existed at that date, other than an amount for internally developed software.</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our estimates of allowance for loan losses are not adequate to absorb losses, our results of operations and financial condition may be negatively affected.</w:t>
      </w:r>
    </w:p>
    <w:p>
      <w:pPr>
        <w:spacing w:after="0" w:line="1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maintain an allowance for loan losses for estimated probable losses on company-funded loans and loans in default. We also maintain a reserve for loan losses for estimated probable losses on loans funded by our CSO partners, but for which we are responsible. At September 30, 2014, our aggregate reserve and allowance for losses on loans not in default (including loans funded by our CSO partners) was $27.6 million. The amount of reserves and allowances is based on our current assessment of and expectations concerning various factors affecting the quality of our loan portfolio. These factors include, among other things, our borrowers’ financial condition, repayment abilities and repayment intentions. This reserve, however, is an estimate, and if actual losses are greater than our reserve and allowance, our results of operations and financial condition could be adversely affected.</w:t>
      </w:r>
    </w:p>
    <w:p>
      <w:pPr>
        <w:spacing w:after="0" w:line="13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Judicial decisions, CFPB rule-making or amendments to the Federal Arbitration Act could render the arbitration agreements we use illegal or unenforceable.</w:t>
      </w:r>
    </w:p>
    <w:p>
      <w:pPr>
        <w:spacing w:after="0" w:line="12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include arbitration provisions in our consumer loan agreements. These provisions are designed to allow us to resolve any customer disputes through individual arbitration rather than in court and explicitly provide that all arbitrations will be conducted on an individual and not on a class basis. Thus, our arbitration agreements, if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enforced, have the effect of shielding us from class action liability. Our arbitration agreements do not generally have any impact on regulatory enforcement proceedings.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take the position that the arbitration provisions in our consumer loan agreements, including class action waivers, are valid and enforceable. However, the enforceability of arbitration provisions is often challenged in court. If those challenges are successful, our arbitration and class action waiver provisions could be unenforceable, which could subject us to additional litigation, including class action litigation.</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the U.S. Congress has considered legislation that would generally limit or prohibit mandatory arbitration agreements in consumer contracts and has enacted legislation with such a prohibition with respect to certain mortgage loan agreements and certain consumer loan agreements to members of the military on active duty and their dependents. Further, the Dodd-Frank Act directs the CFPB to study consumer arbitration and report to the U.S. Congress, and it authorized the CFPB to adopt rules limiting or prohibiting consumer arbitration, consistent with the results of its study. Any such rule would apply to arbitration agreements entered into more than six months after the final rule becomes effective (and not to prior arbitration agreements).</w:t>
      </w:r>
    </w:p>
    <w:p>
      <w:pPr>
        <w:spacing w:after="0" w:line="15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Any judicial decision, legislation or other rules or regulations that impair our ability to enter into and enforce consumer arbitration agreements and class action waivers could significantly increase our exposure to class action litigation as well as litigation in plaintiff-friendly jurisdictions. Such litigation would be costly and could have a material adverse effect on our business, results of operations and financial condition.</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Non-Voting Common Stock</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stock price may be volatile, and you may not be able to sell your shares of our stock at or above the price at which those shares were valued when you acquired them.</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price of our Class A Non-Voting Common Stock fluctuates, which may result in losses for investors. From January 1, 2012 to March 6, 2015, the price of our Class A Non-Voting Common Stock, as reported by The NASQAQ Global Select Market, ranged from a low of $8.28 per share to a high of $33.38 per share. We expect our Class A Non-Voting Common Stock to continue to be subject to fluctuations as a result of a variety of factors, some of which are beyond our control. These factors include:</w:t>
      </w:r>
    </w:p>
    <w:p>
      <w:pPr>
        <w:spacing w:after="0" w:line="1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performance of our business, which is subject to the risks described above, among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personnel;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Class A Non-Voting Common Stock.</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may fail to meet expectations of our stockholders or of securities analysts at some time in the future, and our Class A Non-Voting Common Stock price could decline as a result.</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price of our Class A Non-Voting Common Stock may be adversely affected by the issuance and sale of our Class A Non-Voting Common Stock or by the perception that such issuances and sales may occur</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cannot predict the size of future issuances or sales of our Class A Non-Voting Common Stock, including issuances of stock in connection with acquisitions of businesses, assets or securities and sales by the persons receiving such stock, or the effect that such issuances or sales may have on the market price for our Class A Non-Voting Common Stock. The issuance and sale of substantial amounts of Class A Non-Voting Common Stock or the announcement that such issuances and sales may occur, could adversely affect the market price of our Class A Non-Voting Common Stock.</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shares of Class A Non-Voting Common Stock that are issued in connection with acquisitions of other businesses, assets or securities, as described in this prospectus, generally will be freely transferable when issued, and the persons who receive shares in those transactions generally will be able to sell those shares at any time after the closing of the transaction. Sales of a large number of shares in a short period of time could have the effect of depressing the market price for our Class A Non-Voting Common Stock.</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EZCORP'S ACQUISITION PROGRAM; PLAN OF DISTRIBUTION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This prospectus relates to 2,000,000 shares of our Class A Non-Voting Common Stock that we may offer and issue from time to time in connection with acquisitions of other businesses, assets or securities. We are actively looking for acquisition opportunities in the U.S. pawn industry. We may also consider acquisitions of short-term consumer loan or other cash advance businesses or other types of businesses that we believe to be related to or complementary to our core pawn and short-term consumer loan businesses.</w:t>
      </w:r>
    </w:p>
    <w:p>
      <w:pPr>
        <w:spacing w:after="0" w:line="1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typically structure an acquisition of a pawn store or a chain of pawn stores as an asset purchase, but we may structure business acquisitions in a variety of ways, including acquiring assets, acquiring stock or other equity interests, or merging the acquired business with EZCORP or one of our subsidiaries.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consideration for any acquisition may consist of shares of our Class A Non-Voting Common Stock or a combination of Class A Non-Voting Common Stock, cash, notes or assumption of liabilities. We expect that the shares of Class A Non-Voting Common Stock issued in connection with any transaction will be valued at a price reasonably related to the market value of our Class A Non-Voting Common Stock either at the time an agreement is reached regarding the terms of the acquisition, at the time we issue the shares or during some other negotiated period. We will determine the amount and type of consideration to be offered, and the other specific terms of each acquisition, following negotiation with the owners or controlling persons of the businesses to be acquired.</w:t>
      </w:r>
    </w:p>
    <w:p>
      <w:pPr>
        <w:spacing w:after="0" w:line="15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This prospectus may be supplemented to furnish the information necessary for a particular negotiated transaction, and the registration statement of which this prospectus is a part will be amended or supplemented, as required, to supply information concerning an acquisition.</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will pay all expenses of any offerings under this prospectus. We do not expect to pay underwriting discounts or commissions in connection with issuing these shares, although we may pay finder’s fees in specific acquisitions. Any person receiving a finder’s fee may be deemed an underwriter within the meaning of Section 2(a)(11) of the Securities Act.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General Corporation Law of the State of Delaware (the “Delaware General Corporation Law”).</w:t>
      </w:r>
    </w:p>
    <w:p>
      <w:pPr>
        <w:spacing w:after="0" w:line="13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Authorized and Outstanding Capital Stock — </w:t>
      </w:r>
      <w:r>
        <w:rPr>
          <w:rFonts w:ascii="Arial" w:cs="Arial" w:eastAsia="Arial" w:hAnsi="Arial"/>
          <w:sz w:val="18"/>
          <w:szCs w:val="18"/>
          <w:color w:val="auto"/>
        </w:rPr>
        <w:t>We are authorized to issue 100,000,000 shares of Class A Non-Voting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 and 3,000,000 shares of Class B Voting Common Stock, par value $0.01 per share. As of March 6, 2015, there were 51,831,019 shares of Class A Non-Voting Common Stock and 2,970,171 shares of Class B Voting Common Stock issued and outstanding.</w:t>
      </w:r>
    </w:p>
    <w:p>
      <w:pPr>
        <w:spacing w:after="0" w:line="14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2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the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 do not anticipate paying any cash dividends in the immediate future. Any future determination to pay cash dividends will be at the discretion of our Board of Directors.</w:t>
      </w:r>
    </w:p>
    <w:p>
      <w:pPr>
        <w:spacing w:after="0" w:line="130"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validity of the Class A Non-Voting Common Stock offered hereby has been passed upon by Vinson &amp; Elkins L.L.P., Dallas, Texas, counsel to EZCORP.</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as of September 30, 2014 and 2013, and for each of the two years in the period ended September 30, 2014, incorporated in this Prospectus by reference from the Company's Annual Report on Form 10-K, and the effectiveness of EZCORP, Inc.'s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5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for the year ended September 30, 2012,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facility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THIS PROSPECTUS INCORPORATES DOCUMENTS BY REFERENCE THAT ARE NOT PRESENTED IN OR DELIVERED WITH THIS PROSPECTUS. YOU SHOULD RELY ONLY ON THE INFORMATION CONTAINED IN THIS PROSPECTUS AND IN THE DOCUMENTS THAT WE HAVE INCORPORATED BY REFERENCE INTO THIS PROSPECTUS. WE HAVE NOT AUTHORIZED ANYONE TO PROVIDE YOU WITH INFORMATION THAT IS DIFFERENT FROM OR IN ADDITION TO THE INFORMATION CONTAINED IN THIS PROSPECTUS AND INCORPORATED BY REFERENCE INTO THIS PROSPECTUS.</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2014;</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Reports on Form 8-K filed with the SEC on December 2, 2014; December 19, 2014; January 15, 2015; February 4, 2015; February 24, 2015; February 26, 2015; and March 3, 2015; and</w:t>
      </w:r>
    </w:p>
    <w:p>
      <w:pPr>
        <w:spacing w:after="0" w:line="142"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Class A Non-Voting Common Stock terminates or we have filed with the SEC an amendment to the Registration Statement relating to this offering that deregisters all shares of Class A Non-Voting Common Stock then remaining unsold.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Corporate Secretary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 Indemnification of Directors and Officers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 Exhibits and Financial Statement Schedules</w:t>
      </w:r>
    </w:p>
    <w:p>
      <w:pPr>
        <w:spacing w:after="0" w:line="19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exhibits are filed as a part of this Registration Statement:</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ind w:left="1300" w:right="120" w:hanging="887"/>
        <w:spacing w:after="0" w:line="246"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(incorporated by reference to Exhibit 3.1 to the Company’s Current Report on Form 8-K dated October 1, 2013, Commission File No. 0-19424).</w:t>
      </w:r>
    </w:p>
    <w:p>
      <w:pPr>
        <w:spacing w:after="0" w:line="35" w:lineRule="exact"/>
        <w:rPr>
          <w:sz w:val="20"/>
          <w:szCs w:val="20"/>
          <w:color w:val="auto"/>
        </w:rPr>
      </w:pPr>
    </w:p>
    <w:p>
      <w:pPr>
        <w:ind w:left="1300" w:right="180" w:hanging="887"/>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dated March 25, 2014, to the Company's Amended and Restated Certificate of Incorporation (incorporated by reference to Exhibit 99.1 to the Company's Current Report on Form 8-K dated March 25, 2014, Commission File No. 0-19424)</w:t>
      </w:r>
    </w:p>
    <w:p>
      <w:pPr>
        <w:spacing w:after="0" w:line="243" w:lineRule="exact"/>
        <w:rPr>
          <w:sz w:val="20"/>
          <w:szCs w:val="20"/>
          <w:color w:val="auto"/>
        </w:rPr>
      </w:pPr>
    </w:p>
    <w:p>
      <w:pPr>
        <w:ind w:left="1300" w:right="360" w:hanging="887"/>
        <w:spacing w:after="0" w:line="246"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effective July 20, 2014 (incorporated by reference to Exhibit 3.2 to the Company’s Current Report on Form 8-K dated July 18, 2014, Commission File No. 0-19424).</w:t>
      </w:r>
    </w:p>
    <w:p>
      <w:pPr>
        <w:spacing w:after="0" w:line="237" w:lineRule="exact"/>
        <w:rPr>
          <w:sz w:val="20"/>
          <w:szCs w:val="20"/>
          <w:color w:val="auto"/>
        </w:rPr>
      </w:pPr>
    </w:p>
    <w:p>
      <w:pPr>
        <w:ind w:left="1300" w:right="700" w:hanging="887"/>
        <w:spacing w:after="0" w:line="246"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23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Vinson &amp; Elkins L.L.P.</w:t>
      </w:r>
    </w:p>
    <w:p>
      <w:pPr>
        <w:spacing w:after="0" w:line="6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Deloitte &amp; Touche LLP</w:t>
      </w:r>
    </w:p>
    <w:p>
      <w:pPr>
        <w:spacing w:after="0" w:line="6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BDO USA, LLP</w:t>
      </w:r>
    </w:p>
    <w:p>
      <w:pPr>
        <w:spacing w:after="0" w:line="6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Consent of Vinson &amp; Elkins LLP (included in Exhibit 5.1)</w:t>
      </w:r>
    </w:p>
    <w:p>
      <w:pPr>
        <w:spacing w:after="0" w:line="6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(set forth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3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have been omitted.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 Undertakings</w:t>
      </w:r>
    </w:p>
    <w:p>
      <w:pPr>
        <w:spacing w:after="0" w:line="19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hanging="655"/>
        <w:spacing w:after="0" w:line="252"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right="220" w:hanging="655"/>
        <w:spacing w:after="0" w:line="262"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2"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500" w:hanging="644"/>
        <w:spacing w:after="0" w:line="26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right="60" w:hanging="644"/>
        <w:spacing w:after="0" w:line="25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8" w:lineRule="exact"/>
        <w:rPr>
          <w:rFonts w:ascii="Arial" w:cs="Arial" w:eastAsia="Arial" w:hAnsi="Arial"/>
          <w:sz w:val="18"/>
          <w:szCs w:val="18"/>
          <w:color w:val="auto"/>
        </w:rPr>
      </w:pPr>
    </w:p>
    <w:p>
      <w:pPr>
        <w:ind w:left="1300" w:right="320" w:hanging="644"/>
        <w:spacing w:after="0" w:line="25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8"/>
          <w:szCs w:val="18"/>
          <w:color w:val="auto"/>
        </w:rPr>
      </w:pPr>
    </w:p>
    <w:p>
      <w:pPr>
        <w:ind w:left="1960" w:right="400" w:hanging="655"/>
        <w:spacing w:after="0" w:line="262"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200" w:hanging="655"/>
        <w:spacing w:after="0" w:line="262"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80" w:hanging="655"/>
        <w:spacing w:after="0" w:line="262"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2" w:lineRule="exact"/>
        <w:rPr>
          <w:rFonts w:ascii="Arial" w:cs="Arial" w:eastAsia="Arial" w:hAnsi="Arial"/>
          <w:sz w:val="18"/>
          <w:szCs w:val="18"/>
          <w:color w:val="auto"/>
        </w:rPr>
      </w:pPr>
    </w:p>
    <w:p>
      <w:pPr>
        <w:ind w:left="1960" w:hanging="655"/>
        <w:spacing w:after="0"/>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34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hanging="652"/>
        <w:spacing w:after="0" w:line="2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right="12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51" w:lineRule="exact"/>
        <w:rPr>
          <w:rFonts w:ascii="Arial" w:cs="Arial" w:eastAsia="Arial" w:hAnsi="Arial"/>
          <w:sz w:val="18"/>
          <w:szCs w:val="18"/>
          <w:color w:val="auto"/>
        </w:rPr>
      </w:pPr>
    </w:p>
    <w:p>
      <w:pPr>
        <w:ind w:left="660" w:hanging="652"/>
        <w:spacing w:after="0" w:line="2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(d)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ind w:left="660" w:right="20" w:hanging="652"/>
        <w:spacing w:after="0" w:line="25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8" w:lineRule="exact"/>
        <w:rPr>
          <w:rFonts w:ascii="Arial" w:cs="Arial" w:eastAsia="Arial" w:hAnsi="Arial"/>
          <w:sz w:val="18"/>
          <w:szCs w:val="18"/>
          <w:color w:val="auto"/>
        </w:rPr>
      </w:pPr>
    </w:p>
    <w:p>
      <w:pPr>
        <w:ind w:left="660" w:right="400" w:hanging="652"/>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50" w:lineRule="exact"/>
        <w:rPr>
          <w:rFonts w:ascii="Arial" w:cs="Arial" w:eastAsia="Arial" w:hAnsi="Arial"/>
          <w:sz w:val="18"/>
          <w:szCs w:val="18"/>
          <w:color w:val="auto"/>
        </w:rPr>
      </w:pPr>
    </w:p>
    <w:p>
      <w:pPr>
        <w:ind w:left="660" w:right="220" w:hanging="602"/>
        <w:spacing w:after="0" w:line="256"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Act, the registrant certifies that it has duly caused this registration statement to be signed on its behalf by the undersigned, thereunto duly authorized, in the City of Austin, State of Texas, on March 9, 2015.</w:t>
      </w:r>
    </w:p>
    <w:p>
      <w:pPr>
        <w:spacing w:after="0" w:line="15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EZCORP, INC.</w:t>
      </w:r>
    </w:p>
    <w:p>
      <w:pPr>
        <w:spacing w:after="0" w:line="374"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 /s/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E. Kuchenrither, President and Chief</w:t>
      </w:r>
    </w:p>
    <w:p>
      <w:pPr>
        <w:ind w:left="7800"/>
        <w:spacing w:after="0"/>
        <w:rPr>
          <w:sz w:val="20"/>
          <w:szCs w:val="20"/>
          <w:color w:val="auto"/>
        </w:rPr>
      </w:pPr>
      <w:r>
        <w:rPr>
          <w:rFonts w:ascii="Arial" w:cs="Arial" w:eastAsia="Arial" w:hAnsi="Arial"/>
          <w:sz w:val="18"/>
          <w:szCs w:val="18"/>
          <w:color w:val="auto"/>
        </w:rPr>
        <w:t>Operating Officer, Chief Financial Officer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or substitutes, may lawfully do or cause to be done by virtue hereof.Pursuant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1520"/>
        <w:spacing w:after="0"/>
        <w:tabs>
          <w:tab w:leader="none" w:pos="4020" w:val="left"/>
          <w:tab w:leader="none" w:pos="94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Stuart I. Grimshaw</w:t>
      </w:r>
    </w:p>
    <w:p>
      <w:pPr>
        <w:spacing w:after="0" w:line="3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Mark E. Kuchenrither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Stephen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Stephen A. Brown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Lachlan P. Given</w:t>
      </w:r>
    </w:p>
    <w:p>
      <w:pPr>
        <w:spacing w:after="0" w:line="3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Matthew W. Appel</w:t>
      </w:r>
    </w:p>
    <w:p>
      <w:pPr>
        <w:spacing w:after="0" w:line="3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Santiago Creel Miranda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Santiago Creel Miranda</w:t>
      </w:r>
    </w:p>
    <w:p>
      <w:pPr>
        <w:spacing w:after="0" w:line="3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6"/>
          <w:szCs w:val="16"/>
          <w:color w:val="auto"/>
        </w:rPr>
        <w:t>March 9, 2015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President and Chief Operating</w:t>
      </w:r>
      <w:r>
        <w:rPr>
          <w:sz w:val="20"/>
          <w:szCs w:val="20"/>
          <w:color w:val="auto"/>
        </w:rPr>
        <w:tab/>
      </w:r>
      <w:r>
        <w:rPr>
          <w:rFonts w:ascii="Arial" w:cs="Arial" w:eastAsia="Arial" w:hAnsi="Arial"/>
          <w:sz w:val="16"/>
          <w:szCs w:val="16"/>
          <w:color w:val="auto"/>
        </w:rPr>
        <w:t>March 9, 2015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Officer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Vice President, Finance and</w:t>
      </w:r>
      <w:r>
        <w:rPr>
          <w:sz w:val="20"/>
          <w:szCs w:val="20"/>
          <w:color w:val="auto"/>
        </w:rPr>
        <w:tab/>
      </w:r>
      <w:r>
        <w:rPr>
          <w:rFonts w:ascii="Arial" w:cs="Arial" w:eastAsia="Arial" w:hAnsi="Arial"/>
          <w:sz w:val="16"/>
          <w:szCs w:val="16"/>
          <w:color w:val="auto"/>
        </w:rPr>
        <w:t>March 9, 2015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1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6"/>
          <w:szCs w:val="16"/>
          <w:color w:val="auto"/>
        </w:rPr>
        <w:t>March 9, 2015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9, 2015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9, 2015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9, 2015</w:t>
      </w:r>
    </w:p>
    <w:p>
      <w:pPr>
        <w:spacing w:after="0" w:line="200" w:lineRule="exact"/>
        <w:rPr>
          <w:sz w:val="20"/>
          <w:szCs w:val="20"/>
          <w:color w:val="auto"/>
        </w:rPr>
      </w:pPr>
    </w:p>
    <w:p>
      <w:pPr>
        <w:spacing w:after="0" w:line="3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II-5</w:t>
      </w:r>
    </w:p>
    <w:p>
      <w:pPr>
        <w:sectPr>
          <w:pgSz w:w="11900" w:h="16838" w:orient="portrait"/>
          <w:cols w:equalWidth="0" w:num="2">
            <w:col w:w="3320" w:space="720"/>
            <w:col w:w="7340"/>
          </w:cols>
          <w:pgMar w:left="240" w:top="125" w:right="2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Pablo Lagos Espinosa</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20" w:type="dxa"/>
            <w:vAlign w:val="bottom"/>
          </w:tcPr>
          <w:p>
            <w:pPr>
              <w:ind w:left="2280"/>
              <w:spacing w:after="0"/>
              <w:rPr>
                <w:sz w:val="20"/>
                <w:szCs w:val="20"/>
                <w:color w:val="auto"/>
              </w:rPr>
            </w:pPr>
            <w:r>
              <w:rPr>
                <w:rFonts w:ascii="Arial" w:cs="Arial" w:eastAsia="Arial" w:hAnsi="Arial"/>
                <w:sz w:val="16"/>
                <w:szCs w:val="16"/>
                <w:color w:val="auto"/>
                <w:w w:val="99"/>
              </w:rPr>
              <w:t>March 9, 2015</w:t>
            </w:r>
          </w:p>
        </w:tc>
      </w:tr>
      <w:tr>
        <w:trPr>
          <w:trHeight w:val="237"/>
        </w:trPr>
        <w:tc>
          <w:tcPr>
            <w:tcW w:w="3780" w:type="dxa"/>
            <w:vAlign w:val="bottom"/>
          </w:tcPr>
          <w:p>
            <w:pPr>
              <w:jc w:val="center"/>
              <w:spacing w:after="0"/>
              <w:rPr>
                <w:sz w:val="20"/>
                <w:szCs w:val="20"/>
                <w:color w:val="auto"/>
              </w:rPr>
            </w:pPr>
            <w:r>
              <w:rPr>
                <w:rFonts w:ascii="Arial" w:cs="Arial" w:eastAsia="Arial" w:hAnsi="Arial"/>
                <w:sz w:val="16"/>
                <w:szCs w:val="16"/>
                <w:color w:val="auto"/>
              </w:rPr>
              <w:t>Pablo Lagos Espinosa</w:t>
            </w:r>
          </w:p>
        </w:tc>
        <w:tc>
          <w:tcPr>
            <w:tcW w:w="30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60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Thomas C. Roberts</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20" w:type="dxa"/>
            <w:vAlign w:val="bottom"/>
          </w:tcPr>
          <w:p>
            <w:pPr>
              <w:ind w:left="2280"/>
              <w:spacing w:after="0"/>
              <w:rPr>
                <w:sz w:val="20"/>
                <w:szCs w:val="20"/>
                <w:color w:val="auto"/>
              </w:rPr>
            </w:pPr>
            <w:r>
              <w:rPr>
                <w:rFonts w:ascii="Arial" w:cs="Arial" w:eastAsia="Arial" w:hAnsi="Arial"/>
                <w:sz w:val="16"/>
                <w:szCs w:val="16"/>
                <w:color w:val="auto"/>
                <w:w w:val="99"/>
              </w:rPr>
              <w:t>March 9, 2015</w:t>
            </w:r>
          </w:p>
        </w:tc>
      </w:tr>
      <w:tr>
        <w:trPr>
          <w:trHeight w:val="237"/>
        </w:trPr>
        <w:tc>
          <w:tcPr>
            <w:tcW w:w="3780" w:type="dxa"/>
            <w:vAlign w:val="bottom"/>
          </w:tcPr>
          <w:p>
            <w:pPr>
              <w:jc w:val="center"/>
              <w:spacing w:after="0"/>
              <w:rPr>
                <w:sz w:val="20"/>
                <w:szCs w:val="20"/>
                <w:color w:val="auto"/>
              </w:rPr>
            </w:pPr>
            <w:r>
              <w:rPr>
                <w:rFonts w:ascii="Arial" w:cs="Arial" w:eastAsia="Arial" w:hAnsi="Arial"/>
                <w:sz w:val="16"/>
                <w:szCs w:val="16"/>
                <w:color w:val="auto"/>
              </w:rPr>
              <w:t>Thomas C. Roberts</w:t>
            </w:r>
          </w:p>
        </w:tc>
        <w:tc>
          <w:tcPr>
            <w:tcW w:w="30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60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Joseph L. Rotunda</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20" w:type="dxa"/>
            <w:vAlign w:val="bottom"/>
          </w:tcPr>
          <w:p>
            <w:pPr>
              <w:ind w:left="2280"/>
              <w:spacing w:after="0"/>
              <w:rPr>
                <w:sz w:val="20"/>
                <w:szCs w:val="20"/>
                <w:color w:val="auto"/>
              </w:rPr>
            </w:pPr>
            <w:r>
              <w:rPr>
                <w:rFonts w:ascii="Arial" w:cs="Arial" w:eastAsia="Arial" w:hAnsi="Arial"/>
                <w:sz w:val="16"/>
                <w:szCs w:val="16"/>
                <w:color w:val="auto"/>
                <w:w w:val="99"/>
              </w:rPr>
              <w:t>March 9, 2015</w:t>
            </w:r>
          </w:p>
        </w:tc>
      </w:tr>
      <w:tr>
        <w:trPr>
          <w:trHeight w:val="237"/>
        </w:trPr>
        <w:tc>
          <w:tcPr>
            <w:tcW w:w="3780" w:type="dxa"/>
            <w:vAlign w:val="bottom"/>
          </w:tcPr>
          <w:p>
            <w:pPr>
              <w:jc w:val="center"/>
              <w:spacing w:after="0"/>
              <w:rPr>
                <w:sz w:val="20"/>
                <w:szCs w:val="20"/>
                <w:color w:val="auto"/>
              </w:rPr>
            </w:pPr>
            <w:r>
              <w:rPr>
                <w:rFonts w:ascii="Arial" w:cs="Arial" w:eastAsia="Arial" w:hAnsi="Arial"/>
                <w:sz w:val="16"/>
                <w:szCs w:val="16"/>
                <w:color w:val="auto"/>
              </w:rPr>
              <w:t>Joseph L. Rotunda</w:t>
            </w:r>
          </w:p>
        </w:tc>
        <w:tc>
          <w:tcPr>
            <w:tcW w:w="308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125"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33"/>
        </w:trPr>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Exhibit</w:t>
            </w:r>
          </w:p>
        </w:tc>
        <w:tc>
          <w:tcPr>
            <w:tcW w:w="9800" w:type="dxa"/>
            <w:vAlign w:val="bottom"/>
          </w:tcPr>
          <w:p>
            <w:pPr>
              <w:spacing w:after="0"/>
              <w:rPr>
                <w:sz w:val="24"/>
                <w:szCs w:val="24"/>
                <w:color w:val="auto"/>
              </w:rPr>
            </w:pPr>
          </w:p>
        </w:tc>
      </w:tr>
      <w:tr>
        <w:trPr>
          <w:trHeight w:val="228"/>
        </w:trPr>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Number</w:t>
            </w:r>
          </w:p>
        </w:tc>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526"/>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17"/>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4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17"/>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Commission File No. 0-19424)</w:t>
            </w:r>
          </w:p>
        </w:tc>
      </w:tr>
      <w:tr>
        <w:trPr>
          <w:trHeight w:val="24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24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 Current</w:t>
            </w:r>
          </w:p>
        </w:tc>
      </w:tr>
      <w:tr>
        <w:trPr>
          <w:trHeight w:val="217"/>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dated July 18, 2014, Commission File No. 0-19424).</w:t>
            </w:r>
          </w:p>
        </w:tc>
      </w:tr>
      <w:tr>
        <w:trPr>
          <w:trHeight w:val="242"/>
        </w:trPr>
        <w:tc>
          <w:tcPr>
            <w:tcW w:w="13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4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17"/>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257"/>
        </w:trPr>
        <w:tc>
          <w:tcPr>
            <w:tcW w:w="13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23.3*</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951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125" w:right="239" w:bottom="1440" w:gutter="0" w:footer="0" w:header="0"/>
        </w:sectPr>
      </w:pPr>
    </w:p>
    <w:bookmarkStart w:id="25" w:name="page26"/>
    <w:bookmarkEnd w:id="25"/>
    <w:p>
      <w:pPr>
        <w:ind w:left="1046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181610</wp:posOffset>
            </wp:positionV>
            <wp:extent cx="168973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March 9, 2015</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1901 Capital Parkway</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Austin, Texas 78746</w:t>
      </w:r>
    </w:p>
    <w:p>
      <w:pPr>
        <w:spacing w:after="0" w:line="202"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Registration Statement on Form S-4</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left="600" w:firstLine="648"/>
        <w:spacing w:after="0" w:line="295" w:lineRule="auto"/>
        <w:rPr>
          <w:sz w:val="20"/>
          <w:szCs w:val="20"/>
          <w:color w:val="auto"/>
        </w:rPr>
      </w:pPr>
      <w:r>
        <w:rPr>
          <w:rFonts w:ascii="Arial" w:cs="Arial" w:eastAsia="Arial" w:hAnsi="Arial"/>
          <w:sz w:val="19"/>
          <w:szCs w:val="19"/>
          <w:color w:val="auto"/>
        </w:rPr>
        <w:t>We have acted as counsel to EZCORP,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with respect to certain legal matters in connection with the preparation of a Registration Statement on Form S-4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including the prospectus constituting a part thereof (the “</w:t>
      </w:r>
      <w:r>
        <w:rPr>
          <w:rFonts w:ascii="Arial" w:cs="Arial" w:eastAsia="Arial" w:hAnsi="Arial"/>
          <w:sz w:val="19"/>
          <w:szCs w:val="19"/>
          <w:b w:val="1"/>
          <w:bCs w:val="1"/>
          <w:color w:val="auto"/>
        </w:rPr>
        <w:t>Prospectus</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relating to the proposed sale from time to time of up to 2,000,000 shares of Class A Non-Voting common stock, par value $.01 per share, of the Company (the “</w:t>
      </w:r>
      <w:r>
        <w:rPr>
          <w:rFonts w:ascii="Arial" w:cs="Arial" w:eastAsia="Arial" w:hAnsi="Arial"/>
          <w:sz w:val="19"/>
          <w:szCs w:val="19"/>
          <w:b w:val="1"/>
          <w:bCs w:val="1"/>
          <w:color w:val="auto"/>
        </w:rPr>
        <w:t>Class A Common Shares</w:t>
      </w:r>
      <w:r>
        <w:rPr>
          <w:rFonts w:ascii="Arial" w:cs="Arial" w:eastAsia="Arial" w:hAnsi="Arial"/>
          <w:sz w:val="19"/>
          <w:szCs w:val="19"/>
          <w:color w:val="auto"/>
        </w:rPr>
        <w:t>”) in the manner set forth in the Registration Statement.</w:t>
      </w:r>
    </w:p>
    <w:p>
      <w:pPr>
        <w:spacing w:after="0" w:line="150" w:lineRule="exact"/>
        <w:rPr>
          <w:sz w:val="20"/>
          <w:szCs w:val="20"/>
          <w:color w:val="auto"/>
        </w:rPr>
      </w:pPr>
    </w:p>
    <w:p>
      <w:pPr>
        <w:jc w:val="both"/>
        <w:ind w:left="600" w:firstLine="648"/>
        <w:spacing w:after="0" w:line="259" w:lineRule="auto"/>
        <w:rPr>
          <w:sz w:val="20"/>
          <w:szCs w:val="20"/>
          <w:color w:val="auto"/>
        </w:rPr>
      </w:pPr>
      <w:r>
        <w:rPr>
          <w:rFonts w:ascii="Arial" w:cs="Arial" w:eastAsia="Arial" w:hAnsi="Arial"/>
          <w:sz w:val="21"/>
          <w:szCs w:val="21"/>
          <w:color w:val="auto"/>
        </w:rPr>
        <w:t>Before rendering the opinion hereinafter set forth, we examined, reviewed, and relied upon originals or copies, certified or otherwise identified to our satisfaction, of (i) the Amended and Restated Certificate of Incorporation, as amended, and the Amended and Restated Bylaws of the Company, each as in effect on the date hereof; (ii) certain resolutions (the “</w:t>
      </w:r>
      <w:r>
        <w:rPr>
          <w:rFonts w:ascii="Arial" w:cs="Arial" w:eastAsia="Arial" w:hAnsi="Arial"/>
          <w:sz w:val="21"/>
          <w:szCs w:val="21"/>
          <w:b w:val="1"/>
          <w:bCs w:val="1"/>
          <w:color w:val="auto"/>
        </w:rPr>
        <w:t>Resolutions</w:t>
      </w:r>
      <w:r>
        <w:rPr>
          <w:rFonts w:ascii="Arial" w:cs="Arial" w:eastAsia="Arial" w:hAnsi="Arial"/>
          <w:sz w:val="21"/>
          <w:szCs w:val="21"/>
          <w:color w:val="auto"/>
        </w:rPr>
        <w:t>”) adopted by the Board of Directors of the Company (the Board of Directors, or to the extent permitted by Section 141 of the General Corporation Law of the State of Delaware (the “</w:t>
      </w:r>
      <w:r>
        <w:rPr>
          <w:rFonts w:ascii="Arial" w:cs="Arial" w:eastAsia="Arial" w:hAnsi="Arial"/>
          <w:sz w:val="21"/>
          <w:szCs w:val="21"/>
          <w:b w:val="1"/>
          <w:bCs w:val="1"/>
          <w:color w:val="auto"/>
        </w:rPr>
        <w:t>DGCL</w:t>
      </w:r>
      <w:r>
        <w:rPr>
          <w:rFonts w:ascii="Arial" w:cs="Arial" w:eastAsia="Arial" w:hAnsi="Arial"/>
          <w:sz w:val="21"/>
          <w:szCs w:val="21"/>
          <w:color w:val="auto"/>
        </w:rPr>
        <w:t>”), a duly constituted and acting committee thereof, being referred to herein as the “</w:t>
      </w:r>
      <w:r>
        <w:rPr>
          <w:rFonts w:ascii="Arial" w:cs="Arial" w:eastAsia="Arial" w:hAnsi="Arial"/>
          <w:sz w:val="21"/>
          <w:szCs w:val="21"/>
          <w:b w:val="1"/>
          <w:bCs w:val="1"/>
          <w:color w:val="auto"/>
        </w:rPr>
        <w:t>Board</w:t>
      </w:r>
      <w:r>
        <w:rPr>
          <w:rFonts w:ascii="Arial" w:cs="Arial" w:eastAsia="Arial" w:hAnsi="Arial"/>
          <w:sz w:val="21"/>
          <w:szCs w:val="21"/>
          <w:color w:val="auto"/>
        </w:rPr>
        <w:t>”) relating to the registration of the Class A Common Shares and related matters; (iii) the Registration Statement; (iv) the Prospectus; and (v) such other certificates, instruments, and documents as we considered appropriate for purposes of the opinions hereafter expressed. In addition, we reviewed such questions of law as we considered appropriate.</w:t>
      </w:r>
    </w:p>
    <w:p>
      <w:pPr>
        <w:spacing w:after="0" w:line="180" w:lineRule="exact"/>
        <w:rPr>
          <w:sz w:val="20"/>
          <w:szCs w:val="20"/>
          <w:color w:val="auto"/>
        </w:rPr>
      </w:pPr>
    </w:p>
    <w:p>
      <w:pPr>
        <w:jc w:val="both"/>
        <w:ind w:left="600" w:firstLine="648"/>
        <w:spacing w:after="0" w:line="253" w:lineRule="auto"/>
        <w:rPr>
          <w:sz w:val="20"/>
          <w:szCs w:val="20"/>
          <w:color w:val="auto"/>
        </w:rPr>
      </w:pPr>
      <w:r>
        <w:rPr>
          <w:rFonts w:ascii="Arial" w:cs="Arial" w:eastAsia="Arial" w:hAnsi="Arial"/>
          <w:sz w:val="22"/>
          <w:szCs w:val="22"/>
          <w:color w:val="auto"/>
        </w:rPr>
        <w:t>As to any facts material to the opinions contained herein, we have made no independent investigation of such facts and have relied, to the extent that we deem such reliance proper, upon certificates of public officials and officers or other representatives of the Company.</w:t>
      </w:r>
    </w:p>
    <w:p>
      <w:pPr>
        <w:spacing w:after="0" w:line="186" w:lineRule="exact"/>
        <w:rPr>
          <w:sz w:val="20"/>
          <w:szCs w:val="20"/>
          <w:color w:val="auto"/>
        </w:rPr>
      </w:pPr>
    </w:p>
    <w:p>
      <w:pPr>
        <w:jc w:val="both"/>
        <w:ind w:left="600" w:firstLine="648"/>
        <w:spacing w:after="0" w:line="292" w:lineRule="auto"/>
        <w:rPr>
          <w:sz w:val="20"/>
          <w:szCs w:val="20"/>
          <w:color w:val="auto"/>
        </w:rPr>
      </w:pPr>
      <w:r>
        <w:rPr>
          <w:rFonts w:ascii="Arial" w:cs="Arial" w:eastAsia="Arial" w:hAnsi="Arial"/>
          <w:sz w:val="19"/>
          <w:szCs w:val="19"/>
          <w:color w:val="auto"/>
        </w:rPr>
        <w:t>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any document reviewed by us had authority to sign in such capacity; and (vi) to the extent any documents purport to constitute agreements of parties other than the Company, such documents constitute valid, binding, and enforceable obligations of such other parties.</w:t>
      </w:r>
    </w:p>
    <w:p>
      <w:pPr>
        <w:spacing w:after="0" w:line="200" w:lineRule="exact"/>
        <w:rPr>
          <w:sz w:val="20"/>
          <w:szCs w:val="20"/>
          <w:color w:val="auto"/>
        </w:rPr>
      </w:pPr>
    </w:p>
    <w:p>
      <w:pPr>
        <w:spacing w:after="0" w:line="349" w:lineRule="exact"/>
        <w:rPr>
          <w:sz w:val="20"/>
          <w:szCs w:val="20"/>
          <w:color w:val="auto"/>
        </w:rPr>
      </w:pPr>
    </w:p>
    <w:p>
      <w:pPr>
        <w:spacing w:after="0"/>
        <w:tabs>
          <w:tab w:leader="none" w:pos="5660" w:val="left"/>
        </w:tabs>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Abu Dhabi Austin Beijing Dallas Dubai Hong Kong Houston London</w:t>
      </w:r>
      <w:r>
        <w:rPr>
          <w:sz w:val="20"/>
          <w:szCs w:val="20"/>
          <w:color w:val="auto"/>
        </w:rPr>
        <w:tab/>
      </w:r>
      <w:r>
        <w:rPr>
          <w:rFonts w:ascii="Arial" w:cs="Arial" w:eastAsia="Arial" w:hAnsi="Arial"/>
          <w:sz w:val="10"/>
          <w:szCs w:val="10"/>
          <w:color w:val="auto"/>
        </w:rPr>
        <w:t>Trammell Crow Center, 2001 Ross Avenue, Suite 3700</w:t>
      </w:r>
    </w:p>
    <w:p>
      <w:pPr>
        <w:spacing w:after="0" w:line="7" w:lineRule="exact"/>
        <w:rPr>
          <w:sz w:val="20"/>
          <w:szCs w:val="20"/>
          <w:color w:val="auto"/>
        </w:rPr>
      </w:pPr>
    </w:p>
    <w:p>
      <w:pPr>
        <w:spacing w:after="0"/>
        <w:tabs>
          <w:tab w:leader="none" w:pos="5660" w:val="left"/>
        </w:tabs>
        <w:rPr>
          <w:sz w:val="20"/>
          <w:szCs w:val="20"/>
          <w:color w:val="auto"/>
        </w:rPr>
      </w:pPr>
      <w:r>
        <w:rPr>
          <w:rFonts w:ascii="Arial" w:cs="Arial" w:eastAsia="Arial" w:hAnsi="Arial"/>
          <w:sz w:val="11"/>
          <w:szCs w:val="11"/>
          <w:color w:val="auto"/>
        </w:rPr>
        <w:t>Moscow New York Palo Alto Riyadh San Francisco Tokyo Washington</w:t>
      </w:r>
      <w:r>
        <w:rPr>
          <w:sz w:val="20"/>
          <w:szCs w:val="20"/>
          <w:color w:val="auto"/>
        </w:rPr>
        <w:tab/>
      </w:r>
      <w:r>
        <w:rPr>
          <w:rFonts w:ascii="Arial" w:cs="Arial" w:eastAsia="Arial" w:hAnsi="Arial"/>
          <w:sz w:val="10"/>
          <w:szCs w:val="10"/>
          <w:color w:val="auto"/>
        </w:rPr>
        <w:t xml:space="preserve">Dallas, TX 75201-2975 </w:t>
      </w:r>
      <w:r>
        <w:rPr>
          <w:rFonts w:ascii="Arial" w:cs="Arial" w:eastAsia="Arial" w:hAnsi="Arial"/>
          <w:sz w:val="10"/>
          <w:szCs w:val="10"/>
          <w:b w:val="1"/>
          <w:bCs w:val="1"/>
          <w:color w:val="auto"/>
        </w:rPr>
        <w:t>Tel</w:t>
      </w:r>
      <w:r>
        <w:rPr>
          <w:rFonts w:ascii="Arial" w:cs="Arial" w:eastAsia="Arial" w:hAnsi="Arial"/>
          <w:sz w:val="10"/>
          <w:szCs w:val="10"/>
          <w:color w:val="auto"/>
        </w:rPr>
        <w:t xml:space="preserve"> +1.214.220.7700 </w:t>
      </w:r>
      <w:r>
        <w:rPr>
          <w:rFonts w:ascii="Arial" w:cs="Arial" w:eastAsia="Arial" w:hAnsi="Arial"/>
          <w:sz w:val="10"/>
          <w:szCs w:val="10"/>
          <w:b w:val="1"/>
          <w:bCs w:val="1"/>
          <w:color w:val="auto"/>
        </w:rPr>
        <w:t>Fax</w:t>
      </w:r>
      <w:r>
        <w:rPr>
          <w:rFonts w:ascii="Arial" w:cs="Arial" w:eastAsia="Arial" w:hAnsi="Arial"/>
          <w:sz w:val="10"/>
          <w:szCs w:val="10"/>
          <w:color w:val="auto"/>
        </w:rPr>
        <w:t xml:space="preserve"> +1.214.220.7716 </w:t>
      </w:r>
      <w:r>
        <w:rPr>
          <w:rFonts w:ascii="Arial" w:cs="Arial" w:eastAsia="Arial" w:hAnsi="Arial"/>
          <w:sz w:val="10"/>
          <w:szCs w:val="10"/>
          <w:b w:val="1"/>
          <w:bCs w:val="1"/>
          <w:color w:val="auto"/>
        </w:rPr>
        <w:t>www.velaw.com</w:t>
      </w:r>
    </w:p>
    <w:p>
      <w:pPr>
        <w:sectPr>
          <w:pgSz w:w="11900" w:h="16838" w:orient="portrait"/>
          <w:cols w:equalWidth="0" w:num="1">
            <w:col w:w="11360"/>
          </w:cols>
          <w:pgMar w:left="300" w:top="118" w:right="239" w:bottom="1440" w:gutter="0" w:footer="0" w:header="0"/>
          <w:type w:val="continuous"/>
        </w:sectPr>
      </w:pPr>
    </w:p>
    <w:bookmarkStart w:id="26" w:name="page27"/>
    <w:bookmarkEnd w:id="26"/>
    <w:p>
      <w:pPr>
        <w:ind w:left="9180"/>
        <w:spacing w:after="0"/>
        <w:rPr>
          <w:sz w:val="20"/>
          <w:szCs w:val="20"/>
          <w:color w:val="auto"/>
        </w:rPr>
      </w:pPr>
      <w:r>
        <w:rPr>
          <w:rFonts w:ascii="Arial" w:cs="Arial" w:eastAsia="Arial" w:hAnsi="Arial"/>
          <w:sz w:val="16"/>
          <w:szCs w:val="16"/>
          <w:color w:val="auto"/>
        </w:rPr>
        <w:t>March 9, 2015 Page 2</w:t>
      </w:r>
    </w:p>
    <w:p>
      <w:pPr>
        <w:spacing w:after="0" w:line="2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addition, and for purposes of our opinion, we have assumed that (i) the Registration Statement and any amendment thereto (including Post-Effective Amendments (as defined below)) will have been declared effective by the Commission and will be effective on the date of issuance of any Class A Common Shares; (ii) an appropriate supplement to the Prospectus (each, a “</w:t>
      </w:r>
      <w:r>
        <w:rPr>
          <w:rFonts w:ascii="Arial" w:cs="Arial" w:eastAsia="Arial" w:hAnsi="Arial"/>
          <w:sz w:val="21"/>
          <w:szCs w:val="21"/>
          <w:b w:val="1"/>
          <w:bCs w:val="1"/>
          <w:color w:val="auto"/>
        </w:rPr>
        <w:t>Prospectus Supplement</w:t>
      </w:r>
      <w:r>
        <w:rPr>
          <w:rFonts w:ascii="Arial" w:cs="Arial" w:eastAsia="Arial" w:hAnsi="Arial"/>
          <w:sz w:val="21"/>
          <w:szCs w:val="21"/>
          <w:color w:val="auto"/>
        </w:rPr>
        <w:t>”) or post-effective amendment to the Registration Statement of which the Prospectus is a part (each, a “</w:t>
      </w:r>
      <w:r>
        <w:rPr>
          <w:rFonts w:ascii="Arial" w:cs="Arial" w:eastAsia="Arial" w:hAnsi="Arial"/>
          <w:sz w:val="21"/>
          <w:szCs w:val="21"/>
          <w:b w:val="1"/>
          <w:bCs w:val="1"/>
          <w:color w:val="auto"/>
        </w:rPr>
        <w:t>Post-Effective Amendment</w:t>
      </w:r>
      <w:r>
        <w:rPr>
          <w:rFonts w:ascii="Arial" w:cs="Arial" w:eastAsia="Arial" w:hAnsi="Arial"/>
          <w:sz w:val="21"/>
          <w:szCs w:val="21"/>
          <w:color w:val="auto"/>
        </w:rPr>
        <w:t>”) with respect to the applicable Class A Common Shares being offered thereby will have been prepared and filed with the Commission; and (iii) all Class A Common Shares will have been issued and sold in compliance with applicable federal and state securities laws and in the manner stated in the Registration Statement or any amendment thereto (including Post-Effective Amendments), the Prospectus, and any applicable Prospectus Supplement.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Based upon the foregoing examination and in reliance thereon, and subject to (x) the assumptions stated and in reliance on statements of fact contained in the documents that we have examined and (y) completion of all corporate action to be taken by the Company to duly authorize each proposed issuance of Class A Common Shares, we are of the opinion that the Class A Common Shares, when issued against payment therefor in the manner contemplated in the Registration Statement, will be validly issued, fully paid, and non-assessable.</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foregoing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foregoing opinion is strictly limited to the matters stated herein, and no other or more extensive opinion is intended or implied or to be inferred beyond the matters expressly stated herein. The foregoing opinion is limited in all respects to the laws of the DGCL (including the applicable provisions of the Delaware Constitution and the reported judicial decisions interpreting these laws) and the relevant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do not express any opinions as to the laws of any other jurisdiction.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hereby consent to the filing of this opinion letter as an exhibit to the Registration Statement and the reference to us under the heading “Legal Matters” in the Prospectus. In giving this consent, we do not admit that we are within the category of persons whose consent is required under Section 7 of the Securities Act and the rules and regulations of the Commission issued thereunder.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 Vinson &amp; Elkins L.L.P.</w:t>
      </w:r>
    </w:p>
    <w:p>
      <w:pPr>
        <w:sectPr>
          <w:pgSz w:w="11900" w:h="16838" w:orient="portrait"/>
          <w:cols w:equalWidth="0" w:num="1">
            <w:col w:w="10760"/>
          </w:cols>
          <w:pgMar w:left="90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S-4 of our reports dated November 26, 2014, relating to the financial statements of EZCORP, Inc., and the effectiveness of EZCORP, Inc.'s internal control over financial reporting, appearing in the Annual Report on Form 10-K of EZCORP, Inc. for the year ended September 30, 2014, and to the reference to us under the heading "Experts" in the Prospectus, which is part of this Registration Statement.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November 20, 2012, except for Notes 2, 4, 6, 7, 12, 14, 19 and 23, which are as of November 26, 2014, relating to the consolidated financial statements of EZCORP.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amp;"/>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2">
    <w:nsid w:val="DED726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3">
    <w:nsid w:val="7FDCC23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
    <w:nsid w:val="1BEFD79F"/>
    <w:multiLevelType w:val="hybridMultilevel"/>
    <w:lvl w:ilvl="0">
      <w:lvlJc w:val="left"/>
      <w:lvlText w:val="(%1)"/>
      <w:numFmt w:val="lowerLetter"/>
      <w:start w:val="4"/>
    </w:lvl>
    <w:lvl w:ilvl="1">
      <w:lvlJc w:val="left"/>
      <w:lvlText w:val="(%2)"/>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2020-01-22T21:32:11Z</dcterms:created>
  <dcterms:modified xsi:type="dcterms:W3CDTF">2020-01-22T21:32:11Z</dcterms:modified>
</cp:coreProperties>
</file>