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8613558a7aad4150a94fbc7b1127526a"/>
      <w:bookmarkStart w:id="1" w:name="ezcorp-postxeffectiveamend.htm"/>
      <w:bookmarkStart w:id="2" w:name="ksezcorppostxeffectiveamend"/>
      <w:bookmarkStart w:id="3" w:name="s8613558a7aad4150a94fbc7b1127526a"/>
      <w:bookmarkStart w:id="4" w:name="ezcorp-postxeffectiveamend.htm"/>
      <w:bookmarkStart w:id="5" w:name="ksezcorppostxeffectiveamend"/>
      <w:bookmarkEnd w:id="3"/>
      <w:bookmarkEnd w:id="4"/>
      <w:bookmarkEnd w:id="5"/>
    </w:p>
    <w:p>
      <w:pPr>
        <w:pStyle w:val="TextBody"/>
        <w:spacing w:lineRule="auto" w:line="288" w:before="0" w:after="0"/>
        <w:jc w:val="center"/>
        <w:rPr>
          <w:rFonts w:ascii="inherit" w:hAnsi="inherit"/>
          <w:b/>
          <w:sz w:val="17"/>
        </w:rPr>
      </w:pPr>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40" w:before="0" w:after="0"/>
        <w:jc w:val="right"/>
        <w:rPr>
          <w:rFonts w:ascii="inherit" w:hAnsi="inherit"/>
          <w:b/>
          <w:sz w:val="17"/>
        </w:rPr>
      </w:pPr>
      <w:r>
        <w:rPr>
          <w:rFonts w:ascii="inherit" w:hAnsi="inherit"/>
          <w:b/>
          <w:sz w:val="17"/>
        </w:rPr>
        <w:t xml:space="preserve">Registration No. 333-186123 </w:t>
      </w:r>
    </w:p>
    <w:tbl>
      <w:tblPr>
        <w:tblW w:w="525" w:type="dxa"/>
        <w:jc w:val="right"/>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1</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S-3</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 xml:space="preserve">(State or other jurisdiction </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Austin, Texas 78746</w:t>
            </w:r>
          </w:p>
          <w:p>
            <w:pPr>
              <w:pStyle w:val="TableContents"/>
              <w:spacing w:before="0" w:after="0"/>
              <w:jc w:val="center"/>
              <w:rPr>
                <w:rFonts w:ascii="inherit" w:hAnsi="inherit"/>
                <w:b/>
                <w:sz w:val="13"/>
              </w:rPr>
            </w:pPr>
            <w:r>
              <w:rPr>
                <w:rFonts w:ascii="inherit" w:hAnsi="inherit"/>
                <w:b/>
                <w:sz w:val="13"/>
              </w:rPr>
              <w:t>(512) 314-3400</w:t>
            </w:r>
          </w:p>
          <w:p>
            <w:pPr>
              <w:pStyle w:val="TableContents"/>
              <w:spacing w:before="0" w:after="0"/>
              <w:jc w:val="center"/>
              <w:rPr/>
            </w:pPr>
            <w:r>
              <w:rPr/>
              <w:t> </w:t>
            </w:r>
            <w:r>
              <w:rPr>
                <w:rFonts w:ascii="inherit" w:hAnsi="inherit"/>
                <w:sz w:val="13"/>
              </w:rPr>
              <w:t xml:space="preserve">(Address, including zip code, and telephone number, including area code, </w:t>
            </w:r>
          </w:p>
          <w:p>
            <w:pPr>
              <w:pStyle w:val="TableContents"/>
              <w:spacing w:before="0" w:after="0"/>
              <w:ind w:left="0" w:right="0" w:firstLine="30"/>
              <w:jc w:val="center"/>
              <w:rPr>
                <w:rFonts w:ascii="inherit" w:hAnsi="inherit"/>
                <w:sz w:val="13"/>
              </w:rPr>
            </w:pPr>
            <w:r>
              <w:rPr>
                <w:rFonts w:ascii="inherit" w:hAnsi="inherit"/>
                <w:sz w:val="13"/>
              </w:rPr>
              <w:t>of registrant’s principal executive offices)</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address, including zip code, and telephone</w:t>
            </w:r>
          </w:p>
          <w:p>
            <w:pPr>
              <w:pStyle w:val="TableContents"/>
              <w:spacing w:before="0" w:after="0"/>
              <w:ind w:left="0" w:right="0" w:firstLine="30"/>
              <w:jc w:val="center"/>
              <w:rPr>
                <w:rFonts w:ascii="inherit" w:hAnsi="inherit"/>
                <w:sz w:val="13"/>
              </w:rPr>
            </w:pPr>
            <w:r>
              <w:rPr>
                <w:rFonts w:ascii="inherit" w:hAnsi="inherit"/>
                <w:sz w:val="13"/>
              </w:rPr>
              <w:t>number, including area code, 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 xml:space="preserve">Austin, Texas 78746 </w:t>
              <w:br/>
              <w:t>(512) 314-3400</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jc w:val="center"/>
              <w:rPr>
                <w:rFonts w:ascii="inherit" w:hAnsi="inherit"/>
                <w:sz w:val="13"/>
              </w:rPr>
            </w:pPr>
            <w:r>
              <w:rPr>
                <w:rFonts w:ascii="inherit" w:hAnsi="inherit"/>
                <w:sz w:val="13"/>
              </w:rPr>
            </w:r>
          </w:p>
        </w:tc>
      </w:tr>
    </w:tbl>
    <w:tbl>
      <w:tblPr>
        <w:tblW w:w="525" w:type="dxa"/>
        <w:jc w:val="left"/>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ind w:left="0" w:right="0" w:firstLine="495"/>
        <w:jc w:val="left"/>
        <w:rPr>
          <w:sz w:val="17"/>
        </w:rPr>
      </w:pPr>
      <w:r>
        <w:rPr>
          <w:rFonts w:ascii="inherit" w:hAnsi="inherit"/>
          <w:b/>
          <w:sz w:val="17"/>
        </w:rPr>
        <w:t>Approximate date of commencement of proposed sale to the public</w:t>
      </w:r>
      <w:r>
        <w:rPr>
          <w:rFonts w:ascii="inherit" w:hAnsi="inherit"/>
          <w:sz w:val="17"/>
        </w:rPr>
        <w:t>: Not applicable. Removal from registration of securities that were not sold pursuant to this registration statement.</w:t>
      </w:r>
    </w:p>
    <w:p>
      <w:pPr>
        <w:pStyle w:val="TextBody"/>
        <w:spacing w:lineRule="auto" w:line="288" w:before="0" w:after="0"/>
        <w:jc w:val="left"/>
        <w:rPr>
          <w:sz w:val="17"/>
        </w:rPr>
      </w:pPr>
      <w:r>
        <w:rPr>
          <w:rFonts w:ascii="inherit" w:hAnsi="inherit"/>
          <w:sz w:val="17"/>
        </w:rPr>
        <w:t xml:space="preserve">If the only securities being registered on this form are being offered pursuant to dividend or interest reinvestment plans, please check the following box. </w:t>
      </w:r>
      <w:r>
        <w:rPr>
          <w:rFonts w:ascii="Wingdings" w:hAnsi="Wingdings"/>
          <w:sz w:val="17"/>
        </w:rPr>
        <w:t>o</w:t>
      </w:r>
    </w:p>
    <w:p>
      <w:pPr>
        <w:pStyle w:val="TextBody"/>
        <w:spacing w:before="0" w:after="0"/>
        <w:rPr/>
      </w:pPr>
      <w:r>
        <w:rPr/>
      </w:r>
    </w:p>
    <w:p>
      <w:pPr>
        <w:pStyle w:val="TextBody"/>
        <w:spacing w:lineRule="auto" w:line="288" w:before="0" w:after="0"/>
        <w:jc w:val="left"/>
        <w:rPr>
          <w:rFonts w:ascii="inherit" w:hAnsi="inherit"/>
          <w:sz w:val="15"/>
        </w:rPr>
      </w:pPr>
      <w:r>
        <w:rPr>
          <w:rFonts w:ascii="inherit" w:hAnsi="inherit"/>
          <w:sz w:val="15"/>
        </w:rPr>
        <w:t>US 2104458v.8</w:t>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6" w:name="s8613558a7aad4150a94fbc7b1127526a1"/>
      <w:bookmarkStart w:id="7" w:name="s8613558a7aad4150a94fbc7b1127526a1"/>
      <w:bookmarkEnd w:id="7"/>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sz w:val="13"/>
        </w:rPr>
        <w:t>x</w:t>
      </w:r>
      <w:r>
        <w:rPr>
          <w:sz w:val="17"/>
        </w:rPr>
        <w:t xml:space="preserve"> </w:t>
      </w:r>
    </w:p>
    <w:p>
      <w:pPr>
        <w:pStyle w:val="TextBody"/>
        <w:spacing w:lineRule="auto" w:line="288" w:before="0" w:after="0"/>
        <w:jc w:val="left"/>
        <w:rPr>
          <w:sz w:val="17"/>
        </w:rPr>
      </w:pPr>
      <w:r>
        <w:rPr>
          <w:rFonts w:ascii="inherit" w:hAnsi="inherit"/>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7"/>
        </w:rPr>
        <w:t>o</w:t>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rPr/>
      </w:pPr>
      <w:r>
        <w:rPr/>
      </w:r>
      <w:r>
        <w:br w:type="page"/>
      </w:r>
    </w:p>
    <w:p>
      <w:pPr>
        <w:pStyle w:val="TextBody"/>
        <w:spacing w:before="0" w:after="0"/>
        <w:rPr/>
      </w:pPr>
      <w:r>
        <w:rPr/>
      </w:r>
      <w:bookmarkStart w:id="8" w:name="sfa249d43ea3d42fdb0892295ab3221af"/>
      <w:bookmarkStart w:id="9" w:name="sfa249d43ea3d42fdb0892295ab3221af"/>
      <w:bookmarkEnd w:id="9"/>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ind w:left="0" w:right="0" w:firstLine="360"/>
        <w:jc w:val="left"/>
        <w:rPr>
          <w:sz w:val="17"/>
        </w:rPr>
      </w:pPr>
      <w:r>
        <w:rPr>
          <w:rFonts w:ascii="inherit" w:hAnsi="inherit"/>
          <w:sz w:val="17"/>
        </w:rPr>
        <w:t>This Post-Effective Amendment No. 1 to the Registration Statement on Form S-3 (File No. 333-186123) (the “</w:t>
      </w:r>
      <w:r>
        <w:rPr>
          <w:rFonts w:ascii="inherit" w:hAnsi="inherit"/>
          <w:sz w:val="17"/>
          <w:u w:val="single"/>
        </w:rPr>
        <w:t>Registration Statement</w:t>
      </w:r>
      <w:r>
        <w:rPr>
          <w:sz w:val="17"/>
        </w:rPr>
        <w:t>”</w:t>
      </w:r>
      <w:r>
        <w:rPr>
          <w:rFonts w:ascii="inherit" w:hAnsi="inherit"/>
          <w:sz w:val="17"/>
        </w:rPr>
        <w:t>) filed by EZCORP, Inc., a Delaware corporation (“</w:t>
      </w:r>
      <w:r>
        <w:rPr>
          <w:rFonts w:ascii="inherit" w:hAnsi="inherit"/>
          <w:sz w:val="17"/>
          <w:u w:val="single"/>
        </w:rPr>
        <w:t>Registrant</w:t>
      </w:r>
      <w:r>
        <w:rPr>
          <w:sz w:val="17"/>
        </w:rPr>
        <w:t>”</w:t>
      </w:r>
      <w:r>
        <w:rPr>
          <w:rFonts w:ascii="inherit" w:hAnsi="inherit"/>
          <w:sz w:val="17"/>
        </w:rPr>
        <w:t>), with the Securities and Exchange Commission on January 15, 2013, which registered 1,400,198 shares of Registrant’s Class A Non-Voting Common Stock, par value $0.01 per share (“</w:t>
      </w:r>
      <w:r>
        <w:rPr>
          <w:rFonts w:ascii="inherit" w:hAnsi="inherit"/>
          <w:sz w:val="17"/>
          <w:u w:val="single"/>
        </w:rPr>
        <w:t>Class A Common Stock</w:t>
      </w:r>
      <w:r>
        <w:rPr>
          <w:sz w:val="17"/>
        </w:rPr>
        <w:t>”</w:t>
      </w:r>
      <w:r>
        <w:rPr>
          <w:rFonts w:ascii="inherit" w:hAnsi="inherit"/>
          <w:sz w:val="17"/>
        </w:rPr>
        <w:t xml:space="preserve">), is being filed to deregister any securities registered pursuant to the Registration Statement and not otherwise sold thereunder. </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w:t>
      </w:r>
      <w:r>
        <w:rPr>
          <w:rFonts w:ascii="inherit" w:hAnsi="inherit"/>
          <w:sz w:val="17"/>
          <w:u w:val="single"/>
        </w:rPr>
        <w:t>Merger Agreement</w:t>
      </w:r>
      <w:r>
        <w:rPr>
          <w:sz w:val="17"/>
        </w:rPr>
        <w:t>”</w:t>
      </w:r>
      <w:r>
        <w:rPr>
          <w:rFonts w:ascii="inherit" w:hAnsi="inherit"/>
          <w:sz w:val="17"/>
        </w:rPr>
        <w: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w:t>
      </w:r>
      <w:r>
        <w:rPr>
          <w:rFonts w:ascii="inherit" w:hAnsi="inherit"/>
          <w:sz w:val="17"/>
          <w:u w:val="single"/>
        </w:rPr>
        <w:t>Reorganization</w:t>
      </w:r>
      <w:r>
        <w:rPr>
          <w:sz w:val="17"/>
        </w:rPr>
        <w:t>”</w:t>
      </w:r>
      <w:r>
        <w:rPr>
          <w:rFonts w:ascii="inherit" w:hAnsi="inherit"/>
          <w:sz w:val="17"/>
        </w:rPr>
        <w:t>).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 </w:t>
      </w:r>
    </w:p>
    <w:p>
      <w:pPr>
        <w:pStyle w:val="TextBody"/>
        <w:rPr/>
      </w:pPr>
      <w:r>
        <w:rPr/>
      </w:r>
      <w:r>
        <w:br w:type="page"/>
      </w:r>
    </w:p>
    <w:p>
      <w:pPr>
        <w:pStyle w:val="TextBody"/>
        <w:spacing w:before="0" w:after="0"/>
        <w:rPr/>
      </w:pPr>
      <w:r>
        <w:rPr/>
      </w:r>
      <w:bookmarkStart w:id="10" w:name="s2F8C3B51DDC72F10CA837EEC4CA46578"/>
      <w:bookmarkStart w:id="11" w:name="s2F8C3B51DDC72F10CA837EEC4CA46578"/>
      <w:bookmarkEnd w:id="11"/>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884</Words>
  <CharactersWithSpaces>5873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