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0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 2023</w:t>
      </w:r>
    </w:p>
    <w:p>
      <w:pPr>
        <w:spacing w:after="0" w:line="8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43"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On March 2, 2023, the sole holder of the Company’s Class B Voting Common Stock (the “Voting Stockholder”) re-elected the following persons to serve on the Company’s Board of Directors, effective at the Annual Meeting of Stockholders held on March 2, 2023: Matthew W. Appel, Zena Srivatsa Arnold, Phillip E. Cohen, Lachlan P. Given, Jason A. Kulas, Pablo Lagos Espinosa, and Gary L. Tillett. Each of such persons shall serve a one-year term until the next annual meeting of stockholders (or, if earlier, until his or her death, removal or resignation).</w:t>
      </w:r>
    </w:p>
    <w:p>
      <w:pPr>
        <w:spacing w:after="0" w:line="199"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On March 2, 2023, there were 2,970,171 shares of the Company's Class B Voting Common Stock outstanding, all of which are held by MS Pawn Limited Partnership (the Voting Stockholder).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4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The Company held its 2023 Annual Meeting of Stockholders on March 2, 2023. The Company’s publicly-traded Class A Non-Voting Common Stock is not entitled to vote on any matters, and thus, no proposals or other matters were presented for voting at the 2023 Annual Meeting. Management discussed the Company’s strategic plans and initiatives and was available for stockholders’ questions. A copy of the presentation materials that management reviewed during the 2023 Annual Meeting has been posted in the Investor Relations section of the Company’s website at </w:t>
      </w:r>
      <w:r>
        <w:rPr>
          <w:rFonts w:ascii="Arial" w:cs="Arial" w:eastAsia="Arial" w:hAnsi="Arial"/>
          <w:sz w:val="16"/>
          <w:szCs w:val="16"/>
          <w:color w:val="0000FF"/>
        </w:rPr>
        <w:t>www.ezcorp.com</w:t>
      </w:r>
      <w:r>
        <w:rPr>
          <w:rFonts w:ascii="Arial" w:cs="Arial" w:eastAsia="Arial" w:hAnsi="Arial"/>
          <w:sz w:val="16"/>
          <w:szCs w:val="16"/>
          <w:color w:val="auto"/>
        </w:rPr>
        <w:t>.</w:t>
      </w:r>
    </w:p>
    <w:p>
      <w:pPr>
        <w:spacing w:after="0" w:line="18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the Company under the Securities Act of 1933 or the Securities Exchange Act of 1934, unless such subsequent filing specifically references this Item 7.01 of this Report.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EZCORP, INC.</w:t>
      </w:r>
    </w:p>
    <w:p>
      <w:pPr>
        <w:spacing w:after="0" w:line="77" w:lineRule="exact"/>
        <w:rPr>
          <w:sz w:val="20"/>
          <w:szCs w:val="20"/>
          <w:color w:val="auto"/>
        </w:rPr>
      </w:pPr>
    </w:p>
    <w:p>
      <w:pPr>
        <w:ind w:left="20"/>
        <w:spacing w:after="0"/>
        <w:tabs>
          <w:tab w:leader="none" w:pos="640" w:val="left"/>
          <w:tab w:leader="none" w:pos="6020" w:val="left"/>
          <w:tab w:leader="none" w:pos="6860" w:val="left"/>
        </w:tabs>
        <w:rPr>
          <w:sz w:val="20"/>
          <w:szCs w:val="20"/>
          <w:color w:val="auto"/>
        </w:rPr>
      </w:pPr>
      <w:r>
        <w:rPr>
          <w:rFonts w:ascii="Arial" w:cs="Arial" w:eastAsia="Arial" w:hAnsi="Arial"/>
          <w:sz w:val="18"/>
          <w:szCs w:val="18"/>
          <w:color w:val="auto"/>
        </w:rPr>
        <w:t>Date:</w:t>
        <w:tab/>
        <w:t>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343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Ellen Bryant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Legal Officer &amp; Secretary</w:t>
      </w:r>
    </w:p>
    <w:sectPr>
      <w:pgSz w:w="11900" w:h="16838" w:orient="portrait"/>
      <w:cols w:equalWidth="0" w:num="1">
        <w:col w:w="11220"/>
      </w:cols>
      <w:pgMar w:left="320" w:top="10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2023-03-02T16:54:33Z</dcterms:created>
  <dcterms:modified xsi:type="dcterms:W3CDTF">2023-03-02T16:54:33Z</dcterms:modified>
</cp:coreProperties>
</file>