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 </w:t>
      </w:r>
    </w:p>
    <w:p>
      <w:pPr>
        <w:pStyle w:val="TextBody"/>
        <w:bidi w:val="0"/>
        <w:spacing w:lineRule="auto" w:line="288" w:before="10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 </w:t>
      </w:r>
    </w:p>
    <w:p>
      <w:pPr>
        <w:pStyle w:val="TextBody"/>
        <w:bidi w:val="0"/>
        <w:spacing w:lineRule="auto" w:line="288" w:before="100" w:after="283"/>
        <w:jc w:val="center"/>
        <w:rPr>
          <w:rFonts w:ascii="Times New Roman;sans-serif" w:hAnsi="Times New Roman;sans-serif"/>
          <w:b/>
          <w:color w:val="000000"/>
          <w:sz w:val="28"/>
        </w:rPr>
      </w:pPr>
      <w:r>
        <w:rPr>
          <w:rFonts w:ascii="Times New Roman;sans-serif" w:hAnsi="Times New Roman;sans-serif"/>
          <w:b/>
          <w:color w:val="000000"/>
          <w:sz w:val="28"/>
        </w:rPr>
        <w:t>CURRENT REPORT</w:t>
      </w:r>
    </w:p>
    <w:p>
      <w:pPr>
        <w:pStyle w:val="TextBody"/>
        <w:bidi w:val="0"/>
        <w:spacing w:lineRule="auto" w:line="288" w:before="180" w:after="283"/>
        <w:jc w:val="center"/>
        <w:rPr>
          <w:rFonts w:ascii="Times New Roman;sans-serif" w:hAnsi="Times New Roman;sans-serif"/>
          <w:b/>
          <w:color w:val="000000"/>
          <w:sz w:val="24"/>
        </w:rPr>
      </w:pPr>
      <w:r>
        <w:rPr>
          <w:rFonts w:ascii="Times New Roman;sans-serif" w:hAnsi="Times New Roman;sans-serif"/>
          <w:b/>
          <w:color w:val="000000"/>
          <w:sz w:val="24"/>
        </w:rPr>
        <w:t>PURSUANT TO SECTION 13 OR 15(d) OF THE</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EXCHANGE ACT OF 1934</w:t>
      </w:r>
    </w:p>
    <w:p>
      <w:pPr>
        <w:pStyle w:val="TextBody"/>
        <w:bidi w:val="0"/>
        <w:spacing w:lineRule="auto" w:line="288" w:before="180" w:after="283"/>
        <w:jc w:val="center"/>
        <w:rPr>
          <w:rFonts w:ascii="Times New Roman;sans-serif" w:hAnsi="Times New Roman;sans-serif"/>
          <w:b/>
          <w:color w:val="000000"/>
          <w:sz w:val="24"/>
        </w:rPr>
      </w:pPr>
      <w:r>
        <w:rPr>
          <w:rFonts w:ascii="Times New Roman;sans-serif" w:hAnsi="Times New Roman;sans-serif"/>
          <w:b/>
          <w:color w:val="000000"/>
          <w:sz w:val="24"/>
        </w:rPr>
        <w:t xml:space="preserve">Date of Report (Date of earliest event reported): March 28, 2024 </w:t>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 </w:t>
      </w:r>
    </w:p>
    <w:p>
      <w:pPr>
        <w:pStyle w:val="TextBody"/>
        <w:bidi w:val="0"/>
        <w:spacing w:lineRule="auto" w:line="288" w:before="100" w:after="283"/>
        <w:jc w:val="center"/>
        <w:rPr>
          <w:rFonts w:ascii="Times New Roman;sans-serif" w:hAnsi="Times New Roman;sans-serif"/>
          <w:b/>
          <w:color w:val="000000"/>
          <w:sz w:val="48"/>
        </w:rPr>
      </w:pPr>
      <w:r>
        <w:rPr>
          <w:rFonts w:ascii="Times New Roman;sans-serif" w:hAnsi="Times New Roman;sans-serif"/>
          <w:b/>
          <w:color w:val="000000"/>
          <w:sz w:val="48"/>
        </w:rPr>
        <w:t>EZCORP,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80" w:after="283"/>
        <w:jc w:val="center"/>
        <w:rPr>
          <w:color w:val="000000"/>
        </w:rPr>
      </w:pPr>
      <w:r>
        <w:rPr>
          <w:color w:val="000000"/>
        </w:rPr>
        <w:t> </w:t>
      </w:r>
      <w:r>
        <w:rPr>
          <w:rFonts w:ascii="Times New Roman;sans-serif" w:hAnsi="Times New Roman;sans-serif"/>
          <w:b w:val="false"/>
          <w:color w:val="000000"/>
          <w:sz w:val="20"/>
        </w:rPr>
        <w:t>_______________________________________________________ </w:t>
      </w:r>
    </w:p>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0-19424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74-2540145</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2500 Bee Cave Road, Bldg One, Suite 200, Rollingwood, Texas 78746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(zip code)</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(512) 314-3400 </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471"/>
        <w:gridCol w:w="1240"/>
        <w:gridCol w:w="1251"/>
        <w:gridCol w:w="109"/>
        <w:gridCol w:w="109"/>
        <w:gridCol w:w="109"/>
        <w:gridCol w:w="516"/>
        <w:gridCol w:w="516"/>
        <w:gridCol w:w="518"/>
        <w:gridCol w:w="109"/>
        <w:gridCol w:w="109"/>
        <w:gridCol w:w="109"/>
        <w:gridCol w:w="596"/>
        <w:gridCol w:w="540"/>
        <w:gridCol w:w="540"/>
        <w:gridCol w:w="733"/>
        <w:gridCol w:w="663"/>
        <w:gridCol w:w="967"/>
      </w:tblGrid>
      <w:tr>
        <w:trPr/>
        <w:tc>
          <w:tcPr>
            <w:tcW w:w="1471"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r>
      <w:tr>
        <w:trPr/>
        <w:tc>
          <w:tcPr>
            <w:tcW w:w="3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9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Class A Non-voting Common Stock, par value $.01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EZPW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NASDAQ Stock Market</w:t>
            </w:r>
          </w:p>
        </w:tc>
        <w:tc>
          <w:tcPr>
            <w:tcW w:w="23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16"/>
              </w:rPr>
              <w:t>(NASDAQ Global Select Market)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tbl>
      <w:tblPr>
        <w:tblW w:w="9522" w:type="dxa"/>
        <w:jc w:val="center"/>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335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769"/>
        <w:gridCol w:w="769"/>
        <w:gridCol w:w="7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5.07 — Submission of Matters to a Vote of Security Holders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21, 2024 the sole holder of the Company’s Class B Voting Common Stock (the “Voting Stockholder”) re-elected the following persons to serve on the Company’s Board of Directors, effective at the Annual Meeting of Stockholders held on March 21, 2024: Matthew W. Appel, Zena Srivatsa Arnold, Phillip E. Cohen, Lachlan P. Given, Jason A. Kulas, Pablo Lagos Espinosa, and Gary L. Tillett. Each of such persons shall serve a one-year term until the next annual meeting of stockholders (or, if earlier, until his or her death, removal or resignation).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21, 2024, there were 2,970,171 shares of the Company's Class B Voting Common Stock outstanding, all of which are held by MS Pawn Limited Partnership (the Voting Stockholder).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7.01 — Regulation FD Disclosure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held its 2024 Annual Meeting of Stockholders on March 21, 2024. The Company’s publicly-traded Class A Non-Voting Common Stock is not entitled to vote on any matters, and thus, no proposals or other matters were presented for voting at the 2024 Annual Meeting. Management discussed the Company’s strategic plans and initiatives and was available for stockholders’ questions. A copy of the presentation materials that management reviewed during the 2024 Annual Meeting has been posted in the Investor Relations section of the Company’s website at www.ezcorp.com.</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set forth, or referred to, in this Item 7.01 shall not be deemed "filed" for purposes of the Securities Exchange Act of 1934 or otherwise subject to the liabilities of that section, and shall not be deemed to be incorporated by reference into any registration statement or other filing made by the Company under the Securities Act of 1933 or the Securities Exchange Act of 1934, unless such subsequent filing specifically references this Item 7.01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6499" w:type="dxa"/>
        <w:jc w:val="left"/>
        <w:tblInd w:w="0" w:type="dxa"/>
        <w:tblLayout w:type="fixed"/>
        <w:tblCellMar>
          <w:top w:w="28" w:type="dxa"/>
          <w:left w:w="28" w:type="dxa"/>
          <w:bottom w:w="28" w:type="dxa"/>
          <w:right w:w="28" w:type="dxa"/>
        </w:tblCellMar>
      </w:tblPr>
      <w:tblGrid>
        <w:gridCol w:w="200"/>
        <w:gridCol w:w="177"/>
        <w:gridCol w:w="178"/>
        <w:gridCol w:w="464"/>
        <w:gridCol w:w="464"/>
        <w:gridCol w:w="466"/>
        <w:gridCol w:w="109"/>
        <w:gridCol w:w="109"/>
        <w:gridCol w:w="109"/>
        <w:gridCol w:w="109"/>
        <w:gridCol w:w="109"/>
        <w:gridCol w:w="109"/>
        <w:gridCol w:w="109"/>
        <w:gridCol w:w="109"/>
        <w:gridCol w:w="109"/>
        <w:gridCol w:w="145"/>
        <w:gridCol w:w="145"/>
        <w:gridCol w:w="145"/>
        <w:gridCol w:w="145"/>
        <w:gridCol w:w="145"/>
        <w:gridCol w:w="145"/>
        <w:gridCol w:w="788"/>
        <w:gridCol w:w="788"/>
        <w:gridCol w:w="112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6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EZCORP,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Ellen Bryant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Ellen Bryant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Legal Officer &amp; Secretary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656</Words>
  <Characters>3749</Characters>
  <CharactersWithSpaces>4373</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