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775,814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withheld for tax liability incident to the vesting of a security were reported incorrectly on the Form 4 filed November 14, 2024 are hereby corrected.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beneficially owned following the reported transaction was incorrectly reported on the Form 4 filed November 14, 2024 and is hereby corrected.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77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2024-11-18T10:41:20Z</dcterms:created>
  <dcterms:modified xsi:type="dcterms:W3CDTF">2024-11-18T10:41:20Z</dcterms:modified>
</cp:coreProperties>
</file>