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6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31, 2024</w:t>
      </w:r>
    </w:p>
    <w:p>
      <w:pPr>
        <w:spacing w:after="0" w:line="1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2"/>
          <w:szCs w:val="12"/>
          <w:color w:val="auto"/>
        </w:rPr>
        <w:t>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EZCORP,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320" w:type="dxa"/>
            <w:vAlign w:val="bottom"/>
          </w:tcPr>
          <w:p>
            <w:pPr>
              <w:jc w:val="center"/>
              <w:ind w:left="28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220" w:type="dxa"/>
            <w:vAlign w:val="bottom"/>
            <w:gridSpan w:val="3"/>
          </w:tcPr>
          <w:p>
            <w:pPr>
              <w:jc w:val="center"/>
              <w:ind w:left="1362"/>
              <w:spacing w:after="0"/>
              <w:rPr>
                <w:sz w:val="20"/>
                <w:szCs w:val="20"/>
                <w:color w:val="auto"/>
              </w:rPr>
            </w:pPr>
            <w:r>
              <w:rPr>
                <w:rFonts w:ascii="Times New Roman" w:cs="Times New Roman" w:eastAsia="Times New Roman" w:hAnsi="Times New Roman"/>
                <w:sz w:val="12"/>
                <w:szCs w:val="12"/>
                <w:b w:val="1"/>
                <w:bCs w:val="1"/>
                <w:color w:val="auto"/>
                <w:w w:val="99"/>
              </w:rPr>
              <w:t>0-19424</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140" w:type="dxa"/>
            <w:vAlign w:val="bottom"/>
          </w:tcPr>
          <w:p>
            <w:pPr>
              <w:jc w:val="center"/>
              <w:ind w:right="469"/>
              <w:spacing w:after="0"/>
              <w:rPr>
                <w:sz w:val="20"/>
                <w:szCs w:val="20"/>
                <w:color w:val="auto"/>
              </w:rPr>
            </w:pPr>
            <w:r>
              <w:rPr>
                <w:rFonts w:ascii="Times New Roman" w:cs="Times New Roman" w:eastAsia="Times New Roman" w:hAnsi="Times New Roman"/>
                <w:sz w:val="12"/>
                <w:szCs w:val="12"/>
                <w:b w:val="1"/>
                <w:bCs w:val="1"/>
                <w:color w:val="auto"/>
                <w:w w:val="99"/>
              </w:rPr>
              <w:t>74-2540145</w:t>
            </w:r>
          </w:p>
        </w:tc>
      </w:tr>
      <w:tr>
        <w:trPr>
          <w:trHeight w:val="97"/>
        </w:trPr>
        <w:tc>
          <w:tcPr>
            <w:tcW w:w="3320" w:type="dxa"/>
            <w:vAlign w:val="bottom"/>
          </w:tcPr>
          <w:p>
            <w:pPr>
              <w:jc w:val="center"/>
              <w:ind w:left="286"/>
              <w:spacing w:after="0" w:line="98"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2"/>
              </w:rPr>
              <w:t>(Commission</w:t>
            </w:r>
          </w:p>
        </w:tc>
        <w:tc>
          <w:tcPr>
            <w:tcW w:w="1500" w:type="dxa"/>
            <w:vAlign w:val="bottom"/>
          </w:tcPr>
          <w:p>
            <w:pPr>
              <w:spacing w:after="0"/>
              <w:rPr>
                <w:sz w:val="8"/>
                <w:szCs w:val="8"/>
                <w:color w:val="auto"/>
              </w:rPr>
            </w:pPr>
          </w:p>
        </w:tc>
        <w:tc>
          <w:tcPr>
            <w:tcW w:w="3140" w:type="dxa"/>
            <w:vAlign w:val="bottom"/>
          </w:tcPr>
          <w:p>
            <w:pPr>
              <w:jc w:val="center"/>
              <w:ind w:right="469"/>
              <w:spacing w:after="0" w:line="98"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3320" w:type="dxa"/>
            <w:vAlign w:val="bottom"/>
          </w:tcPr>
          <w:p>
            <w:pPr>
              <w:jc w:val="center"/>
              <w:ind w:left="286"/>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1500" w:type="dxa"/>
            <w:vAlign w:val="bottom"/>
          </w:tcPr>
          <w:p>
            <w:pPr>
              <w:spacing w:after="0"/>
              <w:rPr>
                <w:sz w:val="10"/>
                <w:szCs w:val="10"/>
                <w:color w:val="auto"/>
              </w:rPr>
            </w:pPr>
          </w:p>
        </w:tc>
        <w:tc>
          <w:tcPr>
            <w:tcW w:w="3140" w:type="dxa"/>
            <w:vAlign w:val="bottom"/>
          </w:tcPr>
          <w:p>
            <w:pPr>
              <w:jc w:val="center"/>
              <w:ind w:right="449"/>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91"/>
        </w:trPr>
        <w:tc>
          <w:tcPr>
            <w:tcW w:w="3320" w:type="dxa"/>
            <w:vAlign w:val="bottom"/>
          </w:tcPr>
          <w:p>
            <w:pPr>
              <w:spacing w:after="0"/>
              <w:rPr>
                <w:sz w:val="16"/>
                <w:szCs w:val="16"/>
                <w:color w:val="auto"/>
              </w:rPr>
            </w:pPr>
          </w:p>
        </w:tc>
        <w:tc>
          <w:tcPr>
            <w:tcW w:w="4820" w:type="dxa"/>
            <w:vAlign w:val="bottom"/>
            <w:gridSpan w:val="5"/>
          </w:tcPr>
          <w:p>
            <w:pPr>
              <w:jc w:val="center"/>
              <w:ind w:right="106"/>
              <w:spacing w:after="0"/>
              <w:rPr>
                <w:sz w:val="20"/>
                <w:szCs w:val="20"/>
                <w:color w:val="auto"/>
              </w:rPr>
            </w:pPr>
            <w:r>
              <w:rPr>
                <w:rFonts w:ascii="Times New Roman" w:cs="Times New Roman" w:eastAsia="Times New Roman" w:hAnsi="Times New Roman"/>
                <w:sz w:val="12"/>
                <w:szCs w:val="12"/>
                <w:b w:val="1"/>
                <w:bCs w:val="1"/>
                <w:color w:val="auto"/>
                <w:w w:val="99"/>
              </w:rPr>
              <w:t>2500 Bee Cave Road, Bldg One, Suite 200, Rollingwood, Texas 78746</w:t>
            </w:r>
          </w:p>
        </w:tc>
        <w:tc>
          <w:tcPr>
            <w:tcW w:w="3140" w:type="dxa"/>
            <w:vAlign w:val="bottom"/>
          </w:tcPr>
          <w:p>
            <w:pPr>
              <w:spacing w:after="0"/>
              <w:rPr>
                <w:sz w:val="16"/>
                <w:szCs w:val="16"/>
                <w:color w:val="auto"/>
              </w:rPr>
            </w:pPr>
          </w:p>
        </w:tc>
      </w:tr>
      <w:tr>
        <w:trPr>
          <w:trHeight w:val="125"/>
        </w:trPr>
        <w:tc>
          <w:tcPr>
            <w:tcW w:w="3320" w:type="dxa"/>
            <w:vAlign w:val="bottom"/>
          </w:tcPr>
          <w:p>
            <w:pPr>
              <w:spacing w:after="0"/>
              <w:rPr>
                <w:sz w:val="10"/>
                <w:szCs w:val="10"/>
                <w:color w:val="auto"/>
              </w:rPr>
            </w:pPr>
          </w:p>
        </w:tc>
        <w:tc>
          <w:tcPr>
            <w:tcW w:w="3320" w:type="dxa"/>
            <w:vAlign w:val="bottom"/>
            <w:gridSpan w:val="4"/>
          </w:tcPr>
          <w:p>
            <w:pPr>
              <w:jc w:val="center"/>
              <w:ind w:left="126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(zip code)</w:t>
            </w:r>
          </w:p>
        </w:tc>
        <w:tc>
          <w:tcPr>
            <w:tcW w:w="1500" w:type="dxa"/>
            <w:vAlign w:val="bottom"/>
          </w:tcPr>
          <w:p>
            <w:pPr>
              <w:spacing w:after="0"/>
              <w:rPr>
                <w:sz w:val="10"/>
                <w:szCs w:val="10"/>
                <w:color w:val="auto"/>
              </w:rPr>
            </w:pPr>
          </w:p>
        </w:tc>
        <w:tc>
          <w:tcPr>
            <w:tcW w:w="3140" w:type="dxa"/>
            <w:vAlign w:val="bottom"/>
          </w:tcPr>
          <w:p>
            <w:pPr>
              <w:spacing w:after="0"/>
              <w:rPr>
                <w:sz w:val="10"/>
                <w:szCs w:val="10"/>
                <w:color w:val="auto"/>
              </w:rPr>
            </w:pPr>
          </w:p>
        </w:tc>
      </w:tr>
      <w:tr>
        <w:trPr>
          <w:trHeight w:val="260"/>
        </w:trPr>
        <w:tc>
          <w:tcPr>
            <w:tcW w:w="3320" w:type="dxa"/>
            <w:vAlign w:val="bottom"/>
          </w:tcPr>
          <w:p>
            <w:pPr>
              <w:spacing w:after="0"/>
              <w:rPr>
                <w:sz w:val="22"/>
                <w:szCs w:val="22"/>
                <w:color w:val="auto"/>
              </w:rPr>
            </w:pPr>
          </w:p>
        </w:tc>
        <w:tc>
          <w:tcPr>
            <w:tcW w:w="4820" w:type="dxa"/>
            <w:vAlign w:val="bottom"/>
            <w:gridSpan w:val="5"/>
          </w:tcPr>
          <w:p>
            <w:pPr>
              <w:jc w:val="center"/>
              <w:ind w:right="12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(512) 314-3400</w:t>
            </w:r>
          </w:p>
        </w:tc>
        <w:tc>
          <w:tcPr>
            <w:tcW w:w="3140" w:type="dxa"/>
            <w:vAlign w:val="bottom"/>
          </w:tcPr>
          <w:p>
            <w:pPr>
              <w:spacing w:after="0"/>
              <w:rPr>
                <w:sz w:val="22"/>
                <w:szCs w:val="22"/>
                <w:color w:val="auto"/>
              </w:rPr>
            </w:pPr>
          </w:p>
        </w:tc>
      </w:tr>
      <w:tr>
        <w:trPr>
          <w:trHeight w:val="189"/>
        </w:trPr>
        <w:tc>
          <w:tcPr>
            <w:tcW w:w="3320" w:type="dxa"/>
            <w:vAlign w:val="bottom"/>
          </w:tcPr>
          <w:p>
            <w:pPr>
              <w:spacing w:after="0"/>
              <w:rPr>
                <w:sz w:val="16"/>
                <w:szCs w:val="16"/>
                <w:color w:val="auto"/>
              </w:rPr>
            </w:pPr>
          </w:p>
        </w:tc>
        <w:tc>
          <w:tcPr>
            <w:tcW w:w="4820" w:type="dxa"/>
            <w:vAlign w:val="bottom"/>
            <w:gridSpan w:val="5"/>
          </w:tcPr>
          <w:p>
            <w:pPr>
              <w:jc w:val="center"/>
              <w:ind w:right="146"/>
              <w:spacing w:after="0"/>
              <w:rPr>
                <w:sz w:val="20"/>
                <w:szCs w:val="20"/>
                <w:color w:val="auto"/>
              </w:rPr>
            </w:pPr>
            <w:r>
              <w:rPr>
                <w:rFonts w:ascii="Times New Roman" w:cs="Times New Roman" w:eastAsia="Times New Roman" w:hAnsi="Times New Roman"/>
                <w:sz w:val="12"/>
                <w:szCs w:val="12"/>
                <w:color w:val="auto"/>
                <w:w w:val="99"/>
              </w:rPr>
              <w:t>_______________________________________________________</w:t>
            </w:r>
          </w:p>
        </w:tc>
        <w:tc>
          <w:tcPr>
            <w:tcW w:w="3140" w:type="dxa"/>
            <w:vAlign w:val="bottom"/>
          </w:tcPr>
          <w:p>
            <w:pPr>
              <w:spacing w:after="0"/>
              <w:rPr>
                <w:sz w:val="16"/>
                <w:szCs w:val="16"/>
                <w:color w:val="auto"/>
              </w:rPr>
            </w:pPr>
          </w:p>
        </w:tc>
      </w:tr>
      <w:tr>
        <w:trPr>
          <w:trHeight w:val="207"/>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88"/>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34"/>
        </w:trPr>
        <w:tc>
          <w:tcPr>
            <w:tcW w:w="33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Class A Non-voting Common Stock, par value $.01 per share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EZPW</w:t>
            </w:r>
          </w:p>
        </w:tc>
        <w:tc>
          <w:tcPr>
            <w:tcW w:w="1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NASDAQ Stock Market</w:t>
            </w:r>
          </w:p>
        </w:tc>
        <w:tc>
          <w:tcPr>
            <w:tcW w:w="314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(NASDAQ Global Select Market)</w:t>
            </w:r>
          </w:p>
        </w:tc>
      </w:tr>
    </w:tbl>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1"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ind w:left="936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88"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450850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31, 2024, EZCORP, Inc. (“EZCORP”) issued a press release announcing its results of operations and financial condition for the quarter ended December 31, 2023. A copy of that press release is attached as Exhibit 99.1.</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8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7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18"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2"/>
          <w:szCs w:val="12"/>
          <w:color w:val="auto"/>
        </w:rPr>
        <w:t>A copy of the presentation materials that management will review during the Company’s earnings conference call (to be held on February 1, 2024) will be posted in the Investor Relations section of the company’s website at www.ezcorp.com.</w:t>
      </w:r>
    </w:p>
    <w:p>
      <w:pPr>
        <w:spacing w:after="0" w:line="75"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11"/>
          <w:szCs w:val="11"/>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 Financial Statements and Exhibits</w:t>
      </w:r>
    </w:p>
    <w:p>
      <w:pPr>
        <w:spacing w:after="0" w:line="208" w:lineRule="exact"/>
        <w:rPr>
          <w:sz w:val="20"/>
          <w:szCs w:val="20"/>
          <w:color w:val="auto"/>
        </w:rPr>
      </w:pPr>
    </w:p>
    <w:p>
      <w:pPr>
        <w:ind w:left="480" w:hanging="476"/>
        <w:spacing w:after="0"/>
        <w:tabs>
          <w:tab w:leader="none" w:pos="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95" w:lineRule="exact"/>
        <w:rPr>
          <w:sz w:val="20"/>
          <w:szCs w:val="20"/>
          <w:color w:val="auto"/>
        </w:rPr>
      </w:pPr>
    </w:p>
    <w:p>
      <w:pPr>
        <w:ind w:left="240"/>
        <w:spacing w:after="0"/>
        <w:tabs>
          <w:tab w:leader="none" w:pos="7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FF"/>
        </w:rPr>
        <w:t>Press Release, dated January 31, 2024, announcing EZCORP, Inc.’s results of operations and financial condition for the quarter ended December 31, 2023.</w:t>
      </w:r>
    </w:p>
    <w:p>
      <w:pPr>
        <w:spacing w:after="0" w:line="17" w:lineRule="exact"/>
        <w:rPr>
          <w:sz w:val="20"/>
          <w:szCs w:val="20"/>
          <w:color w:val="auto"/>
        </w:rPr>
      </w:pPr>
    </w:p>
    <w:p>
      <w:pPr>
        <w:ind w:left="260"/>
        <w:spacing w:after="0"/>
        <w:tabs>
          <w:tab w:leader="none" w:pos="70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10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EZCORP, INC.</w:t>
            </w:r>
          </w:p>
        </w:tc>
        <w:tc>
          <w:tcPr>
            <w:tcW w:w="4360" w:type="dxa"/>
            <w:vAlign w:val="bottom"/>
          </w:tcPr>
          <w:p>
            <w:pPr>
              <w:spacing w:after="0"/>
              <w:rPr>
                <w:sz w:val="13"/>
                <w:szCs w:val="13"/>
                <w:color w:val="auto"/>
              </w:rPr>
            </w:pPr>
          </w:p>
        </w:tc>
      </w:tr>
      <w:tr>
        <w:trPr>
          <w:trHeight w:val="189"/>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3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January 31, 2024</w:t>
            </w:r>
          </w:p>
        </w:tc>
        <w:tc>
          <w:tcPr>
            <w:tcW w:w="310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Timothy K. Jugmans</w:t>
            </w:r>
          </w:p>
        </w:tc>
      </w:tr>
      <w:tr>
        <w:trPr>
          <w:trHeight w:val="140"/>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Timothy K. Jugmans</w:t>
            </w:r>
          </w:p>
        </w:tc>
      </w:tr>
      <w:tr>
        <w:trPr>
          <w:trHeight w:val="155"/>
        </w:trPr>
        <w:tc>
          <w:tcPr>
            <w:tcW w:w="4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80"/>
          </w:cols>
          <w:pgMar w:left="300" w:top="746" w:right="3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3105785</wp:posOffset>
            </wp:positionH>
            <wp:positionV relativeFrom="page">
              <wp:posOffset>431800</wp:posOffset>
            </wp:positionV>
            <wp:extent cx="1337310" cy="234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37310" cy="234315"/>
                    </a:xfrm>
                    <a:prstGeom prst="rect">
                      <a:avLst/>
                    </a:prstGeom>
                    <a:noFill/>
                  </pic:spPr>
                </pic:pic>
              </a:graphicData>
            </a:graphic>
          </wp:anchor>
        </w:drawing>
        <w:t>EZCORP Reports First Quarter Fiscal 2024 Results</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Record Revenues Driving Strong Earnings Growth</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b w:val="1"/>
          <w:bCs w:val="1"/>
          <w:color w:val="auto"/>
        </w:rPr>
        <w:t xml:space="preserve">Austin, Texas (January 31, 2024) — </w:t>
      </w:r>
      <w:r>
        <w:rPr>
          <w:rFonts w:ascii="Arial" w:cs="Arial" w:eastAsia="Arial" w:hAnsi="Arial"/>
          <w:sz w:val="12"/>
          <w:szCs w:val="12"/>
          <w:color w:val="auto"/>
        </w:rPr>
        <w:t>EZCORP, Inc. (NASDAQ: EZPW), a leading provider of pawn transactions in the United States and Latin America, today announced results for its first quarter ended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2023.</w:t>
      </w: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Unless otherwise noted, all amounts in this release are in conformity with U.S. generally accepted accounting principles (“GAAP”) and comparisons shown are to the same period in the prior year.</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HIGHLIGHTS</w:t>
      </w:r>
    </w:p>
    <w:p>
      <w:pPr>
        <w:spacing w:after="0" w:line="113" w:lineRule="exact"/>
        <w:rPr>
          <w:sz w:val="20"/>
          <w:szCs w:val="20"/>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income increased to $28.5 million, an increase of $11.7 million, or 70%. On an adjusted basis</w:t>
      </w:r>
      <w:r>
        <w:rPr>
          <w:rFonts w:ascii="Arial" w:cs="Arial" w:eastAsia="Arial" w:hAnsi="Arial"/>
          <w:sz w:val="15"/>
          <w:szCs w:val="15"/>
          <w:color w:val="auto"/>
          <w:vertAlign w:val="superscript"/>
        </w:rPr>
        <w:t>1</w:t>
      </w:r>
      <w:r>
        <w:rPr>
          <w:rFonts w:ascii="Arial" w:cs="Arial" w:eastAsia="Arial" w:hAnsi="Arial"/>
          <w:sz w:val="12"/>
          <w:szCs w:val="12"/>
          <w:color w:val="auto"/>
        </w:rPr>
        <w:t>, net income increased $6.6 million or 30%.</w:t>
      </w:r>
    </w:p>
    <w:p>
      <w:pPr>
        <w:spacing w:after="0" w:line="80"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Diluted earnings per share of $0.36, up from $0.25. On an adjusted basis, diluted earnings per share of $0.36, compared to $0.28.</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revenues and gross profit increased 13%.</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Merchandise sales gross margin remains within our targeted range at 36%.</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Pawn loans outstanding (PLO) up 16% to $243.3 million.</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Return on earning assets (ROEA) remains strong at 165%.</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CEO COMMENTARY AND OUTLOOK</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Lachie Given, Chief Executive Officer, stated, “We began fiscal 2024 with another outstanding quarter. Our PLO was the highest on record in our first quarter, and total revenues were the highest for any quarter in our history. The challenging macro-economic backdrop continues to drive increased demand for our two core products, which are satisfying the short term cash needs of our customers and selling pre-owned and recycled goods.</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“We remain committed to market-leading customer service in the neighborhoods in which we serve. We continue to invest in our team members, technology, process efficiencies and automation, to provide fast, convenient and respectful cash solutions and affordable pre-owned and recycled jewelry and general merchandise to cost-conscious and environmentally concerned consumers. This consistent service to our customers and investment in our teams and technology continue to produce outstanding operating and financial results for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“During the first quarter, we also acquired one store in Texas and opened five de novo stores in Latin America. In Guatemala, we added 3 stores, expanding our market leadership there with a total of 120 stores,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and in Mexico, we added 2 stores. We now have a total of 1,237 stores across the organization and over 7,700 team members. Our strong balance sheet and cash liquidity enable us to capitalize upon potential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growth opportunities in a disciplined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way.</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“MaxPawn, the luxury pawnbroking business we acquired in December 2022, had a strong 2023 holiday season. While still a small part of the business, MaxPawn and the luxury category as a whole represent an exciting component of our future.</w:t>
      </w:r>
    </w:p>
    <w:p>
      <w:pPr>
        <w:spacing w:after="0" w:line="67"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“We now have 4.2 million EZ+ Rewards members across all geographies, an increase of 75% over the first quarter of 2023 and 11% over last quarter. We are focused on driving increased engagement with this large customer set as we seek to increase market share and share of wallet in all of the neighborhoods in which we serve.</w:t>
      </w:r>
    </w:p>
    <w:p>
      <w:pPr>
        <w:spacing w:after="0" w:line="67" w:lineRule="exact"/>
        <w:rPr>
          <w:sz w:val="20"/>
          <w:szCs w:val="20"/>
          <w:color w:val="auto"/>
        </w:rPr>
      </w:pPr>
    </w:p>
    <w:p>
      <w:pPr>
        <w:ind w:right="60"/>
        <w:spacing w:after="0" w:line="334" w:lineRule="auto"/>
        <w:rPr>
          <w:sz w:val="20"/>
          <w:szCs w:val="20"/>
          <w:color w:val="auto"/>
        </w:rPr>
      </w:pPr>
      <w:r>
        <w:rPr>
          <w:rFonts w:ascii="Arial" w:cs="Arial" w:eastAsia="Arial" w:hAnsi="Arial"/>
          <w:sz w:val="11"/>
          <w:szCs w:val="11"/>
          <w:color w:val="auto"/>
        </w:rPr>
        <w:t>“We are committed to doing everything we can to retain and incentivize our passionate, engaged and productive team members because it is their operational excellence and superior customer service that drive our financial results and ultimately enhance value for all shareholders. We are proud to have also been recognized during the quarter by Newsweek as one of America’s Greatest Workplaces for Diversity 2024.</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“Thank you to all EZCORP team members for an exceptional quarter of operating and financial results to commence the 2024 fiscal year.” concluded Given.</w:t>
      </w:r>
    </w:p>
    <w:p>
      <w:pPr>
        <w:sectPr>
          <w:pgSz w:w="11900" w:h="16838" w:orient="portrait"/>
          <w:cols w:equalWidth="0" w:num="1">
            <w:col w:w="11180"/>
          </w:cols>
          <w:pgMar w:left="300" w:top="1205" w:right="41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CONSOLIDATED RESULTS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20"/>
                <w:szCs w:val="20"/>
                <w:color w:val="auto"/>
              </w:rPr>
            </w:pPr>
            <w:r>
              <w:rPr>
                <w:rFonts w:ascii="Arial" w:cs="Arial" w:eastAsia="Arial" w:hAnsi="Arial"/>
                <w:sz w:val="11"/>
                <w:szCs w:val="11"/>
                <w:b w:val="1"/>
                <w:bCs w:val="1"/>
                <w:color w:val="auto"/>
              </w:rPr>
              <w:t>Three Months Ended December 31</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rPr>
              <w:t>As Reported</w:t>
            </w:r>
          </w:p>
        </w:tc>
        <w:tc>
          <w:tcPr>
            <w:tcW w:w="8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Adjusted</w:t>
            </w:r>
            <w:r>
              <w:rPr>
                <w:rFonts w:ascii="Arial" w:cs="Arial" w:eastAsia="Arial" w:hAnsi="Arial"/>
                <w:sz w:val="14"/>
                <w:szCs w:val="14"/>
                <w:b w:val="1"/>
                <w:bCs w:val="1"/>
                <w:color w:val="auto"/>
                <w:vertAlign w:val="superscript"/>
              </w:rPr>
              <w:t>1</w:t>
            </w:r>
          </w:p>
        </w:tc>
        <w:tc>
          <w:tcPr>
            <w:tcW w:w="860" w:type="dxa"/>
            <w:vAlign w:val="bottom"/>
            <w:tcBorders>
              <w:bottom w:val="single" w:sz="8" w:color="auto"/>
            </w:tcBorders>
          </w:tcPr>
          <w:p>
            <w:pPr>
              <w:spacing w:after="0"/>
              <w:rPr>
                <w:sz w:val="14"/>
                <w:szCs w:val="14"/>
                <w:color w:val="auto"/>
              </w:rPr>
            </w:pPr>
          </w:p>
        </w:tc>
      </w:tr>
      <w:tr>
        <w:trPr>
          <w:trHeight w:val="133"/>
        </w:trPr>
        <w:tc>
          <w:tcPr>
            <w:tcW w:w="5860" w:type="dxa"/>
            <w:vAlign w:val="bottom"/>
          </w:tcPr>
          <w:p>
            <w:pPr>
              <w:spacing w:after="0"/>
              <w:rPr>
                <w:sz w:val="20"/>
                <w:szCs w:val="20"/>
                <w:color w:val="auto"/>
              </w:rPr>
            </w:pPr>
            <w:r>
              <w:rPr>
                <w:rFonts w:ascii="Arial" w:cs="Arial" w:eastAsia="Arial" w:hAnsi="Arial"/>
                <w:sz w:val="11"/>
                <w:szCs w:val="11"/>
                <w:i w:val="1"/>
                <w:iCs w:val="1"/>
                <w:color w:val="auto"/>
              </w:rPr>
              <w:t>in millions, except per share amounts</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2022</w:t>
            </w: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2022</w:t>
            </w:r>
          </w:p>
        </w:tc>
      </w:tr>
      <w:tr>
        <w:trPr>
          <w:trHeight w:val="158"/>
        </w:trPr>
        <w:tc>
          <w:tcPr>
            <w:tcW w:w="5860" w:type="dxa"/>
            <w:vAlign w:val="bottom"/>
          </w:tcPr>
          <w:p>
            <w:pPr>
              <w:spacing w:after="0"/>
              <w:rPr>
                <w:sz w:val="20"/>
                <w:szCs w:val="20"/>
                <w:color w:val="auto"/>
              </w:rPr>
            </w:pPr>
            <w:r>
              <w:rPr>
                <w:rFonts w:ascii="Arial" w:cs="Arial" w:eastAsia="Arial" w:hAnsi="Arial"/>
                <w:sz w:val="11"/>
                <w:szCs w:val="11"/>
                <w:color w:val="auto"/>
              </w:rPr>
              <w:t>Total revenues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300.0</w:t>
            </w:r>
          </w:p>
        </w:tc>
        <w:tc>
          <w:tcPr>
            <w:tcW w:w="8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264.3</w:t>
            </w:r>
          </w:p>
        </w:tc>
        <w:tc>
          <w:tcPr>
            <w:tcW w:w="44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292.9</w:t>
            </w:r>
          </w:p>
        </w:tc>
        <w:tc>
          <w:tcPr>
            <w:tcW w:w="8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264.3</w:t>
            </w:r>
          </w:p>
        </w:tc>
      </w:tr>
      <w:tr>
        <w:trPr>
          <w:trHeight w:val="144"/>
        </w:trPr>
        <w:tc>
          <w:tcPr>
            <w:tcW w:w="5860" w:type="dxa"/>
            <w:vAlign w:val="bottom"/>
          </w:tcPr>
          <w:p>
            <w:pPr>
              <w:spacing w:after="0"/>
              <w:rPr>
                <w:sz w:val="20"/>
                <w:szCs w:val="20"/>
                <w:color w:val="auto"/>
              </w:rPr>
            </w:pPr>
            <w:r>
              <w:rPr>
                <w:rFonts w:ascii="Arial" w:cs="Arial" w:eastAsia="Arial" w:hAnsi="Arial"/>
                <w:sz w:val="11"/>
                <w:szCs w:val="11"/>
                <w:color w:val="auto"/>
              </w:rPr>
              <w:t>Gross profit</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172.6</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152.5</w:t>
            </w:r>
          </w:p>
        </w:tc>
        <w:tc>
          <w:tcPr>
            <w:tcW w:w="4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168.8</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152.5</w:t>
            </w:r>
          </w:p>
        </w:tc>
      </w:tr>
      <w:tr>
        <w:trPr>
          <w:trHeight w:val="144"/>
        </w:trPr>
        <w:tc>
          <w:tcPr>
            <w:tcW w:w="5860" w:type="dxa"/>
            <w:vAlign w:val="bottom"/>
          </w:tcPr>
          <w:p>
            <w:pPr>
              <w:spacing w:after="0"/>
              <w:rPr>
                <w:sz w:val="20"/>
                <w:szCs w:val="20"/>
                <w:color w:val="auto"/>
              </w:rPr>
            </w:pPr>
            <w:r>
              <w:rPr>
                <w:rFonts w:ascii="Arial" w:cs="Arial" w:eastAsia="Arial" w:hAnsi="Arial"/>
                <w:sz w:val="11"/>
                <w:szCs w:val="11"/>
                <w:color w:val="auto"/>
              </w:rPr>
              <w:t>Income before tax</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37.7</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24.5</w:t>
            </w:r>
          </w:p>
        </w:tc>
        <w:tc>
          <w:tcPr>
            <w:tcW w:w="4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37.2</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28.3</w:t>
            </w:r>
          </w:p>
        </w:tc>
      </w:tr>
      <w:tr>
        <w:trPr>
          <w:trHeight w:val="144"/>
        </w:trPr>
        <w:tc>
          <w:tcPr>
            <w:tcW w:w="5860" w:type="dxa"/>
            <w:vAlign w:val="bottom"/>
          </w:tcPr>
          <w:p>
            <w:pPr>
              <w:spacing w:after="0"/>
              <w:rPr>
                <w:sz w:val="20"/>
                <w:szCs w:val="20"/>
                <w:color w:val="auto"/>
              </w:rPr>
            </w:pPr>
            <w:r>
              <w:rPr>
                <w:rFonts w:ascii="Arial" w:cs="Arial" w:eastAsia="Arial" w:hAnsi="Arial"/>
                <w:sz w:val="11"/>
                <w:szCs w:val="11"/>
                <w:color w:val="auto"/>
              </w:rPr>
              <w:t>Net income</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28.5</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4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28.2</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21.6</w:t>
            </w:r>
          </w:p>
        </w:tc>
      </w:tr>
      <w:tr>
        <w:trPr>
          <w:trHeight w:val="144"/>
        </w:trPr>
        <w:tc>
          <w:tcPr>
            <w:tcW w:w="5860" w:type="dxa"/>
            <w:vAlign w:val="bottom"/>
          </w:tcPr>
          <w:p>
            <w:pPr>
              <w:spacing w:after="0"/>
              <w:rPr>
                <w:sz w:val="20"/>
                <w:szCs w:val="20"/>
                <w:color w:val="auto"/>
              </w:rPr>
            </w:pPr>
            <w:r>
              <w:rPr>
                <w:rFonts w:ascii="Arial" w:cs="Arial" w:eastAsia="Arial" w:hAnsi="Arial"/>
                <w:sz w:val="11"/>
                <w:szCs w:val="11"/>
                <w:color w:val="auto"/>
              </w:rPr>
              <w:t>Diluted earnings per share</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0.36</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0.25</w:t>
            </w:r>
          </w:p>
        </w:tc>
        <w:tc>
          <w:tcPr>
            <w:tcW w:w="4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0.36</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0.28</w:t>
            </w:r>
          </w:p>
        </w:tc>
      </w:tr>
      <w:tr>
        <w:trPr>
          <w:trHeight w:val="144"/>
        </w:trPr>
        <w:tc>
          <w:tcPr>
            <w:tcW w:w="5860" w:type="dxa"/>
            <w:vAlign w:val="bottom"/>
          </w:tcPr>
          <w:p>
            <w:pPr>
              <w:spacing w:after="0"/>
              <w:rPr>
                <w:sz w:val="20"/>
                <w:szCs w:val="20"/>
                <w:color w:val="auto"/>
              </w:rPr>
            </w:pPr>
            <w:r>
              <w:rPr>
                <w:rFonts w:ascii="Arial" w:cs="Arial" w:eastAsia="Arial" w:hAnsi="Arial"/>
                <w:sz w:val="11"/>
                <w:szCs w:val="11"/>
                <w:color w:val="auto"/>
              </w:rPr>
              <w:t>EBITDA (non-GAAP measure)</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47.1</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38.1</w:t>
            </w:r>
          </w:p>
        </w:tc>
        <w:tc>
          <w:tcPr>
            <w:tcW w:w="4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46.4</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38.3</w:t>
            </w:r>
          </w:p>
        </w:tc>
      </w:tr>
    </w:tbl>
    <w:p>
      <w:pPr>
        <w:spacing w:after="0" w:line="214" w:lineRule="exact"/>
        <w:rPr>
          <w:sz w:val="20"/>
          <w:szCs w:val="20"/>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Diluted earnings per share of $0.36, up from $0.25. On an adjusted basis, diluted earnings per share of $0.36, up from $0.28.</w:t>
      </w:r>
    </w:p>
    <w:p>
      <w:pPr>
        <w:spacing w:after="0" w:line="105"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Income before taxes was $37.7 million, up from $24.5 million, and adjusted EBITDA increased 21% to $46.4 million.</w:t>
      </w:r>
    </w:p>
    <w:p>
      <w:pPr>
        <w:spacing w:after="0" w:line="113"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PLO increased 16% to $243.3 million, up $33.4 million. On a same-store basis</w:t>
      </w:r>
      <w:r>
        <w:rPr>
          <w:rFonts w:ascii="Arial" w:cs="Arial" w:eastAsia="Arial" w:hAnsi="Arial"/>
          <w:sz w:val="15"/>
          <w:szCs w:val="15"/>
          <w:color w:val="auto"/>
          <w:vertAlign w:val="superscript"/>
        </w:rPr>
        <w:t>2</w:t>
      </w:r>
      <w:r>
        <w:rPr>
          <w:rFonts w:ascii="Arial" w:cs="Arial" w:eastAsia="Arial" w:hAnsi="Arial"/>
          <w:sz w:val="12"/>
          <w:szCs w:val="12"/>
          <w:color w:val="auto"/>
        </w:rPr>
        <w:t>, PLO increased 14% due to improved operational performance and continued strong pawn demand.</w:t>
      </w:r>
    </w:p>
    <w:p>
      <w:pPr>
        <w:spacing w:after="0" w:line="80"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revenues and gross profit increased 13%, reflecting improved pawn service charge (PSC) revenues, merchandise sales and merchandise sales gross profit.</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PSC increased 15% as a result of higher average PLO.</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Merchandise sales gross margin remains within our target range at 36%. Aged general merchandise was 1.3% of total general merchandise inventory.</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inventory increased 6%, as expected with the growth in PLO. Inventory turnover increased to 3.0x, from 2.8x.</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Store expenses increased 10%, primarily due to increased labor in-line with store activity, higher store count and rent. On a same-store basis, store expenses increased 7%.</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General and administrative expenses increased 7%, primarily due to annual salary increases and an increase in costs related to the implementation of Workday.</w:t>
      </w:r>
    </w:p>
    <w:p>
      <w:pPr>
        <w:spacing w:after="0" w:line="114" w:lineRule="exact"/>
        <w:rPr>
          <w:rFonts w:ascii="Arial" w:cs="Arial" w:eastAsia="Arial" w:hAnsi="Arial"/>
          <w:sz w:val="12"/>
          <w:szCs w:val="12"/>
          <w:color w:val="auto"/>
        </w:rPr>
      </w:pPr>
    </w:p>
    <w:p>
      <w:pPr>
        <w:ind w:left="420" w:right="80" w:hanging="212"/>
        <w:spacing w:after="0" w:line="286" w:lineRule="auto"/>
        <w:tabs>
          <w:tab w:leader="none" w:pos="426" w:val="left"/>
        </w:tabs>
        <w:numPr>
          <w:ilvl w:val="0"/>
          <w:numId w:val="4"/>
        </w:numPr>
        <w:rPr>
          <w:rFonts w:ascii="Arial" w:cs="Arial" w:eastAsia="Arial" w:hAnsi="Arial"/>
          <w:sz w:val="12"/>
          <w:szCs w:val="12"/>
          <w:color w:val="auto"/>
        </w:rPr>
      </w:pPr>
      <w:r>
        <w:rPr>
          <w:rFonts w:ascii="Arial" w:cs="Arial" w:eastAsia="Arial" w:hAnsi="Arial"/>
          <w:sz w:val="12"/>
          <w:szCs w:val="12"/>
          <w:color w:val="auto"/>
        </w:rPr>
        <w:t>Cash and cash equivalents at the end of the quarter was $218.5 million, up 5% year-over-year. The increase was primarily due to cash inflows provided by operating activities offset by the increase in PLO and inventory, strategic investments, share repurchases, and the acquisition of new stores.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RESULTS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U.S. Pawn</w:t>
      </w:r>
    </w:p>
    <w:p>
      <w:pPr>
        <w:spacing w:after="0" w:line="114" w:lineRule="exact"/>
        <w:rPr>
          <w:sz w:val="20"/>
          <w:szCs w:val="20"/>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PLO ended the quarter at $190.8 million, up 14% or 13% on a same store basis.</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revenues was up 12% and gross profit increased 10%, reflecting increased PSC and higher merchandise sales.</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PSC increased 14% as a result of higher average PLO.</w:t>
      </w:r>
    </w:p>
    <w:p>
      <w:pPr>
        <w:spacing w:after="0" w:line="13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color w:val="auto"/>
        </w:rPr>
        <w:t>Merchandise sales increased 6% and gross margin decreased to 37% from 38%. Aged general merchandise was 1.1% of total general merchandise inventory.</w:t>
      </w:r>
    </w:p>
    <w:p>
      <w:pPr>
        <w:spacing w:after="0" w:line="93" w:lineRule="exact"/>
        <w:rPr>
          <w:rFonts w:ascii="Arial" w:cs="Arial" w:eastAsia="Arial" w:hAnsi="Arial"/>
          <w:sz w:val="14"/>
          <w:szCs w:val="14"/>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inventory increased 8%, as expected with the growth in PLO. Inventory turnover increased to 2.7x from 2.6x.</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Store expenses increased 5%, primarily due to wage inflationary pressures, higher store count and, to a lesser extent, rent.</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Segment contribution increased 21% to $47.5 million.</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Segment store count increased by 1 store during the quarter due to an acquisition.</w:t>
      </w:r>
    </w:p>
    <w:p>
      <w:pPr>
        <w:sectPr>
          <w:pgSz w:w="11900" w:h="16838" w:orient="portrait"/>
          <w:cols w:equalWidth="0" w:num="1">
            <w:col w:w="11300"/>
          </w:cols>
          <w:pgMar w:left="300" w:top="775"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Latin America Pawn</w:t>
      </w:r>
    </w:p>
    <w:p>
      <w:pPr>
        <w:spacing w:after="0" w:line="114" w:lineRule="exact"/>
        <w:rPr>
          <w:sz w:val="20"/>
          <w:szCs w:val="20"/>
          <w:color w:val="auto"/>
        </w:rPr>
      </w:pPr>
    </w:p>
    <w:p>
      <w:pPr>
        <w:ind w:left="440" w:hanging="232"/>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PLO improved to $52.5 million, up 22% (11% on constant currency basis). On a same store basis, PLO increased 19% (8% on a constant currency basis).</w:t>
      </w:r>
    </w:p>
    <w:p>
      <w:pPr>
        <w:spacing w:after="0" w:line="114" w:lineRule="exact"/>
        <w:rPr>
          <w:rFonts w:ascii="Arial" w:cs="Arial" w:eastAsia="Arial" w:hAnsi="Arial"/>
          <w:sz w:val="12"/>
          <w:szCs w:val="12"/>
          <w:color w:val="auto"/>
        </w:rPr>
      </w:pPr>
    </w:p>
    <w:p>
      <w:pPr>
        <w:ind w:left="420" w:right="440" w:hanging="212"/>
        <w:spacing w:after="0" w:line="286" w:lineRule="auto"/>
        <w:tabs>
          <w:tab w:leader="none" w:pos="426"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revenues was up 19% (9% on constant currency basis) and gross profit increased 22% (11% on a constant currency basis), reflecting increased PSC, higher merchandise sales and improved merchandise sales gross profit.</w:t>
      </w:r>
    </w:p>
    <w:p>
      <w:pPr>
        <w:spacing w:after="0" w:line="67" w:lineRule="exact"/>
        <w:rPr>
          <w:rFonts w:ascii="Arial" w:cs="Arial" w:eastAsia="Arial" w:hAnsi="Arial"/>
          <w:sz w:val="12"/>
          <w:szCs w:val="12"/>
          <w:color w:val="auto"/>
        </w:rPr>
      </w:pPr>
    </w:p>
    <w:p>
      <w:pPr>
        <w:ind w:left="440" w:hanging="232"/>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PSC increased 18% (8% on a constant currency basis) as a result of higher average PLO.</w:t>
      </w:r>
    </w:p>
    <w:p>
      <w:pPr>
        <w:spacing w:after="0" w:line="114" w:lineRule="exact"/>
        <w:rPr>
          <w:rFonts w:ascii="Arial" w:cs="Arial" w:eastAsia="Arial" w:hAnsi="Arial"/>
          <w:sz w:val="12"/>
          <w:szCs w:val="12"/>
          <w:color w:val="auto"/>
        </w:rPr>
      </w:pPr>
    </w:p>
    <w:p>
      <w:pPr>
        <w:ind w:left="440" w:hanging="232"/>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Merchandise sales gross margin increased from 30% to 32%. Aged general merchandise was 1.6% of total merchandise inventory.</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2"/>
          <w:szCs w:val="12"/>
          <w:color w:val="auto"/>
        </w:rPr>
        <w:t>Net inventory remained flat (decreased 11% on a constant currency basis) due to PLO growth, offset by increased inventory turnover at 3.8x, up from 3.3x.</w:t>
      </w:r>
    </w:p>
    <w:p>
      <w:pPr>
        <w:spacing w:after="0" w:line="111" w:lineRule="exact"/>
        <w:rPr>
          <w:rFonts w:ascii="Arial" w:cs="Arial" w:eastAsia="Arial" w:hAnsi="Arial"/>
          <w:sz w:val="13"/>
          <w:szCs w:val="13"/>
          <w:color w:val="auto"/>
        </w:rPr>
      </w:pPr>
    </w:p>
    <w:p>
      <w:pPr>
        <w:ind w:left="420" w:right="280" w:hanging="212"/>
        <w:spacing w:after="0" w:line="286" w:lineRule="auto"/>
        <w:tabs>
          <w:tab w:leader="none" w:pos="426" w:val="left"/>
        </w:tabs>
        <w:numPr>
          <w:ilvl w:val="0"/>
          <w:numId w:val="6"/>
        </w:numPr>
        <w:rPr>
          <w:rFonts w:ascii="Arial" w:cs="Arial" w:eastAsia="Arial" w:hAnsi="Arial"/>
          <w:sz w:val="12"/>
          <w:szCs w:val="12"/>
          <w:color w:val="auto"/>
        </w:rPr>
      </w:pPr>
      <w:r>
        <w:rPr>
          <w:rFonts w:ascii="Arial" w:cs="Arial" w:eastAsia="Arial" w:hAnsi="Arial"/>
          <w:sz w:val="12"/>
          <w:szCs w:val="12"/>
          <w:color w:val="auto"/>
        </w:rPr>
        <w:t>Store expenses increased 21% (10% on a constant currency basis), primarily due to increases in minimum wage and headcount, higher store count and, to a lesser extent, rent. Same-store expenses increased 16% (6% on a constant currency basis).</w:t>
      </w:r>
    </w:p>
    <w:p>
      <w:pPr>
        <w:spacing w:after="0" w:line="91"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2"/>
          <w:szCs w:val="12"/>
          <w:color w:val="auto"/>
        </w:rPr>
        <w:t>Segment contribution increased 35% (27% on a constant currency basis). On an adjusted basis, segment contribution was up 24% to $9.6 million.</w:t>
      </w:r>
    </w:p>
    <w:p>
      <w:pPr>
        <w:spacing w:after="0" w:line="93" w:lineRule="exact"/>
        <w:rPr>
          <w:rFonts w:ascii="Arial" w:cs="Arial" w:eastAsia="Arial" w:hAnsi="Arial"/>
          <w:sz w:val="14"/>
          <w:szCs w:val="14"/>
          <w:color w:val="auto"/>
        </w:rPr>
      </w:pPr>
    </w:p>
    <w:p>
      <w:pPr>
        <w:ind w:left="440" w:hanging="232"/>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Segment store count increased by 5 de novo stores opened during the quarter.</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 10-Q</w:t>
      </w:r>
    </w:p>
    <w:p>
      <w:pPr>
        <w:spacing w:after="0" w:line="114"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EZCORP’s Quarterly Report on Form 10-Q for the quarter ended December 31, 2023 has been filed with the Securities and Exchange Commission. The report is available in the Investor Relations section of the Company’s website at http://investors.ezcorp.com.</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EZCORP will host a conference call on Thursday, February 1, 2024, at 8:00 am Central Time to discuss First Quarter Fiscal 2024 results. Analysts and institutional investors may participate on the conference call by registering online at: https://edge.media-server.com/mmc/p/iic4zjrc/. Once registered you will receive the dial-in details with a unique PIN to join the call. The conference call will be webcast simultaneously to the public through this link: http://investors.ezcorp.com. A replay of the conference call will be available online at http://investors.ezcorp.com shortly after the end of the call.</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EZCORP</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Follow us on social media: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Facebook EZPAWN Official https://www.facebook.com/EZPAWN/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EZCORP Instagram Official https://www.instagram.com/ezcorp_official/</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EZPAWN Instagram Official https://www.instagram.com/ezpawnofficial/</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EZCORP LinkedIn https://www.linkedin.com/company/ezcorp/</w:t>
      </w:r>
    </w:p>
    <w:p>
      <w:pPr>
        <w:sectPr>
          <w:pgSz w:w="11900" w:h="16838" w:orient="portrait"/>
          <w:cols w:equalWidth="0" w:num="1">
            <w:col w:w="11260"/>
          </w:cols>
          <w:pgMar w:left="300" w:top="775" w:right="33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FORWARD LOOKING STATEMENTS</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Email: Investor_Relations@ezcorp.com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(512) 314-2220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Note: Percentages are calculated from the underlying numbers in thousands and, as a result, may not agree to the percentages calculated from numbers in millions.</w:t>
      </w:r>
    </w:p>
    <w:p>
      <w:pPr>
        <w:spacing w:after="0" w:line="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2"/>
          <w:szCs w:val="12"/>
          <w:i w:val="1"/>
          <w:iCs w:val="1"/>
          <w:color w:val="auto"/>
          <w:vertAlign w:val="superscript"/>
        </w:rPr>
        <w:t>1</w:t>
      </w:r>
      <w:r>
        <w:rPr>
          <w:rFonts w:ascii="Times New Roman" w:cs="Times New Roman" w:eastAsia="Times New Roman" w:hAnsi="Times New Roman"/>
          <w:sz w:val="10"/>
          <w:szCs w:val="10"/>
          <w:i w:val="1"/>
          <w:iCs w:val="1"/>
          <w:color w:val="auto"/>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vertAlign w:val="superscript"/>
        </w:rPr>
        <w:t>2</w:t>
      </w:r>
      <w:r>
        <w:rPr>
          <w:rFonts w:ascii="Times New Roman" w:cs="Times New Roman" w:eastAsia="Times New Roman" w:hAnsi="Times New Roman"/>
          <w:sz w:val="10"/>
          <w:szCs w:val="10"/>
          <w:i w:val="1"/>
          <w:iCs w:val="1"/>
          <w:color w:val="auto"/>
        </w:rPr>
        <w:t>“Same Store” basis, which is a financial measure, includes stores open the entirety of the comparable periods.</w:t>
      </w:r>
    </w:p>
    <w:p>
      <w:pPr>
        <w:sectPr>
          <w:pgSz w:w="11900" w:h="16838" w:orient="portrait"/>
          <w:cols w:equalWidth="0" w:num="1">
            <w:col w:w="11280"/>
          </w:cols>
          <w:pgMar w:left="300" w:top="775"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EZCORP,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r>
      <w:tr>
        <w:trPr>
          <w:trHeight w:val="144"/>
        </w:trPr>
        <w:tc>
          <w:tcPr>
            <w:tcW w:w="8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33"/>
        </w:trPr>
        <w:tc>
          <w:tcPr>
            <w:tcW w:w="8340" w:type="dxa"/>
            <w:vAlign w:val="bottom"/>
          </w:tcPr>
          <w:p>
            <w:pPr>
              <w:spacing w:after="0"/>
              <w:rPr>
                <w:sz w:val="20"/>
                <w:szCs w:val="20"/>
                <w:color w:val="auto"/>
              </w:rPr>
            </w:pPr>
            <w:r>
              <w:rPr>
                <w:rFonts w:ascii="Arial" w:cs="Arial" w:eastAsia="Arial" w:hAnsi="Arial"/>
                <w:sz w:val="10"/>
                <w:szCs w:val="10"/>
                <w:color w:val="auto"/>
              </w:rPr>
              <w:t>(in thousands, except per share amounts)</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2022</w:t>
            </w:r>
          </w:p>
        </w:tc>
      </w:tr>
      <w:tr>
        <w:trPr>
          <w:trHeight w:val="122"/>
        </w:trPr>
        <w:tc>
          <w:tcPr>
            <w:tcW w:w="8340" w:type="dxa"/>
            <w:vAlign w:val="bottom"/>
          </w:tcPr>
          <w:p>
            <w:pPr>
              <w:spacing w:after="0" w:line="122" w:lineRule="exact"/>
              <w:rPr>
                <w:sz w:val="20"/>
                <w:szCs w:val="20"/>
                <w:color w:val="auto"/>
              </w:rPr>
            </w:pPr>
            <w:r>
              <w:rPr>
                <w:rFonts w:ascii="Arial" w:cs="Arial" w:eastAsia="Arial" w:hAnsi="Arial"/>
                <w:sz w:val="11"/>
                <w:szCs w:val="11"/>
                <w:color w:val="auto"/>
              </w:rPr>
              <w:t>Revenues:</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Merchandise sales</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179,403</w:t>
            </w:r>
          </w:p>
        </w:tc>
        <w:tc>
          <w:tcPr>
            <w:tcW w:w="80" w:type="dxa"/>
            <w:vAlign w:val="bottom"/>
          </w:tcPr>
          <w:p>
            <w:pPr>
              <w:spacing w:after="0"/>
              <w:rPr>
                <w:sz w:val="12"/>
                <w:szCs w:val="12"/>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163,787</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Jewelry scrapping sales</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14,082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7,884</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Pawn service charges</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106,449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92,593</w:t>
            </w:r>
          </w:p>
        </w:tc>
      </w:tr>
      <w:tr>
        <w:trPr>
          <w:trHeight w:val="145"/>
        </w:trPr>
        <w:tc>
          <w:tcPr>
            <w:tcW w:w="834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Other revenues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w:t>
            </w:r>
          </w:p>
        </w:tc>
      </w:tr>
      <w:tr>
        <w:trPr>
          <w:trHeight w:val="132"/>
        </w:trPr>
        <w:tc>
          <w:tcPr>
            <w:tcW w:w="8340" w:type="dxa"/>
            <w:vAlign w:val="bottom"/>
          </w:tcPr>
          <w:p>
            <w:pPr>
              <w:ind w:left="300"/>
              <w:spacing w:after="0"/>
              <w:rPr>
                <w:sz w:val="20"/>
                <w:szCs w:val="20"/>
                <w:color w:val="auto"/>
              </w:rPr>
            </w:pPr>
            <w:r>
              <w:rPr>
                <w:rFonts w:ascii="Arial" w:cs="Arial" w:eastAsia="Arial" w:hAnsi="Arial"/>
                <w:sz w:val="11"/>
                <w:szCs w:val="11"/>
                <w:color w:val="auto"/>
              </w:rPr>
              <w:t>Total revenues</w:t>
            </w:r>
          </w:p>
        </w:tc>
        <w:tc>
          <w:tcPr>
            <w:tcW w:w="34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299,991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264,327</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Merchandise cost of goods sold</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115,210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104,877</w:t>
            </w:r>
          </w:p>
        </w:tc>
      </w:tr>
      <w:tr>
        <w:trPr>
          <w:trHeight w:val="145"/>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Jewelry scrapping cost of goods sold</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12,208</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6,953</w:t>
            </w:r>
          </w:p>
        </w:tc>
      </w:tr>
      <w:tr>
        <w:trPr>
          <w:trHeight w:val="132"/>
        </w:trPr>
        <w:tc>
          <w:tcPr>
            <w:tcW w:w="8340" w:type="dxa"/>
            <w:vAlign w:val="bottom"/>
          </w:tcPr>
          <w:p>
            <w:pPr>
              <w:ind w:left="300"/>
              <w:spacing w:after="0"/>
              <w:rPr>
                <w:sz w:val="20"/>
                <w:szCs w:val="20"/>
                <w:color w:val="auto"/>
              </w:rPr>
            </w:pPr>
            <w:r>
              <w:rPr>
                <w:rFonts w:ascii="Arial" w:cs="Arial" w:eastAsia="Arial" w:hAnsi="Arial"/>
                <w:sz w:val="11"/>
                <w:szCs w:val="11"/>
                <w:color w:val="auto"/>
              </w:rPr>
              <w:t>Gross profit</w:t>
            </w:r>
          </w:p>
        </w:tc>
        <w:tc>
          <w:tcPr>
            <w:tcW w:w="34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172,573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152,497</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Operating expenses: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Store expenses</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110,555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100,803</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General and administrative</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16,543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15,476</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8,565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7,988</w:t>
            </w:r>
          </w:p>
        </w:tc>
      </w:tr>
      <w:tr>
        <w:trPr>
          <w:trHeight w:val="145"/>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Gain on sale or disposal of assets and other</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r>
      <w:tr>
        <w:trPr>
          <w:trHeight w:val="133"/>
        </w:trPr>
        <w:tc>
          <w:tcPr>
            <w:tcW w:w="834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Total operating expenses</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135,491</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124,251</w:t>
            </w:r>
          </w:p>
        </w:tc>
      </w:tr>
      <w:tr>
        <w:trPr>
          <w:trHeight w:val="132"/>
        </w:trPr>
        <w:tc>
          <w:tcPr>
            <w:tcW w:w="8340" w:type="dxa"/>
            <w:vAlign w:val="bottom"/>
          </w:tcPr>
          <w:p>
            <w:pPr>
              <w:ind w:left="380"/>
              <w:spacing w:after="0"/>
              <w:rPr>
                <w:sz w:val="20"/>
                <w:szCs w:val="20"/>
                <w:color w:val="auto"/>
              </w:rPr>
            </w:pPr>
            <w:r>
              <w:rPr>
                <w:rFonts w:ascii="Arial" w:cs="Arial" w:eastAsia="Arial" w:hAnsi="Arial"/>
                <w:sz w:val="11"/>
                <w:szCs w:val="11"/>
                <w:color w:val="auto"/>
              </w:rPr>
              <w:t>Operating income</w:t>
            </w:r>
          </w:p>
        </w:tc>
        <w:tc>
          <w:tcPr>
            <w:tcW w:w="34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37,082</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28,246</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Interest expense</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3,440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6,190</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Interest income</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(2,639)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(664)</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Equity in net income of unconsolidated affiliates</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(1,153)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(1,584)</w:t>
            </w:r>
          </w:p>
        </w:tc>
      </w:tr>
      <w:tr>
        <w:trPr>
          <w:trHeight w:val="145"/>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income</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w:t>
            </w:r>
          </w:p>
        </w:tc>
      </w:tr>
      <w:tr>
        <w:trPr>
          <w:trHeight w:val="132"/>
        </w:trPr>
        <w:tc>
          <w:tcPr>
            <w:tcW w:w="8340" w:type="dxa"/>
            <w:vAlign w:val="bottom"/>
          </w:tcPr>
          <w:p>
            <w:pPr>
              <w:ind w:left="40"/>
              <w:spacing w:after="0"/>
              <w:rPr>
                <w:sz w:val="20"/>
                <w:szCs w:val="20"/>
                <w:color w:val="auto"/>
              </w:rPr>
            </w:pPr>
            <w:r>
              <w:rPr>
                <w:rFonts w:ascii="Arial" w:cs="Arial" w:eastAsia="Arial" w:hAnsi="Arial"/>
                <w:sz w:val="11"/>
                <w:szCs w:val="11"/>
                <w:color w:val="auto"/>
              </w:rPr>
              <w:t>Income before income taxes</w:t>
            </w:r>
          </w:p>
        </w:tc>
        <w:tc>
          <w:tcPr>
            <w:tcW w:w="34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37,705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24,538</w:t>
            </w:r>
          </w:p>
        </w:tc>
      </w:tr>
      <w:tr>
        <w:trPr>
          <w:trHeight w:val="145"/>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Income tax expense</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9,235</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7,760</w:t>
            </w:r>
          </w:p>
        </w:tc>
      </w:tr>
      <w:tr>
        <w:trPr>
          <w:trHeight w:val="132"/>
        </w:trPr>
        <w:tc>
          <w:tcPr>
            <w:tcW w:w="8340" w:type="dxa"/>
            <w:vAlign w:val="bottom"/>
          </w:tcPr>
          <w:p>
            <w:pPr>
              <w:spacing w:after="0"/>
              <w:rPr>
                <w:sz w:val="20"/>
                <w:szCs w:val="20"/>
                <w:color w:val="auto"/>
              </w:rPr>
            </w:pPr>
            <w:r>
              <w:rPr>
                <w:rFonts w:ascii="Arial" w:cs="Arial" w:eastAsia="Arial" w:hAnsi="Arial"/>
                <w:sz w:val="11"/>
                <w:szCs w:val="11"/>
                <w:color w:val="auto"/>
              </w:rPr>
              <w:t>Net income</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28,470</w:t>
            </w:r>
          </w:p>
        </w:tc>
        <w:tc>
          <w:tcPr>
            <w:tcW w:w="80" w:type="dxa"/>
            <w:vAlign w:val="bottom"/>
          </w:tcPr>
          <w:p>
            <w:pPr>
              <w:spacing w:after="0"/>
              <w:rPr>
                <w:sz w:val="11"/>
                <w:szCs w:val="11"/>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16,778</w:t>
            </w:r>
          </w:p>
        </w:tc>
      </w:tr>
      <w:tr>
        <w:trPr>
          <w:trHeight w:val="288"/>
        </w:trPr>
        <w:tc>
          <w:tcPr>
            <w:tcW w:w="8340" w:type="dxa"/>
            <w:vAlign w:val="bottom"/>
          </w:tcPr>
          <w:p>
            <w:pPr>
              <w:spacing w:after="0"/>
              <w:rPr>
                <w:sz w:val="20"/>
                <w:szCs w:val="20"/>
                <w:color w:val="auto"/>
              </w:rPr>
            </w:pPr>
            <w:r>
              <w:rPr>
                <w:rFonts w:ascii="Arial" w:cs="Arial" w:eastAsia="Arial" w:hAnsi="Arial"/>
                <w:sz w:val="11"/>
                <w:szCs w:val="11"/>
                <w:color w:val="auto"/>
              </w:rPr>
              <w:t>Basic earnings per share</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0.52</w:t>
            </w:r>
          </w:p>
        </w:tc>
        <w:tc>
          <w:tcPr>
            <w:tcW w:w="80" w:type="dxa"/>
            <w:vAlign w:val="bottom"/>
          </w:tcPr>
          <w:p>
            <w:pPr>
              <w:spacing w:after="0"/>
              <w:rPr>
                <w:sz w:val="24"/>
                <w:szCs w:val="24"/>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0.30</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Diluted earnings per share</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0.36</w:t>
            </w:r>
          </w:p>
        </w:tc>
        <w:tc>
          <w:tcPr>
            <w:tcW w:w="80" w:type="dxa"/>
            <w:vAlign w:val="bottom"/>
          </w:tcPr>
          <w:p>
            <w:pPr>
              <w:spacing w:after="0"/>
              <w:rPr>
                <w:sz w:val="12"/>
                <w:szCs w:val="12"/>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0.25</w:t>
            </w:r>
          </w:p>
        </w:tc>
      </w:tr>
      <w:tr>
        <w:trPr>
          <w:trHeight w:val="288"/>
        </w:trPr>
        <w:tc>
          <w:tcPr>
            <w:tcW w:w="8340" w:type="dxa"/>
            <w:vAlign w:val="bottom"/>
          </w:tcPr>
          <w:p>
            <w:pPr>
              <w:spacing w:after="0"/>
              <w:rPr>
                <w:sz w:val="20"/>
                <w:szCs w:val="20"/>
                <w:color w:val="auto"/>
              </w:rPr>
            </w:pPr>
            <w:r>
              <w:rPr>
                <w:rFonts w:ascii="Arial" w:cs="Arial" w:eastAsia="Arial" w:hAnsi="Arial"/>
                <w:sz w:val="11"/>
                <w:szCs w:val="11"/>
                <w:color w:val="auto"/>
              </w:rPr>
              <w:t>Weighted-average basic shares outstanding</w:t>
            </w:r>
          </w:p>
        </w:tc>
        <w:tc>
          <w:tcPr>
            <w:tcW w:w="34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55,076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56,308</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Weighted-average diluted shares outstanding</w:t>
            </w: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86,812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83,779</w:t>
            </w:r>
          </w:p>
        </w:tc>
      </w:tr>
    </w:tbl>
    <w:p>
      <w:pPr>
        <w:sectPr>
          <w:pgSz w:w="11900" w:h="16838" w:orient="portrait"/>
          <w:cols w:equalWidth="0" w:num="1">
            <w:col w:w="11300"/>
          </w:cols>
          <w:pgMar w:left="300" w:top="667"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EZCORP,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20" w:type="dxa"/>
            <w:vAlign w:val="bottom"/>
            <w:vMerge w:val="restart"/>
          </w:tcPr>
          <w:p>
            <w:pPr>
              <w:spacing w:after="0"/>
              <w:rPr>
                <w:sz w:val="20"/>
                <w:szCs w:val="20"/>
                <w:color w:val="auto"/>
              </w:rPr>
            </w:pPr>
            <w:r>
              <w:rPr>
                <w:rFonts w:ascii="Arial" w:cs="Arial" w:eastAsia="Arial" w:hAnsi="Arial"/>
                <w:sz w:val="11"/>
                <w:szCs w:val="11"/>
                <w:color w:val="auto"/>
              </w:rPr>
              <w:t>(in thousands, except share and per share amounts)</w:t>
            </w:r>
          </w:p>
        </w:tc>
        <w:tc>
          <w:tcPr>
            <w:tcW w:w="220" w:type="dxa"/>
            <w:vAlign w:val="bottom"/>
          </w:tcPr>
          <w:p>
            <w:pPr>
              <w:spacing w:after="0"/>
              <w:rPr>
                <w:sz w:val="10"/>
                <w:szCs w:val="10"/>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10"/>
                <w:szCs w:val="10"/>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200" w:type="dxa"/>
            <w:vAlign w:val="bottom"/>
          </w:tcPr>
          <w:p>
            <w:pPr>
              <w:spacing w:after="0"/>
              <w:rPr>
                <w:sz w:val="10"/>
                <w:szCs w:val="10"/>
                <w:color w:val="auto"/>
              </w:rPr>
            </w:pPr>
          </w:p>
        </w:tc>
        <w:tc>
          <w:tcPr>
            <w:tcW w:w="1240" w:type="dxa"/>
            <w:vAlign w:val="bottom"/>
          </w:tcPr>
          <w:p>
            <w:pPr>
              <w:jc w:val="right"/>
              <w:ind w:right="306"/>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144"/>
        </w:trPr>
        <w:tc>
          <w:tcPr>
            <w:tcW w:w="68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8"/>
        </w:trPr>
        <w:tc>
          <w:tcPr>
            <w:tcW w:w="6820" w:type="dxa"/>
            <w:vAlign w:val="bottom"/>
          </w:tcPr>
          <w:p>
            <w:pPr>
              <w:spacing w:after="0"/>
              <w:rPr>
                <w:sz w:val="20"/>
                <w:szCs w:val="20"/>
                <w:color w:val="auto"/>
              </w:rPr>
            </w:pPr>
            <w:r>
              <w:rPr>
                <w:rFonts w:ascii="Arial" w:cs="Arial" w:eastAsia="Arial" w:hAnsi="Arial"/>
                <w:sz w:val="11"/>
                <w:szCs w:val="11"/>
                <w:color w:val="auto"/>
              </w:rPr>
              <w:t>Assets: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20" w:type="dxa"/>
            <w:vAlign w:val="bottom"/>
          </w:tcPr>
          <w:p>
            <w:pPr>
              <w:ind w:left="140"/>
              <w:spacing w:after="0"/>
              <w:rPr>
                <w:sz w:val="20"/>
                <w:szCs w:val="20"/>
                <w:color w:val="auto"/>
              </w:rPr>
            </w:pPr>
            <w:r>
              <w:rPr>
                <w:rFonts w:ascii="Arial" w:cs="Arial" w:eastAsia="Arial" w:hAnsi="Arial"/>
                <w:sz w:val="11"/>
                <w:szCs w:val="11"/>
                <w:color w:val="auto"/>
              </w:rPr>
              <w:t>Current assets: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Cash and cash equivalents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218,516</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207,658</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220,595</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Restricted cash</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8,470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8,359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8,373</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Pawn loans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243,252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209,855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245,766</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Pawn service charges receivable,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40,002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34,921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38,885</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Inventory,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164,927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156,064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166,477</w:t>
            </w:r>
          </w:p>
        </w:tc>
        <w:tc>
          <w:tcPr>
            <w:tcW w:w="0" w:type="dxa"/>
            <w:vAlign w:val="bottom"/>
          </w:tcPr>
          <w:p>
            <w:pPr>
              <w:spacing w:after="0"/>
              <w:rPr>
                <w:sz w:val="1"/>
                <w:szCs w:val="1"/>
                <w:color w:val="auto"/>
              </w:rPr>
            </w:pPr>
          </w:p>
        </w:tc>
      </w:tr>
      <w:tr>
        <w:trPr>
          <w:trHeight w:val="145"/>
        </w:trPr>
        <w:tc>
          <w:tcPr>
            <w:tcW w:w="682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44,001</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45,559</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39,623</w:t>
            </w:r>
          </w:p>
        </w:tc>
        <w:tc>
          <w:tcPr>
            <w:tcW w:w="0" w:type="dxa"/>
            <w:vAlign w:val="bottom"/>
          </w:tcPr>
          <w:p>
            <w:pPr>
              <w:spacing w:after="0"/>
              <w:rPr>
                <w:sz w:val="1"/>
                <w:szCs w:val="1"/>
                <w:color w:val="auto"/>
              </w:rPr>
            </w:pPr>
          </w:p>
        </w:tc>
      </w:tr>
      <w:tr>
        <w:trPr>
          <w:trHeight w:val="132"/>
        </w:trPr>
        <w:tc>
          <w:tcPr>
            <w:tcW w:w="6820" w:type="dxa"/>
            <w:vAlign w:val="bottom"/>
          </w:tcPr>
          <w:p>
            <w:pPr>
              <w:ind w:left="440"/>
              <w:spacing w:after="0"/>
              <w:rPr>
                <w:sz w:val="20"/>
                <w:szCs w:val="20"/>
                <w:color w:val="auto"/>
              </w:rPr>
            </w:pPr>
            <w:r>
              <w:rPr>
                <w:rFonts w:ascii="Arial" w:cs="Arial" w:eastAsia="Arial" w:hAnsi="Arial"/>
                <w:sz w:val="11"/>
                <w:szCs w:val="11"/>
                <w:color w:val="auto"/>
              </w:rPr>
              <w:t>Total current assets</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719,168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662,416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719,719</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Investments in unconsolidated affiliates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10,125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37,789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10,987</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Other investments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51,220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39,220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36,220</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Property and equipment,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68,998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55,612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68,096</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Right-of-use assets,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231,103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229,991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234,388</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Goodwill</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303,799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297,361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302,372</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Intangible assets,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56,977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58,029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58,216</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Notes receivable, net</w:t>
            </w:r>
          </w:p>
        </w:tc>
        <w:tc>
          <w:tcPr>
            <w:tcW w:w="22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Deferred tax asset,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25,984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12,428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25,702</w:t>
            </w:r>
          </w:p>
        </w:tc>
        <w:tc>
          <w:tcPr>
            <w:tcW w:w="0" w:type="dxa"/>
            <w:vAlign w:val="bottom"/>
          </w:tcPr>
          <w:p>
            <w:pPr>
              <w:spacing w:after="0"/>
              <w:rPr>
                <w:sz w:val="1"/>
                <w:szCs w:val="1"/>
                <w:color w:val="auto"/>
              </w:rPr>
            </w:pPr>
          </w:p>
        </w:tc>
      </w:tr>
      <w:tr>
        <w:trPr>
          <w:trHeight w:val="145"/>
        </w:trPr>
        <w:tc>
          <w:tcPr>
            <w:tcW w:w="68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Other assets, net</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13,819</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8,245</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12,011</w:t>
            </w:r>
          </w:p>
        </w:tc>
        <w:tc>
          <w:tcPr>
            <w:tcW w:w="0" w:type="dxa"/>
            <w:vAlign w:val="bottom"/>
          </w:tcPr>
          <w:p>
            <w:pPr>
              <w:spacing w:after="0"/>
              <w:rPr>
                <w:sz w:val="1"/>
                <w:szCs w:val="1"/>
                <w:color w:val="auto"/>
              </w:rPr>
            </w:pPr>
          </w:p>
        </w:tc>
      </w:tr>
      <w:tr>
        <w:trPr>
          <w:trHeight w:val="133"/>
        </w:trPr>
        <w:tc>
          <w:tcPr>
            <w:tcW w:w="68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Total assets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1,481,193</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1,402,315</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1,467,711</w:t>
            </w:r>
          </w:p>
        </w:tc>
        <w:tc>
          <w:tcPr>
            <w:tcW w:w="0" w:type="dxa"/>
            <w:vAlign w:val="bottom"/>
          </w:tcPr>
          <w:p>
            <w:pPr>
              <w:spacing w:after="0"/>
              <w:rPr>
                <w:sz w:val="1"/>
                <w:szCs w:val="1"/>
                <w:color w:val="auto"/>
              </w:rPr>
            </w:pPr>
          </w:p>
        </w:tc>
      </w:tr>
      <w:tr>
        <w:trPr>
          <w:trHeight w:val="204"/>
        </w:trPr>
        <w:tc>
          <w:tcPr>
            <w:tcW w:w="6820" w:type="dxa"/>
            <w:vAlign w:val="bottom"/>
          </w:tcPr>
          <w:p>
            <w:pPr>
              <w:spacing w:after="0"/>
              <w:rPr>
                <w:sz w:val="20"/>
                <w:szCs w:val="20"/>
                <w:color w:val="auto"/>
              </w:rPr>
            </w:pPr>
            <w:r>
              <w:rPr>
                <w:rFonts w:ascii="Arial" w:cs="Arial" w:eastAsia="Arial" w:hAnsi="Arial"/>
                <w:sz w:val="11"/>
                <w:szCs w:val="11"/>
                <w:color w:val="auto"/>
              </w:rPr>
              <w:t>Liabilities and equity:</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820" w:type="dxa"/>
            <w:vAlign w:val="bottom"/>
          </w:tcPr>
          <w:p>
            <w:pPr>
              <w:ind w:left="140"/>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Current maturities of long-term debt, net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34,307</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34,265</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Accounts payable, accrued expenses and other current liabilities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69,386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69,930</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81,605</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Customer layaway deposits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18,324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16,276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18,920</w:t>
            </w:r>
          </w:p>
        </w:tc>
        <w:tc>
          <w:tcPr>
            <w:tcW w:w="0" w:type="dxa"/>
            <w:vAlign w:val="bottom"/>
          </w:tcPr>
          <w:p>
            <w:pPr>
              <w:spacing w:after="0"/>
              <w:rPr>
                <w:sz w:val="1"/>
                <w:szCs w:val="1"/>
                <w:color w:val="auto"/>
              </w:rPr>
            </w:pPr>
          </w:p>
        </w:tc>
      </w:tr>
      <w:tr>
        <w:trPr>
          <w:trHeight w:val="145"/>
        </w:trPr>
        <w:tc>
          <w:tcPr>
            <w:tcW w:w="682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Operating lease liabilities, current</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57,980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52,799</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57,182</w:t>
            </w:r>
          </w:p>
        </w:tc>
        <w:tc>
          <w:tcPr>
            <w:tcW w:w="0" w:type="dxa"/>
            <w:vAlign w:val="bottom"/>
          </w:tcPr>
          <w:p>
            <w:pPr>
              <w:spacing w:after="0"/>
              <w:rPr>
                <w:sz w:val="1"/>
                <w:szCs w:val="1"/>
                <w:color w:val="auto"/>
              </w:rPr>
            </w:pPr>
          </w:p>
        </w:tc>
      </w:tr>
      <w:tr>
        <w:trPr>
          <w:trHeight w:val="132"/>
        </w:trPr>
        <w:tc>
          <w:tcPr>
            <w:tcW w:w="6820" w:type="dxa"/>
            <w:vAlign w:val="bottom"/>
          </w:tcPr>
          <w:p>
            <w:pPr>
              <w:ind w:left="440"/>
              <w:spacing w:after="0"/>
              <w:rPr>
                <w:sz w:val="20"/>
                <w:szCs w:val="20"/>
                <w:color w:val="auto"/>
              </w:rPr>
            </w:pPr>
            <w:r>
              <w:rPr>
                <w:rFonts w:ascii="Arial" w:cs="Arial" w:eastAsia="Arial" w:hAnsi="Arial"/>
                <w:sz w:val="11"/>
                <w:szCs w:val="11"/>
                <w:color w:val="auto"/>
              </w:rPr>
              <w:t>Total current liabilities</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179,997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139,005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191,972</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Long-term debt,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326,223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358,984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325,847</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Deferred tax liability, net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372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435</w:t>
            </w:r>
          </w:p>
        </w:tc>
        <w:tc>
          <w:tcPr>
            <w:tcW w:w="0" w:type="dxa"/>
            <w:vAlign w:val="bottom"/>
          </w:tcPr>
          <w:p>
            <w:pPr>
              <w:spacing w:after="0"/>
              <w:rPr>
                <w:sz w:val="1"/>
                <w:szCs w:val="1"/>
                <w:color w:val="auto"/>
              </w:rPr>
            </w:pPr>
          </w:p>
        </w:tc>
      </w:tr>
      <w:tr>
        <w:trPr>
          <w:trHeight w:val="144"/>
        </w:trPr>
        <w:tc>
          <w:tcPr>
            <w:tcW w:w="6820" w:type="dxa"/>
            <w:vAlign w:val="bottom"/>
          </w:tcPr>
          <w:p>
            <w:pPr>
              <w:ind w:left="160"/>
              <w:spacing w:after="0"/>
              <w:rPr>
                <w:sz w:val="20"/>
                <w:szCs w:val="20"/>
                <w:color w:val="auto"/>
              </w:rPr>
            </w:pPr>
            <w:r>
              <w:rPr>
                <w:rFonts w:ascii="Arial" w:cs="Arial" w:eastAsia="Arial" w:hAnsi="Arial"/>
                <w:sz w:val="11"/>
                <w:szCs w:val="11"/>
                <w:color w:val="auto"/>
              </w:rPr>
              <w:t>Operating lease liabilities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188,475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188,730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193,187</w:t>
            </w:r>
          </w:p>
        </w:tc>
        <w:tc>
          <w:tcPr>
            <w:tcW w:w="0" w:type="dxa"/>
            <w:vAlign w:val="bottom"/>
          </w:tcPr>
          <w:p>
            <w:pPr>
              <w:spacing w:after="0"/>
              <w:rPr>
                <w:sz w:val="1"/>
                <w:szCs w:val="1"/>
                <w:color w:val="auto"/>
              </w:rPr>
            </w:pPr>
          </w:p>
        </w:tc>
      </w:tr>
      <w:tr>
        <w:trPr>
          <w:trHeight w:val="145"/>
        </w:trPr>
        <w:tc>
          <w:tcPr>
            <w:tcW w:w="68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Other long-term liabilities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11,243</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10,261</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10,502</w:t>
            </w:r>
          </w:p>
        </w:tc>
        <w:tc>
          <w:tcPr>
            <w:tcW w:w="0" w:type="dxa"/>
            <w:vAlign w:val="bottom"/>
          </w:tcPr>
          <w:p>
            <w:pPr>
              <w:spacing w:after="0"/>
              <w:rPr>
                <w:sz w:val="1"/>
                <w:szCs w:val="1"/>
                <w:color w:val="auto"/>
              </w:rPr>
            </w:pPr>
          </w:p>
        </w:tc>
      </w:tr>
      <w:tr>
        <w:trPr>
          <w:trHeight w:val="132"/>
        </w:trPr>
        <w:tc>
          <w:tcPr>
            <w:tcW w:w="6820" w:type="dxa"/>
            <w:vAlign w:val="bottom"/>
          </w:tcPr>
          <w:p>
            <w:pPr>
              <w:ind w:left="440"/>
              <w:spacing w:after="0"/>
              <w:rPr>
                <w:sz w:val="20"/>
                <w:szCs w:val="20"/>
                <w:color w:val="auto"/>
              </w:rPr>
            </w:pPr>
            <w:r>
              <w:rPr>
                <w:rFonts w:ascii="Arial" w:cs="Arial" w:eastAsia="Arial" w:hAnsi="Arial"/>
                <w:sz w:val="11"/>
                <w:szCs w:val="11"/>
                <w:color w:val="auto"/>
              </w:rPr>
              <w:t>Total liabilities</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706,310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696,980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721,943</w:t>
            </w:r>
          </w:p>
        </w:tc>
        <w:tc>
          <w:tcPr>
            <w:tcW w:w="0" w:type="dxa"/>
            <w:vAlign w:val="bottom"/>
          </w:tcPr>
          <w:p>
            <w:pPr>
              <w:spacing w:after="0"/>
              <w:rPr>
                <w:sz w:val="1"/>
                <w:szCs w:val="1"/>
                <w:color w:val="auto"/>
              </w:rPr>
            </w:pPr>
          </w:p>
        </w:tc>
      </w:tr>
      <w:tr>
        <w:trPr>
          <w:trHeight w:val="144"/>
        </w:trPr>
        <w:tc>
          <w:tcPr>
            <w:tcW w:w="6820" w:type="dxa"/>
            <w:vAlign w:val="bottom"/>
          </w:tcPr>
          <w:p>
            <w:pPr>
              <w:ind w:left="140"/>
              <w:spacing w:after="0"/>
              <w:rPr>
                <w:sz w:val="20"/>
                <w:szCs w:val="20"/>
                <w:color w:val="auto"/>
              </w:rPr>
            </w:pPr>
            <w:r>
              <w:rPr>
                <w:rFonts w:ascii="Arial" w:cs="Arial" w:eastAsia="Arial" w:hAnsi="Arial"/>
                <w:sz w:val="11"/>
                <w:szCs w:val="11"/>
                <w:color w:val="auto"/>
              </w:rPr>
              <w:t>Commitments and contingencies (Note 9)</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20" w:type="dxa"/>
            <w:vAlign w:val="bottom"/>
          </w:tcPr>
          <w:p>
            <w:pPr>
              <w:ind w:left="140"/>
              <w:spacing w:after="0"/>
              <w:rPr>
                <w:sz w:val="20"/>
                <w:szCs w:val="20"/>
                <w:color w:val="auto"/>
              </w:rPr>
            </w:pPr>
            <w:r>
              <w:rPr>
                <w:rFonts w:ascii="Arial" w:cs="Arial" w:eastAsia="Arial" w:hAnsi="Arial"/>
                <w:sz w:val="11"/>
                <w:szCs w:val="11"/>
                <w:color w:val="auto"/>
              </w:rPr>
              <w:t>Stockholders’ equity:</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820" w:type="dxa"/>
            <w:vAlign w:val="bottom"/>
          </w:tcPr>
          <w:p>
            <w:pPr>
              <w:ind w:left="300"/>
              <w:spacing w:after="0" w:line="111" w:lineRule="exact"/>
              <w:rPr>
                <w:sz w:val="20"/>
                <w:szCs w:val="20"/>
                <w:color w:val="auto"/>
              </w:rPr>
            </w:pPr>
            <w:r>
              <w:rPr>
                <w:rFonts w:ascii="Arial" w:cs="Arial" w:eastAsia="Arial" w:hAnsi="Arial"/>
                <w:sz w:val="11"/>
                <w:szCs w:val="11"/>
                <w:color w:val="auto"/>
                <w:w w:val="99"/>
              </w:rPr>
              <w:t>Class A Non-voting Common Stock, par value $0.01 per share; shares authorized: 100 million; issued and outstanding : 52,272,594 as</w:t>
            </w:r>
          </w:p>
        </w:tc>
        <w:tc>
          <w:tcPr>
            <w:tcW w:w="2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523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529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r>
        <w:trPr>
          <w:trHeight w:val="142"/>
        </w:trPr>
        <w:tc>
          <w:tcPr>
            <w:tcW w:w="6820" w:type="dxa"/>
            <w:vAlign w:val="bottom"/>
          </w:tcPr>
          <w:p>
            <w:pPr>
              <w:ind w:left="300"/>
              <w:spacing w:after="0"/>
              <w:rPr>
                <w:sz w:val="20"/>
                <w:szCs w:val="20"/>
                <w:color w:val="auto"/>
              </w:rPr>
            </w:pPr>
            <w:r>
              <w:rPr>
                <w:rFonts w:ascii="Arial" w:cs="Arial" w:eastAsia="Arial" w:hAnsi="Arial"/>
                <w:sz w:val="11"/>
                <w:szCs w:val="11"/>
                <w:color w:val="auto"/>
              </w:rPr>
              <w:t>of December 31, 2023; 52,877,930 as of December 31, 2022; and 51,869,569 as of September 30, 2023</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w w:val="99"/>
              </w:rPr>
              <w:t>Class B Voting Common Stock, convertible, par value $0.01 per share; shares authorized: 3 million; issued and outstanding: 2,970,171</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343,870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343,012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346,181</w:t>
            </w:r>
          </w:p>
        </w:tc>
        <w:tc>
          <w:tcPr>
            <w:tcW w:w="0" w:type="dxa"/>
            <w:vAlign w:val="bottom"/>
          </w:tcPr>
          <w:p>
            <w:pPr>
              <w:spacing w:after="0"/>
              <w:rPr>
                <w:sz w:val="1"/>
                <w:szCs w:val="1"/>
                <w:color w:val="auto"/>
              </w:rPr>
            </w:pPr>
          </w:p>
        </w:tc>
      </w:tr>
      <w:tr>
        <w:trPr>
          <w:trHeight w:val="144"/>
        </w:trPr>
        <w:tc>
          <w:tcPr>
            <w:tcW w:w="6820" w:type="dxa"/>
            <w:vAlign w:val="bottom"/>
          </w:tcPr>
          <w:p>
            <w:pPr>
              <w:ind w:left="300"/>
              <w:spacing w:after="0"/>
              <w:rPr>
                <w:sz w:val="20"/>
                <w:szCs w:val="20"/>
                <w:color w:val="auto"/>
              </w:rPr>
            </w:pPr>
            <w:r>
              <w:rPr>
                <w:rFonts w:ascii="Arial" w:cs="Arial" w:eastAsia="Arial" w:hAnsi="Arial"/>
                <w:sz w:val="11"/>
                <w:szCs w:val="11"/>
                <w:color w:val="auto"/>
              </w:rPr>
              <w:t>Retained earnings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457,929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414,929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431,140</w:t>
            </w:r>
          </w:p>
        </w:tc>
        <w:tc>
          <w:tcPr>
            <w:tcW w:w="0" w:type="dxa"/>
            <w:vAlign w:val="bottom"/>
          </w:tcPr>
          <w:p>
            <w:pPr>
              <w:spacing w:after="0"/>
              <w:rPr>
                <w:sz w:val="1"/>
                <w:szCs w:val="1"/>
                <w:color w:val="auto"/>
              </w:rPr>
            </w:pPr>
          </w:p>
        </w:tc>
      </w:tr>
      <w:tr>
        <w:trPr>
          <w:trHeight w:val="145"/>
        </w:trPr>
        <w:tc>
          <w:tcPr>
            <w:tcW w:w="682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Accumulated other comprehensive loss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(27,469)</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(53,165)</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(32,102)</w:t>
            </w:r>
          </w:p>
        </w:tc>
        <w:tc>
          <w:tcPr>
            <w:tcW w:w="0" w:type="dxa"/>
            <w:vAlign w:val="bottom"/>
          </w:tcPr>
          <w:p>
            <w:pPr>
              <w:spacing w:after="0"/>
              <w:rPr>
                <w:sz w:val="1"/>
                <w:szCs w:val="1"/>
                <w:color w:val="auto"/>
              </w:rPr>
            </w:pPr>
          </w:p>
        </w:tc>
      </w:tr>
      <w:tr>
        <w:trPr>
          <w:trHeight w:val="133"/>
        </w:trPr>
        <w:tc>
          <w:tcPr>
            <w:tcW w:w="6820" w:type="dxa"/>
            <w:vAlign w:val="bottom"/>
            <w:tcBorders>
              <w:bottom w:val="single" w:sz="8" w:color="auto"/>
            </w:tcBorders>
          </w:tcPr>
          <w:p>
            <w:pPr>
              <w:ind w:left="440"/>
              <w:spacing w:after="0"/>
              <w:rPr>
                <w:sz w:val="20"/>
                <w:szCs w:val="20"/>
                <w:color w:val="auto"/>
              </w:rPr>
            </w:pPr>
            <w:r>
              <w:rPr>
                <w:rFonts w:ascii="Arial" w:cs="Arial" w:eastAsia="Arial" w:hAnsi="Arial"/>
                <w:sz w:val="11"/>
                <w:szCs w:val="11"/>
                <w:color w:val="auto"/>
              </w:rPr>
              <w:t>Total equity</w:t>
            </w: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774,883</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705,335</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745,768</w:t>
            </w:r>
          </w:p>
        </w:tc>
        <w:tc>
          <w:tcPr>
            <w:tcW w:w="0" w:type="dxa"/>
            <w:vAlign w:val="bottom"/>
          </w:tcPr>
          <w:p>
            <w:pPr>
              <w:spacing w:after="0"/>
              <w:rPr>
                <w:sz w:val="1"/>
                <w:szCs w:val="1"/>
                <w:color w:val="auto"/>
              </w:rPr>
            </w:pPr>
          </w:p>
        </w:tc>
      </w:tr>
      <w:tr>
        <w:trPr>
          <w:trHeight w:val="133"/>
        </w:trPr>
        <w:tc>
          <w:tcPr>
            <w:tcW w:w="68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Total liabilities and equity</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1,481,193</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1,402,315</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1,467,711</w:t>
            </w:r>
          </w:p>
        </w:tc>
        <w:tc>
          <w:tcPr>
            <w:tcW w:w="0" w:type="dxa"/>
            <w:vAlign w:val="bottom"/>
          </w:tcPr>
          <w:p>
            <w:pPr>
              <w:spacing w:after="0"/>
              <w:rPr>
                <w:sz w:val="1"/>
                <w:szCs w:val="1"/>
                <w:color w:val="auto"/>
              </w:rPr>
            </w:pPr>
          </w:p>
        </w:tc>
      </w:tr>
    </w:tbl>
    <w:p>
      <w:pPr>
        <w:sectPr>
          <w:pgSz w:w="11900" w:h="16838" w:orient="portrait"/>
          <w:cols w:equalWidth="0" w:num="1">
            <w:col w:w="11300"/>
          </w:cols>
          <w:pgMar w:left="300" w:top="883"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EZCORP,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r>
      <w:tr>
        <w:trPr>
          <w:trHeight w:val="144"/>
        </w:trPr>
        <w:tc>
          <w:tcPr>
            <w:tcW w:w="8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33"/>
        </w:trPr>
        <w:tc>
          <w:tcPr>
            <w:tcW w:w="8340" w:type="dxa"/>
            <w:vAlign w:val="bottom"/>
          </w:tcPr>
          <w:p>
            <w:pPr>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2022</w:t>
            </w:r>
          </w:p>
        </w:tc>
      </w:tr>
      <w:tr>
        <w:trPr>
          <w:trHeight w:val="158"/>
        </w:trPr>
        <w:tc>
          <w:tcPr>
            <w:tcW w:w="8340" w:type="dxa"/>
            <w:vAlign w:val="bottom"/>
          </w:tcPr>
          <w:p>
            <w:pPr>
              <w:spacing w:after="0"/>
              <w:rPr>
                <w:sz w:val="20"/>
                <w:szCs w:val="20"/>
                <w:color w:val="auto"/>
              </w:rPr>
            </w:pPr>
            <w:r>
              <w:rPr>
                <w:rFonts w:ascii="Arial" w:cs="Arial" w:eastAsia="Arial" w:hAnsi="Arial"/>
                <w:sz w:val="11"/>
                <w:szCs w:val="11"/>
                <w:color w:val="auto"/>
              </w:rPr>
              <w:t>Operating activities: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28,470</w:t>
            </w:r>
          </w:p>
        </w:tc>
        <w:tc>
          <w:tcPr>
            <w:tcW w:w="580" w:type="dxa"/>
            <w:vAlign w:val="bottom"/>
          </w:tcPr>
          <w:p>
            <w:pPr>
              <w:jc w:val="right"/>
              <w:ind w:right="40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16,778</w:t>
            </w:r>
          </w:p>
        </w:tc>
      </w:tr>
      <w:tr>
        <w:trPr>
          <w:trHeight w:val="144"/>
        </w:trPr>
        <w:tc>
          <w:tcPr>
            <w:tcW w:w="8340" w:type="dxa"/>
            <w:vAlign w:val="bottom"/>
          </w:tcPr>
          <w:p>
            <w:pPr>
              <w:ind w:left="160"/>
              <w:spacing w:after="0"/>
              <w:rPr>
                <w:sz w:val="20"/>
                <w:szCs w:val="20"/>
                <w:color w:val="auto"/>
              </w:rPr>
            </w:pPr>
            <w:r>
              <w:rPr>
                <w:rFonts w:ascii="Arial" w:cs="Arial" w:eastAsia="Arial" w:hAnsi="Arial"/>
                <w:sz w:val="11"/>
                <w:szCs w:val="11"/>
                <w:color w:val="auto"/>
              </w:rPr>
              <w:t>Adjustments to reconcile net income to net cash flows from operating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8,565</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7,988</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Amortization of debt discount and deferred financing costs</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417</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378</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Non-cash lease expense</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14,744</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13,596</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Deferred income taxes</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345</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656</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Other adjustments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(857)</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(91)</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Provision for inventory reserve</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(156)</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532</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Stock compensation expense</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2,264</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1,886</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Equity in net income from investment in unconsolidated affiliates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(1,153)</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(1,584)</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Net loss on extinguishment of debt</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3,545</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 net of business acquisitions: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Pawn service charges receivable</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(1,000)</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(691)</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Inventory</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2,066</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(1,881)</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Prepaid expenses, other current assets and other assets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(5,823)</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(2,280)</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Accounts payable, accrued expenses and other liabilities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(33,991)</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(34,761)</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Customer layaway deposits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(719)</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(752)</w:t>
            </w:r>
          </w:p>
        </w:tc>
      </w:tr>
      <w:tr>
        <w:trPr>
          <w:trHeight w:val="144"/>
        </w:trPr>
        <w:tc>
          <w:tcPr>
            <w:tcW w:w="8340" w:type="dxa"/>
            <w:vAlign w:val="bottom"/>
          </w:tcPr>
          <w:p>
            <w:pPr>
              <w:ind w:left="220"/>
              <w:spacing w:after="0"/>
              <w:rPr>
                <w:sz w:val="20"/>
                <w:szCs w:val="20"/>
                <w:color w:val="auto"/>
              </w:rPr>
            </w:pPr>
            <w:r>
              <w:rPr>
                <w:rFonts w:ascii="Arial" w:cs="Arial" w:eastAsia="Arial" w:hAnsi="Arial"/>
                <w:sz w:val="11"/>
                <w:szCs w:val="11"/>
                <w:color w:val="auto"/>
              </w:rPr>
              <w:t>Income taxes</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8,309</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6,574</w:t>
            </w:r>
          </w:p>
        </w:tc>
      </w:tr>
      <w:tr>
        <w:trPr>
          <w:trHeight w:val="145"/>
        </w:trPr>
        <w:tc>
          <w:tcPr>
            <w:tcW w:w="834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Dividends from unconsolidated affiliates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1,775</w:t>
            </w:r>
          </w:p>
        </w:tc>
      </w:tr>
      <w:tr>
        <w:trPr>
          <w:trHeight w:val="132"/>
        </w:trPr>
        <w:tc>
          <w:tcPr>
            <w:tcW w:w="8340" w:type="dxa"/>
            <w:vAlign w:val="bottom"/>
          </w:tcPr>
          <w:p>
            <w:pPr>
              <w:ind w:left="520"/>
              <w:spacing w:after="0"/>
              <w:rPr>
                <w:sz w:val="20"/>
                <w:szCs w:val="20"/>
                <w:color w:val="auto"/>
              </w:rPr>
            </w:pPr>
            <w:r>
              <w:rPr>
                <w:rFonts w:ascii="Arial" w:cs="Arial" w:eastAsia="Arial" w:hAnsi="Arial"/>
                <w:sz w:val="11"/>
                <w:szCs w:val="11"/>
                <w:color w:val="auto"/>
              </w:rPr>
              <w:t>Net cash provided by operating activities</w:t>
            </w:r>
          </w:p>
        </w:tc>
        <w:tc>
          <w:tcPr>
            <w:tcW w:w="340" w:type="dxa"/>
            <w:vAlign w:val="bottom"/>
          </w:tcPr>
          <w:p>
            <w:pPr>
              <w:spacing w:after="0"/>
              <w:rPr>
                <w:sz w:val="11"/>
                <w:szCs w:val="11"/>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21,481</w:t>
            </w:r>
          </w:p>
        </w:tc>
        <w:tc>
          <w:tcPr>
            <w:tcW w:w="5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11,668</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Investing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Loans made</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(216,978)</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(189,074)</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Loans repaid</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123,021</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109,125</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Recovery of pawn loan principal through sale of forfeited collateral</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98,209</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88,030</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Capital expenditures, net</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(7,184)</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(7,182)</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Acquisitions, net of cash acquired</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(677)</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(12,884)</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Issuance of notes receivable</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(15,500)</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Investment in unconsolidated affiliate</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(2,133)</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Investment in other investments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(15,000)</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(15,000)</w:t>
            </w:r>
          </w:p>
        </w:tc>
      </w:tr>
      <w:tr>
        <w:trPr>
          <w:trHeight w:val="145"/>
        </w:trPr>
        <w:tc>
          <w:tcPr>
            <w:tcW w:w="834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Dividends from unconsolidated affiliates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1,745</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2"/>
        </w:trPr>
        <w:tc>
          <w:tcPr>
            <w:tcW w:w="8340" w:type="dxa"/>
            <w:vAlign w:val="bottom"/>
          </w:tcPr>
          <w:p>
            <w:pPr>
              <w:ind w:left="520"/>
              <w:spacing w:after="0"/>
              <w:rPr>
                <w:sz w:val="20"/>
                <w:szCs w:val="20"/>
                <w:color w:val="auto"/>
              </w:rPr>
            </w:pPr>
            <w:r>
              <w:rPr>
                <w:rFonts w:ascii="Arial" w:cs="Arial" w:eastAsia="Arial" w:hAnsi="Arial"/>
                <w:sz w:val="11"/>
                <w:szCs w:val="11"/>
                <w:color w:val="auto"/>
              </w:rPr>
              <w:t>Net cash used in investing activities</w:t>
            </w:r>
          </w:p>
        </w:tc>
        <w:tc>
          <w:tcPr>
            <w:tcW w:w="34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(16,864)</w:t>
            </w: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(44,618)</w:t>
            </w:r>
          </w:p>
        </w:tc>
      </w:tr>
      <w:tr>
        <w:trPr>
          <w:trHeight w:val="144"/>
        </w:trPr>
        <w:tc>
          <w:tcPr>
            <w:tcW w:w="8340" w:type="dxa"/>
            <w:vAlign w:val="bottom"/>
          </w:tcPr>
          <w:p>
            <w:pPr>
              <w:spacing w:after="0"/>
              <w:rPr>
                <w:sz w:val="20"/>
                <w:szCs w:val="20"/>
                <w:color w:val="auto"/>
              </w:rPr>
            </w:pPr>
            <w:r>
              <w:rPr>
                <w:rFonts w:ascii="Arial" w:cs="Arial" w:eastAsia="Arial" w:hAnsi="Arial"/>
                <w:sz w:val="11"/>
                <w:szCs w:val="11"/>
                <w:color w:val="auto"/>
              </w:rPr>
              <w:t>Financing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Taxes paid related to net share settlement of equity awards</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(3,253)</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(1,138)</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Proceeds from issuance of debt</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230,000</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Debt issuance cost</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(7,403)</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Cash paid on extinguishment of debt</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(1,951)</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Payments on debt</w:t>
            </w:r>
          </w:p>
        </w:tc>
        <w:tc>
          <w:tcPr>
            <w:tcW w:w="340" w:type="dxa"/>
            <w:vAlign w:val="bottom"/>
          </w:tcPr>
          <w:p>
            <w:pPr>
              <w:spacing w:after="0"/>
              <w:rPr>
                <w:sz w:val="12"/>
                <w:szCs w:val="12"/>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(178,488)</w:t>
            </w:r>
          </w:p>
        </w:tc>
      </w:tr>
      <w:tr>
        <w:trPr>
          <w:trHeight w:val="144"/>
        </w:trPr>
        <w:tc>
          <w:tcPr>
            <w:tcW w:w="8340" w:type="dxa"/>
            <w:vAlign w:val="bottom"/>
          </w:tcPr>
          <w:p>
            <w:pPr>
              <w:ind w:left="140"/>
              <w:spacing w:after="0"/>
              <w:rPr>
                <w:sz w:val="20"/>
                <w:szCs w:val="20"/>
                <w:color w:val="auto"/>
              </w:rPr>
            </w:pPr>
            <w:r>
              <w:rPr>
                <w:rFonts w:ascii="Arial" w:cs="Arial" w:eastAsia="Arial" w:hAnsi="Arial"/>
                <w:sz w:val="11"/>
                <w:szCs w:val="11"/>
                <w:color w:val="auto"/>
              </w:rPr>
              <w:t>Purchase and retirement of treasury stock</w:t>
            </w:r>
          </w:p>
        </w:tc>
        <w:tc>
          <w:tcPr>
            <w:tcW w:w="3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(3,007)</w:t>
            </w:r>
          </w:p>
        </w:tc>
        <w:tc>
          <w:tcPr>
            <w:tcW w:w="5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(7,027)</w:t>
            </w:r>
          </w:p>
        </w:tc>
      </w:tr>
      <w:tr>
        <w:trPr>
          <w:trHeight w:val="145"/>
        </w:trPr>
        <w:tc>
          <w:tcPr>
            <w:tcW w:w="834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Payments of finance leases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(132)</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2"/>
        </w:trPr>
        <w:tc>
          <w:tcPr>
            <w:tcW w:w="8340" w:type="dxa"/>
            <w:vAlign w:val="bottom"/>
          </w:tcPr>
          <w:p>
            <w:pPr>
              <w:ind w:left="520"/>
              <w:spacing w:after="0"/>
              <w:rPr>
                <w:sz w:val="20"/>
                <w:szCs w:val="20"/>
                <w:color w:val="auto"/>
              </w:rPr>
            </w:pPr>
            <w:r>
              <w:rPr>
                <w:rFonts w:ascii="Arial" w:cs="Arial" w:eastAsia="Arial" w:hAnsi="Arial"/>
                <w:sz w:val="11"/>
                <w:szCs w:val="11"/>
                <w:color w:val="auto"/>
              </w:rPr>
              <w:t>Net cash (used in) provided by financing activities</w:t>
            </w:r>
          </w:p>
        </w:tc>
        <w:tc>
          <w:tcPr>
            <w:tcW w:w="34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(6,392)</w:t>
            </w:r>
          </w:p>
        </w:tc>
        <w:tc>
          <w:tcPr>
            <w:tcW w:w="5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33,993</w:t>
            </w:r>
          </w:p>
        </w:tc>
      </w:tr>
      <w:tr>
        <w:trPr>
          <w:trHeight w:val="145"/>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Effect of exchange rate changes on cash and cash equivalents and restricted cash</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(207)</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605</w:t>
            </w:r>
          </w:p>
        </w:tc>
      </w:tr>
      <w:tr>
        <w:trPr>
          <w:trHeight w:val="132"/>
        </w:trPr>
        <w:tc>
          <w:tcPr>
            <w:tcW w:w="8340" w:type="dxa"/>
            <w:vAlign w:val="bottom"/>
          </w:tcPr>
          <w:p>
            <w:pPr>
              <w:spacing w:after="0"/>
              <w:rPr>
                <w:sz w:val="20"/>
                <w:szCs w:val="20"/>
                <w:color w:val="auto"/>
              </w:rPr>
            </w:pPr>
            <w:r>
              <w:rPr>
                <w:rFonts w:ascii="Arial" w:cs="Arial" w:eastAsia="Arial" w:hAnsi="Arial"/>
                <w:sz w:val="11"/>
                <w:szCs w:val="11"/>
                <w:color w:val="auto"/>
              </w:rPr>
              <w:t>Net (decrease) increase in cash, cash equivalents and restricted cash</w:t>
            </w:r>
          </w:p>
        </w:tc>
        <w:tc>
          <w:tcPr>
            <w:tcW w:w="34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(1,982)</w:t>
            </w:r>
          </w:p>
        </w:tc>
        <w:tc>
          <w:tcPr>
            <w:tcW w:w="5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1,648</w:t>
            </w:r>
          </w:p>
        </w:tc>
      </w:tr>
      <w:tr>
        <w:trPr>
          <w:trHeight w:val="145"/>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Cash and cash equivalents and restricted cash at beginning of period</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228,968</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214,369</w:t>
            </w:r>
          </w:p>
        </w:tc>
      </w:tr>
      <w:tr>
        <w:trPr>
          <w:trHeight w:val="133"/>
        </w:trPr>
        <w:tc>
          <w:tcPr>
            <w:tcW w:w="8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Cash and cash equivalents and restricted cash at end of period</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226,986</w:t>
            </w: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216,017</w:t>
            </w:r>
          </w:p>
        </w:tc>
      </w:tr>
    </w:tbl>
    <w:p>
      <w:pPr>
        <w:sectPr>
          <w:pgSz w:w="11900" w:h="16838" w:orient="portrait"/>
          <w:cols w:equalWidth="0" w:num="1">
            <w:col w:w="11300"/>
          </w:cols>
          <w:pgMar w:left="300" w:top="883"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EZCORP,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OPERATING SEGMENT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97"/>
              </w:rPr>
              <w:t>Three Months Ended December 31, 2023</w:t>
            </w: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4"/>
        </w:trPr>
        <w:tc>
          <w:tcPr>
            <w:tcW w:w="3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98"/>
              </w:rPr>
              <w:t>(Unaudited)</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3"/>
        </w:trPr>
        <w:tc>
          <w:tcPr>
            <w:tcW w:w="3000" w:type="dxa"/>
            <w:vAlign w:val="bottom"/>
          </w:tcPr>
          <w:p>
            <w:pPr>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1"/>
                <w:szCs w:val="11"/>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U.S. Pawn</w:t>
            </w:r>
          </w:p>
        </w:tc>
        <w:tc>
          <w:tcPr>
            <w:tcW w:w="10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Latin America Pawn</w:t>
            </w:r>
          </w:p>
        </w:tc>
        <w:tc>
          <w:tcPr>
            <w:tcW w:w="1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Other Investments</w:t>
            </w:r>
          </w:p>
        </w:tc>
        <w:tc>
          <w:tcPr>
            <w:tcW w:w="18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 Segments</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Corporate Items</w:t>
            </w:r>
          </w:p>
        </w:tc>
        <w:tc>
          <w:tcPr>
            <w:tcW w:w="180" w:type="dxa"/>
            <w:vAlign w:val="bottom"/>
          </w:tcPr>
          <w:p>
            <w:pPr>
              <w:spacing w:after="0"/>
              <w:rPr>
                <w:sz w:val="11"/>
                <w:szCs w:val="11"/>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b w:val="1"/>
                <w:bCs w:val="1"/>
                <w:color w:val="auto"/>
              </w:rPr>
              <w:t>Consolidated</w:t>
            </w:r>
          </w:p>
        </w:tc>
      </w:tr>
      <w:tr>
        <w:trPr>
          <w:trHeight w:val="158"/>
        </w:trPr>
        <w:tc>
          <w:tcPr>
            <w:tcW w:w="3000" w:type="dxa"/>
            <w:vAlign w:val="bottom"/>
          </w:tcPr>
          <w:p>
            <w:pPr>
              <w:spacing w:after="0"/>
              <w:rPr>
                <w:sz w:val="20"/>
                <w:szCs w:val="20"/>
                <w:color w:val="auto"/>
              </w:rPr>
            </w:pPr>
            <w:r>
              <w:rPr>
                <w:rFonts w:ascii="Arial" w:cs="Arial" w:eastAsia="Arial" w:hAnsi="Arial"/>
                <w:sz w:val="11"/>
                <w:szCs w:val="11"/>
                <w:color w:val="auto"/>
              </w:rPr>
              <w:t>Revenues:</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Merchandise sales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125,513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53,890</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179,403</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179,403</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Jewelry scrapping sales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12,815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1,267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14,082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14,082</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Pawn service charges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79,073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27,376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106,449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106,449</w:t>
            </w:r>
          </w:p>
        </w:tc>
      </w:tr>
      <w:tr>
        <w:trPr>
          <w:trHeight w:val="145"/>
        </w:trPr>
        <w:tc>
          <w:tcPr>
            <w:tcW w:w="30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Other revenues</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w:t>
            </w:r>
          </w:p>
        </w:tc>
      </w:tr>
      <w:tr>
        <w:trPr>
          <w:trHeight w:val="132"/>
        </w:trPr>
        <w:tc>
          <w:tcPr>
            <w:tcW w:w="3000" w:type="dxa"/>
            <w:vAlign w:val="bottom"/>
          </w:tcPr>
          <w:p>
            <w:pPr>
              <w:ind w:left="300"/>
              <w:spacing w:after="0"/>
              <w:rPr>
                <w:sz w:val="20"/>
                <w:szCs w:val="20"/>
                <w:color w:val="auto"/>
              </w:rPr>
            </w:pPr>
            <w:r>
              <w:rPr>
                <w:rFonts w:ascii="Arial" w:cs="Arial" w:eastAsia="Arial" w:hAnsi="Arial"/>
                <w:sz w:val="11"/>
                <w:szCs w:val="11"/>
                <w:color w:val="auto"/>
              </w:rPr>
              <w:t>Total revenues</w:t>
            </w:r>
          </w:p>
        </w:tc>
        <w:tc>
          <w:tcPr>
            <w:tcW w:w="2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217,438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82,549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299,991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299,991</w:t>
            </w:r>
          </w:p>
        </w:tc>
      </w:tr>
      <w:tr>
        <w:trPr>
          <w:trHeight w:val="144"/>
        </w:trPr>
        <w:tc>
          <w:tcPr>
            <w:tcW w:w="3000" w:type="dxa"/>
            <w:vAlign w:val="bottom"/>
          </w:tcPr>
          <w:p>
            <w:pPr>
              <w:spacing w:after="0"/>
              <w:rPr>
                <w:sz w:val="20"/>
                <w:szCs w:val="20"/>
                <w:color w:val="auto"/>
              </w:rPr>
            </w:pPr>
            <w:r>
              <w:rPr>
                <w:rFonts w:ascii="Arial" w:cs="Arial" w:eastAsia="Arial" w:hAnsi="Arial"/>
                <w:sz w:val="11"/>
                <w:szCs w:val="11"/>
                <w:color w:val="auto"/>
              </w:rPr>
              <w:t>Merchandise cost of goods sold</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78,709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36,501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115,210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115,210</w:t>
            </w:r>
          </w:p>
        </w:tc>
      </w:tr>
      <w:tr>
        <w:trPr>
          <w:trHeight w:val="145"/>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Jewelry scrapping cost of goods sold</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11,284</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924</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12,208</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12,208</w:t>
            </w:r>
          </w:p>
        </w:tc>
      </w:tr>
      <w:tr>
        <w:trPr>
          <w:trHeight w:val="132"/>
        </w:trPr>
        <w:tc>
          <w:tcPr>
            <w:tcW w:w="3000" w:type="dxa"/>
            <w:vAlign w:val="bottom"/>
          </w:tcPr>
          <w:p>
            <w:pPr>
              <w:ind w:left="300"/>
              <w:spacing w:after="0"/>
              <w:rPr>
                <w:sz w:val="20"/>
                <w:szCs w:val="20"/>
                <w:color w:val="auto"/>
              </w:rPr>
            </w:pPr>
            <w:r>
              <w:rPr>
                <w:rFonts w:ascii="Arial" w:cs="Arial" w:eastAsia="Arial" w:hAnsi="Arial"/>
                <w:sz w:val="11"/>
                <w:szCs w:val="11"/>
                <w:color w:val="auto"/>
              </w:rPr>
              <w:t>Gross profit</w:t>
            </w:r>
          </w:p>
        </w:tc>
        <w:tc>
          <w:tcPr>
            <w:tcW w:w="2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127,445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45,124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172,573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172,573</w:t>
            </w:r>
          </w:p>
        </w:tc>
      </w:tr>
      <w:tr>
        <w:trPr>
          <w:trHeight w:val="144"/>
        </w:trPr>
        <w:tc>
          <w:tcPr>
            <w:tcW w:w="3000" w:type="dxa"/>
            <w:vAlign w:val="bottom"/>
          </w:tcPr>
          <w:p>
            <w:pPr>
              <w:spacing w:after="0"/>
              <w:rPr>
                <w:sz w:val="20"/>
                <w:szCs w:val="20"/>
                <w:color w:val="auto"/>
              </w:rPr>
            </w:pPr>
            <w:r>
              <w:rPr>
                <w:rFonts w:ascii="Arial" w:cs="Arial" w:eastAsia="Arial" w:hAnsi="Arial"/>
                <w:sz w:val="11"/>
                <w:szCs w:val="11"/>
                <w:color w:val="auto"/>
              </w:rPr>
              <w:t>Segment and corporate expenses (income):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Store expenses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77,255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33,300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110,555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110,555</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General and administrative</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16,543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16,543</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2,624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2,339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4,963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3,602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8,565</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Loss (gain) on sale or disposal of assets and other</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(172)</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3,440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3,440</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Interest income</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(573)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(1,646)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(2,639)</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Equity in net income of unconsolidated affiliates</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(1,153)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(1,153)</w:t>
            </w:r>
          </w:p>
        </w:tc>
      </w:tr>
      <w:tr>
        <w:trPr>
          <w:trHeight w:val="145"/>
        </w:trPr>
        <w:tc>
          <w:tcPr>
            <w:tcW w:w="30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Other (income) expense</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w:t>
            </w:r>
          </w:p>
        </w:tc>
      </w:tr>
      <w:tr>
        <w:trPr>
          <w:trHeight w:val="133"/>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Segment contribution</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47,540</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10,149</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1,729</w:t>
            </w: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59,418</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3"/>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Income (loss) before income taxes</w:t>
            </w: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59,418</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(21,713)</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37,705</w:t>
            </w:r>
          </w:p>
        </w:tc>
      </w:tr>
    </w:tbl>
    <w:p>
      <w:pPr>
        <w:sectPr>
          <w:pgSz w:w="11900" w:h="16838" w:orient="portrait"/>
          <w:cols w:equalWidth="0" w:num="1">
            <w:col w:w="11300"/>
          </w:cols>
          <w:pgMar w:left="300" w:top="667" w:right="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97"/>
              </w:rPr>
              <w:t>Three Months Ended December 31, 2022</w:t>
            </w: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4"/>
        </w:trPr>
        <w:tc>
          <w:tcPr>
            <w:tcW w:w="3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98"/>
              </w:rPr>
              <w:t>(Unaudited)</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3"/>
        </w:trPr>
        <w:tc>
          <w:tcPr>
            <w:tcW w:w="3000" w:type="dxa"/>
            <w:vAlign w:val="bottom"/>
          </w:tcPr>
          <w:p>
            <w:pPr>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1"/>
                <w:szCs w:val="11"/>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U.S. Pawn</w:t>
            </w:r>
          </w:p>
        </w:tc>
        <w:tc>
          <w:tcPr>
            <w:tcW w:w="10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Latin America Pawn</w:t>
            </w:r>
          </w:p>
        </w:tc>
        <w:tc>
          <w:tcPr>
            <w:tcW w:w="1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Other Investments</w:t>
            </w:r>
          </w:p>
        </w:tc>
        <w:tc>
          <w:tcPr>
            <w:tcW w:w="18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 Segments</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Corporate Items</w:t>
            </w:r>
          </w:p>
        </w:tc>
        <w:tc>
          <w:tcPr>
            <w:tcW w:w="180" w:type="dxa"/>
            <w:vAlign w:val="bottom"/>
          </w:tcPr>
          <w:p>
            <w:pPr>
              <w:spacing w:after="0"/>
              <w:rPr>
                <w:sz w:val="11"/>
                <w:szCs w:val="11"/>
                <w:color w:val="auto"/>
              </w:rPr>
            </w:pPr>
          </w:p>
        </w:tc>
        <w:tc>
          <w:tcPr>
            <w:tcW w:w="1140" w:type="dxa"/>
            <w:vAlign w:val="bottom"/>
          </w:tcPr>
          <w:p>
            <w:pPr>
              <w:jc w:val="right"/>
              <w:ind w:right="266"/>
              <w:spacing w:after="0"/>
              <w:rPr>
                <w:sz w:val="20"/>
                <w:szCs w:val="20"/>
                <w:color w:val="auto"/>
              </w:rPr>
            </w:pPr>
            <w:r>
              <w:rPr>
                <w:rFonts w:ascii="Arial" w:cs="Arial" w:eastAsia="Arial" w:hAnsi="Arial"/>
                <w:sz w:val="11"/>
                <w:szCs w:val="11"/>
                <w:b w:val="1"/>
                <w:bCs w:val="1"/>
                <w:color w:val="auto"/>
              </w:rPr>
              <w:t>Consolidated</w:t>
            </w:r>
          </w:p>
        </w:tc>
      </w:tr>
      <w:tr>
        <w:trPr>
          <w:trHeight w:val="266"/>
        </w:trPr>
        <w:tc>
          <w:tcPr>
            <w:tcW w:w="3000" w:type="dxa"/>
            <w:vAlign w:val="bottom"/>
          </w:tcPr>
          <w:p>
            <w:pPr>
              <w:spacing w:after="0"/>
              <w:rPr>
                <w:sz w:val="20"/>
                <w:szCs w:val="20"/>
                <w:color w:val="auto"/>
              </w:rPr>
            </w:pPr>
            <w:r>
              <w:rPr>
                <w:rFonts w:ascii="Arial" w:cs="Arial" w:eastAsia="Arial" w:hAnsi="Arial"/>
                <w:sz w:val="11"/>
                <w:szCs w:val="11"/>
                <w:color w:val="auto"/>
              </w:rPr>
              <w:t>Revenues:</w:t>
            </w:r>
          </w:p>
        </w:tc>
        <w:tc>
          <w:tcPr>
            <w:tcW w:w="2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Merchandise sales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118,314</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45,473</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163,787</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163,787</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Jewelry scrapping sales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7,176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7,884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7,884</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Pawn service charges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69,310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23,283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92,593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92,593</w:t>
            </w:r>
          </w:p>
        </w:tc>
      </w:tr>
      <w:tr>
        <w:trPr>
          <w:trHeight w:val="145"/>
        </w:trPr>
        <w:tc>
          <w:tcPr>
            <w:tcW w:w="30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Other revenues</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w:t>
            </w:r>
          </w:p>
        </w:tc>
      </w:tr>
      <w:tr>
        <w:trPr>
          <w:trHeight w:val="132"/>
        </w:trPr>
        <w:tc>
          <w:tcPr>
            <w:tcW w:w="3000" w:type="dxa"/>
            <w:vAlign w:val="bottom"/>
          </w:tcPr>
          <w:p>
            <w:pPr>
              <w:ind w:left="300"/>
              <w:spacing w:after="0"/>
              <w:rPr>
                <w:sz w:val="20"/>
                <w:szCs w:val="20"/>
                <w:color w:val="auto"/>
              </w:rPr>
            </w:pPr>
            <w:r>
              <w:rPr>
                <w:rFonts w:ascii="Arial" w:cs="Arial" w:eastAsia="Arial" w:hAnsi="Arial"/>
                <w:sz w:val="11"/>
                <w:szCs w:val="11"/>
                <w:color w:val="auto"/>
              </w:rPr>
              <w:t>Total revenues</w:t>
            </w:r>
          </w:p>
        </w:tc>
        <w:tc>
          <w:tcPr>
            <w:tcW w:w="2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194,825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69,480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264,327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264,327</w:t>
            </w:r>
          </w:p>
        </w:tc>
      </w:tr>
      <w:tr>
        <w:trPr>
          <w:trHeight w:val="144"/>
        </w:trPr>
        <w:tc>
          <w:tcPr>
            <w:tcW w:w="3000" w:type="dxa"/>
            <w:vAlign w:val="bottom"/>
          </w:tcPr>
          <w:p>
            <w:pPr>
              <w:spacing w:after="0"/>
              <w:rPr>
                <w:sz w:val="20"/>
                <w:szCs w:val="20"/>
                <w:color w:val="auto"/>
              </w:rPr>
            </w:pPr>
            <w:r>
              <w:rPr>
                <w:rFonts w:ascii="Arial" w:cs="Arial" w:eastAsia="Arial" w:hAnsi="Arial"/>
                <w:sz w:val="11"/>
                <w:szCs w:val="11"/>
                <w:color w:val="auto"/>
              </w:rPr>
              <w:t>Merchandise cost of goods sold</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73,256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31,621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104,877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104,877</w:t>
            </w:r>
          </w:p>
        </w:tc>
      </w:tr>
      <w:tr>
        <w:trPr>
          <w:trHeight w:val="145"/>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Jewelry scrapping cost of goods sold</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6,216</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737</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6,953</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6,953</w:t>
            </w:r>
          </w:p>
        </w:tc>
      </w:tr>
      <w:tr>
        <w:trPr>
          <w:trHeight w:val="132"/>
        </w:trPr>
        <w:tc>
          <w:tcPr>
            <w:tcW w:w="3000" w:type="dxa"/>
            <w:vAlign w:val="bottom"/>
          </w:tcPr>
          <w:p>
            <w:pPr>
              <w:ind w:left="300"/>
              <w:spacing w:after="0"/>
              <w:rPr>
                <w:sz w:val="20"/>
                <w:szCs w:val="20"/>
                <w:color w:val="auto"/>
              </w:rPr>
            </w:pPr>
            <w:r>
              <w:rPr>
                <w:rFonts w:ascii="Arial" w:cs="Arial" w:eastAsia="Arial" w:hAnsi="Arial"/>
                <w:sz w:val="11"/>
                <w:szCs w:val="11"/>
                <w:color w:val="auto"/>
              </w:rPr>
              <w:t>Gross profit</w:t>
            </w:r>
          </w:p>
        </w:tc>
        <w:tc>
          <w:tcPr>
            <w:tcW w:w="2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115,353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37,122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152,497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152,497</w:t>
            </w:r>
          </w:p>
        </w:tc>
      </w:tr>
      <w:tr>
        <w:trPr>
          <w:trHeight w:val="144"/>
        </w:trPr>
        <w:tc>
          <w:tcPr>
            <w:tcW w:w="3000" w:type="dxa"/>
            <w:vAlign w:val="bottom"/>
          </w:tcPr>
          <w:p>
            <w:pPr>
              <w:spacing w:after="0"/>
              <w:rPr>
                <w:sz w:val="20"/>
                <w:szCs w:val="20"/>
                <w:color w:val="auto"/>
              </w:rPr>
            </w:pPr>
            <w:r>
              <w:rPr>
                <w:rFonts w:ascii="Arial" w:cs="Arial" w:eastAsia="Arial" w:hAnsi="Arial"/>
                <w:sz w:val="11"/>
                <w:szCs w:val="11"/>
                <w:color w:val="auto"/>
              </w:rPr>
              <w:t>Segment and corporate expenses (income):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Store expenses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73,304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27,499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100,803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100,803</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General and administrative</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15,479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15,476</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2,755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2,215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4,970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3,018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7,988</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Loss (gain) on sale or disposal of assets and other</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6,190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6,190</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Interest income</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(169)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(664)</w:t>
            </w:r>
          </w:p>
        </w:tc>
      </w:tr>
      <w:tr>
        <w:trPr>
          <w:trHeight w:val="144"/>
        </w:trPr>
        <w:tc>
          <w:tcPr>
            <w:tcW w:w="3000" w:type="dxa"/>
            <w:vAlign w:val="bottom"/>
          </w:tcPr>
          <w:p>
            <w:pPr>
              <w:ind w:left="140"/>
              <w:spacing w:after="0"/>
              <w:rPr>
                <w:sz w:val="20"/>
                <w:szCs w:val="20"/>
                <w:color w:val="auto"/>
              </w:rPr>
            </w:pPr>
            <w:r>
              <w:rPr>
                <w:rFonts w:ascii="Arial" w:cs="Arial" w:eastAsia="Arial" w:hAnsi="Arial"/>
                <w:sz w:val="11"/>
                <w:szCs w:val="11"/>
                <w:color w:val="auto"/>
              </w:rPr>
              <w:t>Equity in net income of unconsolidated affiliates</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(1,584)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(1,584)</w:t>
            </w:r>
          </w:p>
        </w:tc>
      </w:tr>
      <w:tr>
        <w:trPr>
          <w:trHeight w:val="145"/>
        </w:trPr>
        <w:tc>
          <w:tcPr>
            <w:tcW w:w="30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Other expense (income)</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w:t>
            </w:r>
          </w:p>
        </w:tc>
      </w:tr>
      <w:tr>
        <w:trPr>
          <w:trHeight w:val="133"/>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Segment contribution</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39,291</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7,529</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1,602</w:t>
            </w: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48,422</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3"/>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Income (loss) before income taxes</w:t>
            </w: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48,422</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(23,884)</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24,538</w:t>
            </w:r>
          </w:p>
        </w:tc>
      </w:tr>
    </w:tbl>
    <w:p>
      <w:pPr>
        <w:sectPr>
          <w:pgSz w:w="11900" w:h="16838" w:orient="portrait"/>
          <w:cols w:equalWidth="0" w:num="1">
            <w:col w:w="11300"/>
          </w:cols>
          <w:pgMar w:left="300" w:top="742"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1"/>
          <w:szCs w:val="11"/>
          <w:b w:val="1"/>
          <w:bCs w:val="1"/>
          <w:color w:val="auto"/>
        </w:rPr>
        <w:t>EZCORP,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STORE COUNT ACTIVITY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8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Three Months Ended December 31, 2023</w:t>
            </w:r>
          </w:p>
        </w:tc>
        <w:tc>
          <w:tcPr>
            <w:tcW w:w="1100" w:type="dxa"/>
            <w:vAlign w:val="bottom"/>
            <w:tcBorders>
              <w:bottom w:val="single" w:sz="8" w:color="auto"/>
            </w:tcBorders>
          </w:tcPr>
          <w:p>
            <w:pPr>
              <w:spacing w:after="0"/>
              <w:rPr>
                <w:sz w:val="12"/>
                <w:szCs w:val="12"/>
                <w:color w:val="auto"/>
              </w:rPr>
            </w:pPr>
          </w:p>
        </w:tc>
      </w:tr>
      <w:tr>
        <w:trPr>
          <w:trHeight w:val="133"/>
        </w:trPr>
        <w:tc>
          <w:tcPr>
            <w:tcW w:w="6820" w:type="dxa"/>
            <w:vAlign w:val="bottom"/>
          </w:tcPr>
          <w:p>
            <w:pPr>
              <w:spacing w:after="0"/>
              <w:rPr>
                <w:sz w:val="11"/>
                <w:szCs w:val="11"/>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U.S. Pawn</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Latin America Pawn</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Consolidated</w:t>
            </w:r>
          </w:p>
        </w:tc>
      </w:tr>
      <w:tr>
        <w:trPr>
          <w:trHeight w:val="158"/>
        </w:trPr>
        <w:tc>
          <w:tcPr>
            <w:tcW w:w="7900" w:type="dxa"/>
            <w:vAlign w:val="bottom"/>
            <w:gridSpan w:val="2"/>
          </w:tcPr>
          <w:p>
            <w:pPr>
              <w:ind w:left="20"/>
              <w:spacing w:after="0"/>
              <w:rPr>
                <w:sz w:val="20"/>
                <w:szCs w:val="20"/>
                <w:color w:val="auto"/>
              </w:rPr>
            </w:pPr>
            <w:r>
              <w:rPr>
                <w:rFonts w:ascii="Arial" w:cs="Arial" w:eastAsia="Arial" w:hAnsi="Arial"/>
                <w:sz w:val="11"/>
                <w:szCs w:val="11"/>
                <w:color w:val="auto"/>
              </w:rPr>
              <w:t>As of September 30, 2023</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529</w:t>
            </w:r>
          </w:p>
        </w:tc>
        <w:tc>
          <w:tcPr>
            <w:tcW w:w="8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702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1,231</w:t>
            </w:r>
          </w:p>
        </w:tc>
      </w:tr>
      <w:tr>
        <w:trPr>
          <w:trHeight w:val="144"/>
        </w:trPr>
        <w:tc>
          <w:tcPr>
            <w:tcW w:w="7900" w:type="dxa"/>
            <w:vAlign w:val="bottom"/>
            <w:gridSpan w:val="2"/>
          </w:tcPr>
          <w:p>
            <w:pPr>
              <w:ind w:left="140"/>
              <w:spacing w:after="0"/>
              <w:rPr>
                <w:sz w:val="20"/>
                <w:szCs w:val="20"/>
                <w:color w:val="auto"/>
              </w:rPr>
            </w:pPr>
            <w:r>
              <w:rPr>
                <w:rFonts w:ascii="Arial" w:cs="Arial" w:eastAsia="Arial" w:hAnsi="Arial"/>
                <w:sz w:val="11"/>
                <w:szCs w:val="11"/>
                <w:color w:val="auto"/>
              </w:rPr>
              <w:t>New locations opened</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45"/>
        </w:trPr>
        <w:tc>
          <w:tcPr>
            <w:tcW w:w="790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Locations acquired</w:t>
            </w: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133"/>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As of December 31, 2023</w:t>
            </w: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530</w:t>
            </w: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707</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1,237</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8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Three Months Ended December 31, 2022</w:t>
            </w:r>
          </w:p>
        </w:tc>
        <w:tc>
          <w:tcPr>
            <w:tcW w:w="1140" w:type="dxa"/>
            <w:vAlign w:val="bottom"/>
            <w:tcBorders>
              <w:bottom w:val="single" w:sz="8" w:color="auto"/>
            </w:tcBorders>
          </w:tcPr>
          <w:p>
            <w:pPr>
              <w:spacing w:after="0"/>
              <w:rPr>
                <w:sz w:val="12"/>
                <w:szCs w:val="12"/>
                <w:color w:val="auto"/>
              </w:rPr>
            </w:pPr>
          </w:p>
        </w:tc>
      </w:tr>
      <w:tr>
        <w:trPr>
          <w:trHeight w:val="133"/>
        </w:trPr>
        <w:tc>
          <w:tcPr>
            <w:tcW w:w="6820" w:type="dxa"/>
            <w:vAlign w:val="bottom"/>
          </w:tcPr>
          <w:p>
            <w:pPr>
              <w:spacing w:after="0"/>
              <w:rPr>
                <w:sz w:val="11"/>
                <w:szCs w:val="11"/>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U.S. Pawn</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Latin America Pawn</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Consolidated</w:t>
            </w:r>
          </w:p>
        </w:tc>
      </w:tr>
      <w:tr>
        <w:trPr>
          <w:trHeight w:val="158"/>
        </w:trPr>
        <w:tc>
          <w:tcPr>
            <w:tcW w:w="7900" w:type="dxa"/>
            <w:vAlign w:val="bottom"/>
            <w:gridSpan w:val="2"/>
          </w:tcPr>
          <w:p>
            <w:pPr>
              <w:spacing w:after="0"/>
              <w:rPr>
                <w:sz w:val="20"/>
                <w:szCs w:val="20"/>
                <w:color w:val="auto"/>
              </w:rPr>
            </w:pPr>
            <w:r>
              <w:rPr>
                <w:rFonts w:ascii="Arial" w:cs="Arial" w:eastAsia="Arial" w:hAnsi="Arial"/>
                <w:sz w:val="11"/>
                <w:szCs w:val="11"/>
                <w:color w:val="auto"/>
              </w:rPr>
              <w:t>As of September 30, 2022</w:t>
            </w:r>
          </w:p>
        </w:tc>
        <w:tc>
          <w:tcPr>
            <w:tcW w:w="340" w:type="dxa"/>
            <w:vAlign w:val="bottom"/>
          </w:tcPr>
          <w:p>
            <w:pPr>
              <w:jc w:val="right"/>
              <w:spacing w:after="0"/>
              <w:rPr>
                <w:sz w:val="20"/>
                <w:szCs w:val="20"/>
                <w:color w:val="auto"/>
              </w:rPr>
            </w:pPr>
            <w:r>
              <w:rPr>
                <w:rFonts w:ascii="Arial" w:cs="Arial" w:eastAsia="Arial" w:hAnsi="Arial"/>
                <w:sz w:val="11"/>
                <w:szCs w:val="11"/>
                <w:color w:val="auto"/>
              </w:rPr>
              <w:t>515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660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1,175</w:t>
            </w:r>
          </w:p>
        </w:tc>
      </w:tr>
      <w:tr>
        <w:trPr>
          <w:trHeight w:val="144"/>
        </w:trPr>
        <w:tc>
          <w:tcPr>
            <w:tcW w:w="7900" w:type="dxa"/>
            <w:vAlign w:val="bottom"/>
            <w:gridSpan w:val="2"/>
          </w:tcPr>
          <w:p>
            <w:pPr>
              <w:ind w:left="140"/>
              <w:spacing w:after="0"/>
              <w:rPr>
                <w:sz w:val="20"/>
                <w:szCs w:val="20"/>
                <w:color w:val="auto"/>
              </w:rPr>
            </w:pPr>
            <w:r>
              <w:rPr>
                <w:rFonts w:ascii="Arial" w:cs="Arial" w:eastAsia="Arial" w:hAnsi="Arial"/>
                <w:sz w:val="11"/>
                <w:szCs w:val="11"/>
                <w:color w:val="auto"/>
              </w:rPr>
              <w:t>New locations opened</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w:t>
            </w:r>
          </w:p>
        </w:tc>
      </w:tr>
      <w:tr>
        <w:trPr>
          <w:trHeight w:val="144"/>
        </w:trPr>
        <w:tc>
          <w:tcPr>
            <w:tcW w:w="7900" w:type="dxa"/>
            <w:vAlign w:val="bottom"/>
            <w:gridSpan w:val="2"/>
          </w:tcPr>
          <w:p>
            <w:pPr>
              <w:ind w:left="140"/>
              <w:spacing w:after="0"/>
              <w:rPr>
                <w:sz w:val="20"/>
                <w:szCs w:val="20"/>
                <w:color w:val="auto"/>
              </w:rPr>
            </w:pPr>
            <w:r>
              <w:rPr>
                <w:rFonts w:ascii="Arial" w:cs="Arial" w:eastAsia="Arial" w:hAnsi="Arial"/>
                <w:sz w:val="11"/>
                <w:szCs w:val="11"/>
                <w:color w:val="auto"/>
              </w:rPr>
              <w:t>Locations acquired</w:t>
            </w:r>
          </w:p>
        </w:tc>
        <w:tc>
          <w:tcPr>
            <w:tcW w:w="34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w:t>
            </w:r>
          </w:p>
        </w:tc>
      </w:tr>
      <w:tr>
        <w:trPr>
          <w:trHeight w:val="145"/>
        </w:trPr>
        <w:tc>
          <w:tcPr>
            <w:tcW w:w="790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Locations sold, combined or closed</w:t>
            </w: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133"/>
        </w:trPr>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As of December 31, 2022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w:t>
            </w: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661</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1,186</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Financial Information (Unaudited)</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85"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months ended December 31, 2023 and 2022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Three Months Ended</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1"/>
                <w:szCs w:val="11"/>
                <w:b w:val="1"/>
                <w:bCs w:val="1"/>
                <w:color w:val="auto"/>
                <w:w w:val="97"/>
              </w:rPr>
              <w:t>December 31,</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1"/>
                <w:szCs w:val="11"/>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8"/>
        </w:trPr>
        <w:tc>
          <w:tcPr>
            <w:tcW w:w="7340" w:type="dxa"/>
            <w:vAlign w:val="bottom"/>
            <w:gridSpan w:val="2"/>
          </w:tcPr>
          <w:p>
            <w:pPr>
              <w:spacing w:after="0"/>
              <w:rPr>
                <w:sz w:val="20"/>
                <w:szCs w:val="20"/>
                <w:color w:val="auto"/>
              </w:rPr>
            </w:pPr>
            <w:r>
              <w:rPr>
                <w:rFonts w:ascii="Arial" w:cs="Arial" w:eastAsia="Arial" w:hAnsi="Arial"/>
                <w:sz w:val="11"/>
                <w:szCs w:val="11"/>
                <w:color w:val="auto"/>
              </w:rPr>
              <w:t>Mexican peso</w:t>
            </w:r>
          </w:p>
        </w:tc>
        <w:tc>
          <w:tcPr>
            <w:tcW w:w="360" w:type="dxa"/>
            <w:vAlign w:val="bottom"/>
          </w:tcPr>
          <w:p>
            <w:pPr>
              <w:jc w:val="right"/>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19.5</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1"/>
                <w:szCs w:val="11"/>
                <w:color w:val="auto"/>
              </w:rPr>
              <w:t>Guatemalan quetzal</w:t>
            </w:r>
          </w:p>
        </w:tc>
        <w:tc>
          <w:tcPr>
            <w:tcW w:w="360" w:type="dxa"/>
            <w:vAlign w:val="bottom"/>
          </w:tcPr>
          <w:p>
            <w:pPr>
              <w:jc w:val="right"/>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1"/>
                <w:szCs w:val="11"/>
                <w:color w:val="auto"/>
              </w:rPr>
              <w:t>Honduran lempira</w:t>
            </w:r>
          </w:p>
        </w:tc>
        <w:tc>
          <w:tcPr>
            <w:tcW w:w="360" w:type="dxa"/>
            <w:vAlign w:val="bottom"/>
          </w:tcPr>
          <w:p>
            <w:pPr>
              <w:jc w:val="right"/>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24.4</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24.4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1"/>
                <w:szCs w:val="11"/>
                <w:color w:val="auto"/>
              </w:rPr>
              <w:t>Australian dollar</w:t>
            </w:r>
          </w:p>
        </w:tc>
        <w:tc>
          <w:tcPr>
            <w:tcW w:w="3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ectPr>
          <w:pgSz w:w="11900" w:h="16838" w:orient="portrait"/>
          <w:cols w:equalWidth="0" w:num="1">
            <w:col w:w="11300"/>
          </w:cols>
          <w:pgMar w:left="300" w:top="671"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Miscellaneous Non-GAAP Financial Measures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20" w:type="dxa"/>
            <w:vAlign w:val="bottom"/>
          </w:tcPr>
          <w:p>
            <w:pPr>
              <w:spacing w:after="0"/>
              <w:rPr>
                <w:sz w:val="10"/>
                <w:szCs w:val="10"/>
                <w:color w:val="auto"/>
              </w:rPr>
            </w:pPr>
          </w:p>
        </w:tc>
      </w:tr>
      <w:tr>
        <w:trPr>
          <w:trHeight w:val="144"/>
        </w:trPr>
        <w:tc>
          <w:tcPr>
            <w:tcW w:w="8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2"/>
                <w:szCs w:val="12"/>
                <w:color w:val="auto"/>
              </w:rPr>
            </w:pPr>
          </w:p>
        </w:tc>
      </w:tr>
      <w:tr>
        <w:trPr>
          <w:trHeight w:val="133"/>
        </w:trPr>
        <w:tc>
          <w:tcPr>
            <w:tcW w:w="8540" w:type="dxa"/>
            <w:vAlign w:val="bottom"/>
          </w:tcPr>
          <w:p>
            <w:pPr>
              <w:spacing w:after="0"/>
              <w:rPr>
                <w:sz w:val="20"/>
                <w:szCs w:val="20"/>
                <w:color w:val="auto"/>
              </w:rPr>
            </w:pPr>
            <w:r>
              <w:rPr>
                <w:rFonts w:ascii="Arial" w:cs="Arial" w:eastAsia="Arial" w:hAnsi="Arial"/>
                <w:sz w:val="11"/>
                <w:szCs w:val="11"/>
                <w:color w:val="auto"/>
              </w:rPr>
              <w:t>(in millions)</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w w:val="97"/>
              </w:rPr>
              <w:t>2022</w:t>
            </w:r>
          </w:p>
        </w:tc>
      </w:tr>
      <w:tr>
        <w:trPr>
          <w:trHeight w:val="158"/>
        </w:trPr>
        <w:tc>
          <w:tcPr>
            <w:tcW w:w="8540" w:type="dxa"/>
            <w:vAlign w:val="bottom"/>
          </w:tcPr>
          <w:p>
            <w:pPr>
              <w:spacing w:after="0"/>
              <w:rPr>
                <w:sz w:val="20"/>
                <w:szCs w:val="20"/>
                <w:color w:val="auto"/>
              </w:rPr>
            </w:pPr>
            <w:r>
              <w:rPr>
                <w:rFonts w:ascii="Arial" w:cs="Arial" w:eastAsia="Arial" w:hAnsi="Arial"/>
                <w:sz w:val="11"/>
                <w:szCs w:val="11"/>
                <w:color w:val="auto"/>
              </w:rPr>
              <w:t>Net income</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28.5</w:t>
            </w:r>
          </w:p>
        </w:tc>
        <w:tc>
          <w:tcPr>
            <w:tcW w:w="100" w:type="dxa"/>
            <w:vAlign w:val="bottom"/>
          </w:tcPr>
          <w:p>
            <w:pPr>
              <w:spacing w:after="0"/>
              <w:rPr>
                <w:sz w:val="13"/>
                <w:szCs w:val="13"/>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16.8</w:t>
            </w:r>
          </w:p>
        </w:tc>
      </w:tr>
      <w:tr>
        <w:trPr>
          <w:trHeight w:val="144"/>
        </w:trPr>
        <w:tc>
          <w:tcPr>
            <w:tcW w:w="8540" w:type="dxa"/>
            <w:vAlign w:val="bottom"/>
          </w:tcPr>
          <w:p>
            <w:pPr>
              <w:spacing w:after="0"/>
              <w:rPr>
                <w:sz w:val="20"/>
                <w:szCs w:val="20"/>
                <w:color w:val="auto"/>
              </w:rPr>
            </w:pPr>
            <w:r>
              <w:rPr>
                <w:rFonts w:ascii="Arial" w:cs="Arial" w:eastAsia="Arial" w:hAnsi="Arial"/>
                <w:sz w:val="11"/>
                <w:szCs w:val="11"/>
                <w:color w:val="auto"/>
              </w:rPr>
              <w:t>Interest expense</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6.2</w:t>
            </w:r>
          </w:p>
        </w:tc>
      </w:tr>
      <w:tr>
        <w:trPr>
          <w:trHeight w:val="144"/>
        </w:trPr>
        <w:tc>
          <w:tcPr>
            <w:tcW w:w="8540" w:type="dxa"/>
            <w:vAlign w:val="bottom"/>
          </w:tcPr>
          <w:p>
            <w:pPr>
              <w:spacing w:after="0"/>
              <w:rPr>
                <w:sz w:val="20"/>
                <w:szCs w:val="20"/>
                <w:color w:val="auto"/>
              </w:rPr>
            </w:pPr>
            <w:r>
              <w:rPr>
                <w:rFonts w:ascii="Arial" w:cs="Arial" w:eastAsia="Arial" w:hAnsi="Arial"/>
                <w:sz w:val="11"/>
                <w:szCs w:val="11"/>
                <w:color w:val="auto"/>
              </w:rPr>
              <w:t>Interest income</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(0.7)</w:t>
            </w:r>
          </w:p>
        </w:tc>
      </w:tr>
      <w:tr>
        <w:trPr>
          <w:trHeight w:val="144"/>
        </w:trPr>
        <w:tc>
          <w:tcPr>
            <w:tcW w:w="8540" w:type="dxa"/>
            <w:vAlign w:val="bottom"/>
          </w:tcPr>
          <w:p>
            <w:pPr>
              <w:spacing w:after="0"/>
              <w:rPr>
                <w:sz w:val="20"/>
                <w:szCs w:val="20"/>
                <w:color w:val="auto"/>
              </w:rPr>
            </w:pPr>
            <w:r>
              <w:rPr>
                <w:rFonts w:ascii="Arial" w:cs="Arial" w:eastAsia="Arial" w:hAnsi="Arial"/>
                <w:sz w:val="11"/>
                <w:szCs w:val="11"/>
                <w:color w:val="auto"/>
              </w:rPr>
              <w:t>Income tax expense</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7.8</w:t>
            </w:r>
          </w:p>
        </w:tc>
      </w:tr>
      <w:tr>
        <w:trPr>
          <w:trHeight w:val="145"/>
        </w:trPr>
        <w:tc>
          <w:tcPr>
            <w:tcW w:w="85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Depreciation and amortization</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w:t>
            </w:r>
          </w:p>
        </w:tc>
      </w:tr>
      <w:tr>
        <w:trPr>
          <w:trHeight w:val="133"/>
        </w:trPr>
        <w:tc>
          <w:tcPr>
            <w:tcW w:w="854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EBITDA</w:t>
            </w: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38.1</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Revenues</w:t>
            </w:r>
          </w:p>
        </w:tc>
        <w:tc>
          <w:tcPr>
            <w:tcW w:w="14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Gross Profit</w:t>
            </w:r>
          </w:p>
        </w:tc>
        <w:tc>
          <w:tcPr>
            <w:tcW w:w="1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Income Before Tax</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Tax Effect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Diluted EPS</w:t>
            </w:r>
          </w:p>
        </w:tc>
        <w:tc>
          <w:tcPr>
            <w:tcW w:w="200" w:type="dxa"/>
            <w:vAlign w:val="bottom"/>
          </w:tcPr>
          <w:p>
            <w:pPr>
              <w:spacing w:after="0"/>
              <w:rPr>
                <w:sz w:val="12"/>
                <w:szCs w:val="12"/>
                <w:color w:val="auto"/>
              </w:rPr>
            </w:pPr>
          </w:p>
        </w:tc>
        <w:tc>
          <w:tcPr>
            <w:tcW w:w="840" w:type="dxa"/>
            <w:vAlign w:val="bottom"/>
          </w:tcPr>
          <w:p>
            <w:pPr>
              <w:jc w:val="right"/>
              <w:ind w:right="246"/>
              <w:spacing w:after="0"/>
              <w:rPr>
                <w:sz w:val="20"/>
                <w:szCs w:val="20"/>
                <w:color w:val="auto"/>
              </w:rPr>
            </w:pPr>
            <w:r>
              <w:rPr>
                <w:rFonts w:ascii="Arial" w:cs="Arial" w:eastAsia="Arial" w:hAnsi="Arial"/>
                <w:sz w:val="11"/>
                <w:szCs w:val="11"/>
                <w:b w:val="1"/>
                <w:bCs w:val="1"/>
                <w:color w:val="auto"/>
              </w:rPr>
              <w:t>EBITDA</w:t>
            </w:r>
          </w:p>
        </w:tc>
      </w:tr>
      <w:tr>
        <w:trPr>
          <w:trHeight w:val="158"/>
        </w:trPr>
        <w:tc>
          <w:tcPr>
            <w:tcW w:w="260" w:type="dxa"/>
            <w:vAlign w:val="bottom"/>
          </w:tcPr>
          <w:p>
            <w:pPr>
              <w:spacing w:after="0"/>
              <w:rPr>
                <w:sz w:val="20"/>
                <w:szCs w:val="20"/>
                <w:color w:val="auto"/>
              </w:rPr>
            </w:pPr>
            <w:r>
              <w:rPr>
                <w:rFonts w:ascii="Arial" w:cs="Arial" w:eastAsia="Arial" w:hAnsi="Arial"/>
                <w:sz w:val="11"/>
                <w:szCs w:val="11"/>
                <w:color w:val="auto"/>
                <w:w w:val="97"/>
              </w:rPr>
              <w:t>2024</w:t>
            </w:r>
          </w:p>
        </w:tc>
        <w:tc>
          <w:tcPr>
            <w:tcW w:w="180" w:type="dxa"/>
            <w:vAlign w:val="bottom"/>
          </w:tcPr>
          <w:p>
            <w:pPr>
              <w:ind w:left="20"/>
              <w:spacing w:after="0"/>
              <w:rPr>
                <w:sz w:val="20"/>
                <w:szCs w:val="20"/>
                <w:color w:val="auto"/>
              </w:rPr>
            </w:pPr>
            <w:r>
              <w:rPr>
                <w:rFonts w:ascii="Arial" w:cs="Arial" w:eastAsia="Arial" w:hAnsi="Arial"/>
                <w:sz w:val="11"/>
                <w:szCs w:val="11"/>
                <w:color w:val="auto"/>
                <w:w w:val="95"/>
              </w:rPr>
              <w:t>Q1</w:t>
            </w:r>
          </w:p>
        </w:tc>
        <w:tc>
          <w:tcPr>
            <w:tcW w:w="2760" w:type="dxa"/>
            <w:vAlign w:val="bottom"/>
          </w:tcPr>
          <w:p>
            <w:pPr>
              <w:spacing w:after="0"/>
              <w:rPr>
                <w:sz w:val="20"/>
                <w:szCs w:val="20"/>
                <w:color w:val="auto"/>
              </w:rPr>
            </w:pPr>
            <w:r>
              <w:rPr>
                <w:rFonts w:ascii="Arial" w:cs="Arial" w:eastAsia="Arial" w:hAnsi="Arial"/>
                <w:sz w:val="11"/>
                <w:szCs w:val="11"/>
                <w:color w:val="auto"/>
              </w:rPr>
              <w:t>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300.0</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172.6</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37.7</w:t>
            </w:r>
          </w:p>
        </w:tc>
        <w:tc>
          <w:tcPr>
            <w:tcW w:w="100" w:type="dxa"/>
            <w:vAlign w:val="bottom"/>
          </w:tcPr>
          <w:p>
            <w:pPr>
              <w:spacing w:after="0"/>
              <w:rPr>
                <w:sz w:val="13"/>
                <w:szCs w:val="13"/>
                <w:color w:val="auto"/>
              </w:rPr>
            </w:pPr>
          </w:p>
        </w:tc>
        <w:tc>
          <w:tcPr>
            <w:tcW w:w="780" w:type="dxa"/>
            <w:vAlign w:val="bottom"/>
            <w:tcBorders>
              <w:top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47.1</w:t>
            </w:r>
          </w:p>
        </w:tc>
      </w:tr>
      <w:tr>
        <w:trPr>
          <w:trHeight w:val="144"/>
        </w:trPr>
        <w:tc>
          <w:tcPr>
            <w:tcW w:w="3200" w:type="dxa"/>
            <w:vAlign w:val="bottom"/>
            <w:gridSpan w:val="3"/>
          </w:tcPr>
          <w:p>
            <w:pPr>
              <w:spacing w:after="0"/>
              <w:rPr>
                <w:sz w:val="20"/>
                <w:szCs w:val="20"/>
                <w:color w:val="auto"/>
              </w:rPr>
            </w:pPr>
            <w:r>
              <w:rPr>
                <w:rFonts w:ascii="Arial" w:cs="Arial" w:eastAsia="Arial" w:hAnsi="Arial"/>
                <w:sz w:val="11"/>
                <w:szCs w:val="11"/>
                <w:color w:val="auto"/>
              </w:rPr>
              <w:t>FX Impact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0.1</w:t>
            </w:r>
          </w:p>
        </w:tc>
      </w:tr>
      <w:tr>
        <w:trPr>
          <w:trHeight w:val="145"/>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Constant Currency and other impact</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(0.2)</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r>
      <w:tr>
        <w:trPr>
          <w:trHeight w:val="133"/>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2024</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5"/>
              </w:rPr>
              <w:t>Q1</w:t>
            </w:r>
          </w:p>
        </w:tc>
        <w:tc>
          <w:tcPr>
            <w:tcW w:w="27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Adjusted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292.9</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168.8</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37.2</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28.2</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0.36</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46.4</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Revenues</w:t>
            </w:r>
          </w:p>
        </w:tc>
        <w:tc>
          <w:tcPr>
            <w:tcW w:w="14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Gross Profit</w:t>
            </w:r>
          </w:p>
        </w:tc>
        <w:tc>
          <w:tcPr>
            <w:tcW w:w="1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Income Before Tax</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Tax Effect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Diluted EPS</w:t>
            </w:r>
          </w:p>
        </w:tc>
        <w:tc>
          <w:tcPr>
            <w:tcW w:w="200" w:type="dxa"/>
            <w:vAlign w:val="bottom"/>
          </w:tcPr>
          <w:p>
            <w:pPr>
              <w:spacing w:after="0"/>
              <w:rPr>
                <w:sz w:val="12"/>
                <w:szCs w:val="12"/>
                <w:color w:val="auto"/>
              </w:rPr>
            </w:pPr>
          </w:p>
        </w:tc>
        <w:tc>
          <w:tcPr>
            <w:tcW w:w="840" w:type="dxa"/>
            <w:vAlign w:val="bottom"/>
          </w:tcPr>
          <w:p>
            <w:pPr>
              <w:jc w:val="right"/>
              <w:ind w:right="246"/>
              <w:spacing w:after="0"/>
              <w:rPr>
                <w:sz w:val="20"/>
                <w:szCs w:val="20"/>
                <w:color w:val="auto"/>
              </w:rPr>
            </w:pPr>
            <w:r>
              <w:rPr>
                <w:rFonts w:ascii="Arial" w:cs="Arial" w:eastAsia="Arial" w:hAnsi="Arial"/>
                <w:sz w:val="11"/>
                <w:szCs w:val="11"/>
                <w:b w:val="1"/>
                <w:bCs w:val="1"/>
                <w:color w:val="auto"/>
              </w:rPr>
              <w:t>EBITDA</w:t>
            </w:r>
          </w:p>
        </w:tc>
      </w:tr>
      <w:tr>
        <w:trPr>
          <w:trHeight w:val="158"/>
        </w:trPr>
        <w:tc>
          <w:tcPr>
            <w:tcW w:w="260" w:type="dxa"/>
            <w:vAlign w:val="bottom"/>
          </w:tcPr>
          <w:p>
            <w:pPr>
              <w:spacing w:after="0"/>
              <w:rPr>
                <w:sz w:val="20"/>
                <w:szCs w:val="20"/>
                <w:color w:val="auto"/>
              </w:rPr>
            </w:pPr>
            <w:r>
              <w:rPr>
                <w:rFonts w:ascii="Arial" w:cs="Arial" w:eastAsia="Arial" w:hAnsi="Arial"/>
                <w:sz w:val="11"/>
                <w:szCs w:val="11"/>
                <w:color w:val="auto"/>
                <w:w w:val="97"/>
              </w:rPr>
              <w:t>2023</w:t>
            </w:r>
          </w:p>
        </w:tc>
        <w:tc>
          <w:tcPr>
            <w:tcW w:w="180" w:type="dxa"/>
            <w:vAlign w:val="bottom"/>
          </w:tcPr>
          <w:p>
            <w:pPr>
              <w:ind w:left="20"/>
              <w:spacing w:after="0"/>
              <w:rPr>
                <w:sz w:val="20"/>
                <w:szCs w:val="20"/>
                <w:color w:val="auto"/>
              </w:rPr>
            </w:pPr>
            <w:r>
              <w:rPr>
                <w:rFonts w:ascii="Arial" w:cs="Arial" w:eastAsia="Arial" w:hAnsi="Arial"/>
                <w:sz w:val="11"/>
                <w:szCs w:val="11"/>
                <w:color w:val="auto"/>
                <w:w w:val="95"/>
              </w:rPr>
              <w:t>Q1</w:t>
            </w:r>
          </w:p>
        </w:tc>
        <w:tc>
          <w:tcPr>
            <w:tcW w:w="2760" w:type="dxa"/>
            <w:vAlign w:val="bottom"/>
          </w:tcPr>
          <w:p>
            <w:pPr>
              <w:spacing w:after="0"/>
              <w:rPr>
                <w:sz w:val="20"/>
                <w:szCs w:val="20"/>
                <w:color w:val="auto"/>
              </w:rPr>
            </w:pPr>
            <w:r>
              <w:rPr>
                <w:rFonts w:ascii="Arial" w:cs="Arial" w:eastAsia="Arial" w:hAnsi="Arial"/>
                <w:sz w:val="11"/>
                <w:szCs w:val="11"/>
                <w:color w:val="auto"/>
              </w:rPr>
              <w:t>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264.3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152.5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24.5</w:t>
            </w:r>
          </w:p>
        </w:tc>
        <w:tc>
          <w:tcPr>
            <w:tcW w:w="100" w:type="dxa"/>
            <w:vAlign w:val="bottom"/>
          </w:tcPr>
          <w:p>
            <w:pPr>
              <w:spacing w:after="0"/>
              <w:rPr>
                <w:sz w:val="13"/>
                <w:szCs w:val="13"/>
                <w:color w:val="auto"/>
              </w:rPr>
            </w:pPr>
          </w:p>
        </w:tc>
        <w:tc>
          <w:tcPr>
            <w:tcW w:w="780" w:type="dxa"/>
            <w:vAlign w:val="bottom"/>
            <w:tcBorders>
              <w:top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0.25</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38.1</w:t>
            </w:r>
          </w:p>
        </w:tc>
      </w:tr>
      <w:tr>
        <w:trPr>
          <w:trHeight w:val="144"/>
        </w:trPr>
        <w:tc>
          <w:tcPr>
            <w:tcW w:w="3200" w:type="dxa"/>
            <w:vAlign w:val="bottom"/>
            <w:gridSpan w:val="3"/>
          </w:tcPr>
          <w:p>
            <w:pPr>
              <w:spacing w:after="0"/>
              <w:rPr>
                <w:sz w:val="20"/>
                <w:szCs w:val="20"/>
                <w:color w:val="auto"/>
              </w:rPr>
            </w:pPr>
            <w:r>
              <w:rPr>
                <w:rFonts w:ascii="Arial" w:cs="Arial" w:eastAsia="Arial" w:hAnsi="Arial"/>
                <w:sz w:val="11"/>
                <w:szCs w:val="11"/>
                <w:color w:val="auto"/>
              </w:rPr>
              <w:t>Extinguishment of Debt Impact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w w:val="97"/>
              </w:rPr>
              <w:t>(1.0)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5"/>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FX Impact</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(0.1)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0.3</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0.2</w:t>
            </w:r>
          </w:p>
        </w:tc>
      </w:tr>
      <w:tr>
        <w:trPr>
          <w:trHeight w:val="133"/>
        </w:trPr>
        <w:tc>
          <w:tcPr>
            <w:tcW w:w="2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2023</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5"/>
              </w:rPr>
              <w:t>Q1</w:t>
            </w:r>
          </w:p>
        </w:tc>
        <w:tc>
          <w:tcPr>
            <w:tcW w:w="27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Adjusted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264.3</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152.5</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21.6</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0.28</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38.3</w:t>
            </w:r>
          </w:p>
        </w:tc>
      </w:tr>
    </w:tbl>
    <w:p>
      <w:pPr>
        <w:sectPr>
          <w:pgSz w:w="11900" w:h="16838" w:orient="portrait"/>
          <w:cols w:equalWidth="0" w:num="1">
            <w:col w:w="11300"/>
          </w:cols>
          <w:pgMar w:left="300" w:top="777"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gridSpan w:val="3"/>
          </w:tcPr>
          <w:p>
            <w:pPr>
              <w:jc w:val="right"/>
              <w:ind w:right="606"/>
              <w:spacing w:after="0"/>
              <w:rPr>
                <w:sz w:val="20"/>
                <w:szCs w:val="20"/>
                <w:color w:val="auto"/>
              </w:rPr>
            </w:pPr>
            <w:r>
              <w:rPr>
                <w:rFonts w:ascii="Arial" w:cs="Arial" w:eastAsia="Arial" w:hAnsi="Arial"/>
                <w:sz w:val="11"/>
                <w:szCs w:val="11"/>
                <w:b w:val="1"/>
                <w:bCs w:val="1"/>
                <w:color w:val="auto"/>
              </w:rPr>
              <w:t>Three Months Ended</w:t>
            </w:r>
          </w:p>
        </w:tc>
        <w:tc>
          <w:tcPr>
            <w:tcW w:w="0" w:type="dxa"/>
            <w:vAlign w:val="bottom"/>
          </w:tcPr>
          <w:p>
            <w:pPr>
              <w:spacing w:after="0"/>
              <w:rPr>
                <w:sz w:val="1"/>
                <w:szCs w:val="1"/>
                <w:color w:val="auto"/>
              </w:rPr>
            </w:pPr>
          </w:p>
        </w:tc>
      </w:tr>
      <w:tr>
        <w:trPr>
          <w:trHeight w:val="144"/>
        </w:trPr>
        <w:tc>
          <w:tcPr>
            <w:tcW w:w="89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97"/>
        </w:trPr>
        <w:tc>
          <w:tcPr>
            <w:tcW w:w="8900" w:type="dxa"/>
            <w:vAlign w:val="bottom"/>
            <w:vMerge w:val="restart"/>
          </w:tcPr>
          <w:p>
            <w:pPr>
              <w:spacing w:after="0"/>
              <w:rPr>
                <w:sz w:val="20"/>
                <w:szCs w:val="20"/>
                <w:color w:val="auto"/>
              </w:rPr>
            </w:pPr>
            <w:r>
              <w:rPr>
                <w:rFonts w:ascii="Arial" w:cs="Arial" w:eastAsia="Arial" w:hAnsi="Arial"/>
                <w:sz w:val="11"/>
                <w:szCs w:val="11"/>
                <w:i w:val="1"/>
                <w:iCs w:val="1"/>
                <w:color w:val="auto"/>
              </w:rPr>
              <w:t>(in millions)</w:t>
            </w:r>
          </w:p>
        </w:tc>
        <w:tc>
          <w:tcPr>
            <w:tcW w:w="12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U.S. Dollar Amount</w:t>
            </w:r>
          </w:p>
        </w:tc>
        <w:tc>
          <w:tcPr>
            <w:tcW w:w="1200" w:type="dxa"/>
            <w:vAlign w:val="bottom"/>
          </w:tcPr>
          <w:p>
            <w:pPr>
              <w:jc w:val="right"/>
              <w:ind w:right="46"/>
              <w:spacing w:after="0" w:line="97" w:lineRule="exact"/>
              <w:rPr>
                <w:sz w:val="20"/>
                <w:szCs w:val="20"/>
                <w:color w:val="auto"/>
              </w:rPr>
            </w:pPr>
            <w:r>
              <w:rPr>
                <w:rFonts w:ascii="Arial" w:cs="Arial" w:eastAsia="Arial" w:hAnsi="Arial"/>
                <w:sz w:val="11"/>
                <w:szCs w:val="11"/>
                <w:b w:val="1"/>
                <w:bCs w:val="1"/>
                <w:color w:val="auto"/>
              </w:rPr>
              <w:t>Percentage Change</w:t>
            </w:r>
          </w:p>
        </w:tc>
        <w:tc>
          <w:tcPr>
            <w:tcW w:w="0" w:type="dxa"/>
            <w:vAlign w:val="bottom"/>
          </w:tcPr>
          <w:p>
            <w:pPr>
              <w:spacing w:after="0"/>
              <w:rPr>
                <w:sz w:val="1"/>
                <w:szCs w:val="1"/>
                <w:color w:val="auto"/>
              </w:rPr>
            </w:pPr>
          </w:p>
        </w:tc>
      </w:tr>
      <w:tr>
        <w:trPr>
          <w:trHeight w:val="144"/>
        </w:trPr>
        <w:tc>
          <w:tcPr>
            <w:tcW w:w="890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YOY</w:t>
            </w:r>
          </w:p>
        </w:tc>
        <w:tc>
          <w:tcPr>
            <w:tcW w:w="0" w:type="dxa"/>
            <w:vAlign w:val="bottom"/>
          </w:tcPr>
          <w:p>
            <w:pPr>
              <w:spacing w:after="0"/>
              <w:rPr>
                <w:sz w:val="1"/>
                <w:szCs w:val="1"/>
                <w:color w:val="auto"/>
              </w:rPr>
            </w:pPr>
          </w:p>
        </w:tc>
      </w:tr>
      <w:tr>
        <w:trPr>
          <w:trHeight w:val="158"/>
        </w:trPr>
        <w:tc>
          <w:tcPr>
            <w:tcW w:w="8900" w:type="dxa"/>
            <w:vAlign w:val="bottom"/>
          </w:tcPr>
          <w:p>
            <w:pPr>
              <w:spacing w:after="0"/>
              <w:rPr>
                <w:sz w:val="20"/>
                <w:szCs w:val="20"/>
                <w:color w:val="auto"/>
              </w:rPr>
            </w:pPr>
            <w:r>
              <w:rPr>
                <w:rFonts w:ascii="Arial" w:cs="Arial" w:eastAsia="Arial" w:hAnsi="Arial"/>
                <w:sz w:val="11"/>
                <w:szCs w:val="11"/>
                <w:color w:val="auto"/>
              </w:rPr>
              <w:t>Consolidated revenues</w:t>
            </w:r>
          </w:p>
        </w:tc>
        <w:tc>
          <w:tcPr>
            <w:tcW w:w="36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300.0</w:t>
            </w:r>
          </w:p>
        </w:tc>
        <w:tc>
          <w:tcPr>
            <w:tcW w:w="100" w:type="dxa"/>
            <w:vAlign w:val="bottom"/>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consolidated revenues</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292.9</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9"/>
        </w:trPr>
        <w:tc>
          <w:tcPr>
            <w:tcW w:w="8900" w:type="dxa"/>
            <w:vAlign w:val="bottom"/>
          </w:tcPr>
          <w:p>
            <w:pPr>
              <w:spacing w:after="0"/>
              <w:rPr>
                <w:sz w:val="20"/>
                <w:szCs w:val="20"/>
                <w:color w:val="auto"/>
              </w:rPr>
            </w:pPr>
            <w:r>
              <w:rPr>
                <w:rFonts w:ascii="Arial" w:cs="Arial" w:eastAsia="Arial" w:hAnsi="Arial"/>
                <w:sz w:val="11"/>
                <w:szCs w:val="11"/>
                <w:color w:val="auto"/>
              </w:rPr>
              <w:t>Consolidated gross profit</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172.6</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consolidated gross profit</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168.8</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9"/>
        </w:trPr>
        <w:tc>
          <w:tcPr>
            <w:tcW w:w="8900" w:type="dxa"/>
            <w:vAlign w:val="bottom"/>
          </w:tcPr>
          <w:p>
            <w:pPr>
              <w:spacing w:after="0"/>
              <w:rPr>
                <w:sz w:val="20"/>
                <w:szCs w:val="20"/>
                <w:color w:val="auto"/>
              </w:rPr>
            </w:pPr>
            <w:r>
              <w:rPr>
                <w:rFonts w:ascii="Arial" w:cs="Arial" w:eastAsia="Arial" w:hAnsi="Arial"/>
                <w:sz w:val="11"/>
                <w:szCs w:val="11"/>
                <w:color w:val="auto"/>
              </w:rPr>
              <w:t>Consolidated net inventory</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164.9</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consolidated net inventory</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160.9</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86"/>
        </w:trPr>
        <w:tc>
          <w:tcPr>
            <w:tcW w:w="8900" w:type="dxa"/>
            <w:vAlign w:val="bottom"/>
          </w:tcPr>
          <w:p>
            <w:pPr>
              <w:spacing w:after="0"/>
              <w:rPr>
                <w:sz w:val="20"/>
                <w:szCs w:val="20"/>
                <w:color w:val="auto"/>
              </w:rPr>
            </w:pPr>
            <w:r>
              <w:rPr>
                <w:rFonts w:ascii="Arial" w:cs="Arial" w:eastAsia="Arial" w:hAnsi="Arial"/>
                <w:sz w:val="11"/>
                <w:szCs w:val="11"/>
                <w:color w:val="auto"/>
              </w:rPr>
              <w:t>Latin America Pawn gross profit</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45.1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Latin America Pawn gross profit</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9"/>
        </w:trPr>
        <w:tc>
          <w:tcPr>
            <w:tcW w:w="8900" w:type="dxa"/>
            <w:vAlign w:val="bottom"/>
          </w:tcPr>
          <w:p>
            <w:pPr>
              <w:spacing w:after="0"/>
              <w:rPr>
                <w:sz w:val="20"/>
                <w:szCs w:val="20"/>
                <w:color w:val="auto"/>
              </w:rPr>
            </w:pPr>
            <w:r>
              <w:rPr>
                <w:rFonts w:ascii="Arial" w:cs="Arial" w:eastAsia="Arial" w:hAnsi="Arial"/>
                <w:sz w:val="11"/>
                <w:szCs w:val="11"/>
                <w:color w:val="auto"/>
              </w:rPr>
              <w:t>Latin America Pawn PLO</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52.5</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Latin America Pawn PLO</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47.6</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9"/>
        </w:trPr>
        <w:tc>
          <w:tcPr>
            <w:tcW w:w="8900" w:type="dxa"/>
            <w:vAlign w:val="bottom"/>
          </w:tcPr>
          <w:p>
            <w:pPr>
              <w:spacing w:after="0"/>
              <w:rPr>
                <w:sz w:val="20"/>
                <w:szCs w:val="20"/>
                <w:color w:val="auto"/>
              </w:rPr>
            </w:pPr>
            <w:r>
              <w:rPr>
                <w:rFonts w:ascii="Arial" w:cs="Arial" w:eastAsia="Arial" w:hAnsi="Arial"/>
                <w:sz w:val="11"/>
                <w:szCs w:val="11"/>
                <w:color w:val="auto"/>
              </w:rPr>
              <w:t>Latin America Pawn PSC revenues</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27.4</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Latin America Pawn PSC revenues</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9"/>
        </w:trPr>
        <w:tc>
          <w:tcPr>
            <w:tcW w:w="8900" w:type="dxa"/>
            <w:vAlign w:val="bottom"/>
          </w:tcPr>
          <w:p>
            <w:pPr>
              <w:spacing w:after="0"/>
              <w:rPr>
                <w:sz w:val="20"/>
                <w:szCs w:val="20"/>
                <w:color w:val="auto"/>
              </w:rPr>
            </w:pPr>
            <w:r>
              <w:rPr>
                <w:rFonts w:ascii="Arial" w:cs="Arial" w:eastAsia="Arial" w:hAnsi="Arial"/>
                <w:sz w:val="11"/>
                <w:szCs w:val="11"/>
                <w:color w:val="auto"/>
              </w:rPr>
              <w:t>Latin America Pawn merchandise sales</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Latin America Pawn merchandise sales</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9"/>
        </w:trPr>
        <w:tc>
          <w:tcPr>
            <w:tcW w:w="8900" w:type="dxa"/>
            <w:vAlign w:val="bottom"/>
          </w:tcPr>
          <w:p>
            <w:pPr>
              <w:spacing w:after="0"/>
              <w:rPr>
                <w:sz w:val="20"/>
                <w:szCs w:val="20"/>
                <w:color w:val="auto"/>
              </w:rPr>
            </w:pPr>
            <w:r>
              <w:rPr>
                <w:rFonts w:ascii="Arial" w:cs="Arial" w:eastAsia="Arial" w:hAnsi="Arial"/>
                <w:sz w:val="11"/>
                <w:szCs w:val="11"/>
                <w:color w:val="auto"/>
              </w:rPr>
              <w:t>Latin America Pawn segment profit before tax</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45"/>
        </w:trPr>
        <w:tc>
          <w:tcPr>
            <w:tcW w:w="8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Currency exchange rate fluctuations</w:t>
            </w: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Constant currency Latin America Pawn segment profit before tax</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7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2024-01-31T15:41:12Z</dcterms:created>
  <dcterms:modified xsi:type="dcterms:W3CDTF">2024-01-31T15:41:12Z</dcterms:modified>
</cp:coreProperties>
</file>