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63324d10q.htm"/>
      <w:bookmarkStart w:id="1" w:name="ksd263324d10q"/>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8"/>
        </w:rPr>
      </w:pPr>
      <w:r>
        <w:rPr>
          <w:rFonts w:ascii="Times New Roman" w:hAnsi="Times New Roman"/>
          <w:b/>
          <w:sz w:val="28"/>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10-Q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QUARTERLY REPORT PURSUANT TO SECTION 13 OR 15(d) OF THE SECURITIES EXHANGE ACT OF 1934 </w:t>
            </w:r>
          </w:p>
        </w:tc>
      </w:tr>
    </w:tbl>
    <w:p>
      <w:pPr>
        <w:pStyle w:val="TextBody"/>
        <w:spacing w:before="90" w:after="0"/>
        <w:jc w:val="center"/>
        <w:rPr>
          <w:rFonts w:ascii="Times New Roman" w:hAnsi="Times New Roman"/>
          <w:b/>
          <w:sz w:val="20"/>
        </w:rPr>
      </w:pPr>
      <w:r>
        <w:rPr>
          <w:rFonts w:ascii="Times New Roman" w:hAnsi="Times New Roman"/>
          <w:b/>
          <w:sz w:val="20"/>
        </w:rPr>
        <w:t xml:space="preserve">For the quarterly period ended December 31, 2011 </w:t>
      </w:r>
    </w:p>
    <w:p>
      <w:pPr>
        <w:pStyle w:val="TextBody"/>
        <w:spacing w:before="90" w:after="0"/>
        <w:jc w:val="center"/>
        <w:rPr>
          <w:rFonts w:ascii="Times New Roman" w:hAnsi="Times New Roman"/>
          <w:b/>
          <w:sz w:val="20"/>
        </w:rPr>
      </w:pPr>
      <w:r>
        <w:rPr>
          <w:rFonts w:ascii="Times New Roman" w:hAnsi="Times New Roman"/>
          <w:b/>
          <w:sz w:val="20"/>
        </w:rPr>
        <w:t xml:space="preserve">or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spacing w:before="90" w:after="0"/>
        <w:jc w:val="center"/>
        <w:rPr>
          <w:rFonts w:ascii="Times New Roman" w:hAnsi="Times New Roman"/>
          <w:b/>
          <w:sz w:val="20"/>
        </w:rPr>
      </w:pPr>
      <w:r>
        <w:rPr>
          <w:rFonts w:ascii="Times New Roman" w:hAnsi="Times New Roman"/>
          <w:b/>
          <w:sz w:val="20"/>
        </w:rPr>
        <w:t xml:space="preserve">For the transition period from             to              </w:t>
      </w:r>
    </w:p>
    <w:p>
      <w:pPr>
        <w:pStyle w:val="TextBody"/>
        <w:spacing w:before="90" w:after="0"/>
        <w:jc w:val="center"/>
        <w:rPr>
          <w:rFonts w:ascii="Times New Roman" w:hAnsi="Times New Roman"/>
          <w:b/>
          <w:sz w:val="20"/>
        </w:rPr>
      </w:pPr>
      <w:r>
        <w:rPr>
          <w:rFonts w:ascii="Times New Roman" w:hAnsi="Times New Roman"/>
          <w:b/>
          <w:sz w:val="20"/>
        </w:rPr>
        <w:t xml:space="preserve">Commission File No. 0-19424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EZCORP,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74-2540145</w:t>
            </w:r>
          </w:p>
        </w:tc>
      </w:tr>
      <w:tr>
        <w:trPr/>
        <w:tc>
          <w:tcPr>
            <w:tcW w:w="510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1901 Capital Parkway</w:t>
            </w:r>
          </w:p>
          <w:p>
            <w:pPr>
              <w:pStyle w:val="TableContents"/>
              <w:spacing w:before="0" w:after="15"/>
              <w:jc w:val="center"/>
              <w:rPr>
                <w:rFonts w:ascii="Times New Roman" w:hAnsi="Times New Roman"/>
                <w:b/>
                <w:sz w:val="20"/>
              </w:rPr>
            </w:pPr>
            <w:r>
              <w:rPr>
                <w:rFonts w:ascii="Times New Roman" w:hAnsi="Times New Roman"/>
                <w:b/>
                <w:sz w:val="20"/>
              </w:rPr>
              <w:t>Austin, Texas</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78746</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90" w:after="0"/>
        <w:jc w:val="center"/>
        <w:rPr>
          <w:rFonts w:ascii="Times New Roman" w:hAnsi="Times New Roman"/>
          <w:b/>
          <w:sz w:val="20"/>
        </w:rPr>
      </w:pPr>
      <w:r>
        <w:rPr>
          <w:rFonts w:ascii="Times New Roman" w:hAnsi="Times New Roman"/>
          <w:b/>
          <w:sz w:val="20"/>
        </w:rPr>
        <w:t xml:space="preserve">(512) 314-3400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0"/>
        <w:gridCol w:w="107"/>
        <w:gridCol w:w="4352"/>
        <w:gridCol w:w="151"/>
        <w:gridCol w:w="2902"/>
        <w:gridCol w:w="107"/>
        <w:gridCol w:w="236"/>
      </w:tblGrid>
      <w:tr>
        <w:trPr/>
        <w:tc>
          <w:tcPr>
            <w:tcW w:w="235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435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r>
        <w:trPr>
          <w:trHeight w:val="120" w:hRule="atLeast"/>
        </w:trPr>
        <w:tc>
          <w:tcPr>
            <w:tcW w:w="2350" w:type="dxa"/>
            <w:tcBorders/>
            <w:shd w:fill="auto" w:val="clear"/>
            <w:vAlign w:val="center"/>
          </w:tcPr>
          <w:p>
            <w:pPr>
              <w:pStyle w:val="TableContents"/>
              <w:spacing w:before="0" w:after="283"/>
              <w:rPr>
                <w:sz w:val="4"/>
                <w:szCs w:val="4"/>
              </w:rPr>
            </w:pPr>
            <w:r>
              <w:rPr>
                <w:sz w:val="4"/>
                <w:szCs w:val="4"/>
              </w:rPr>
            </w:r>
          </w:p>
        </w:tc>
        <w:tc>
          <w:tcPr>
            <w:tcW w:w="4459" w:type="dxa"/>
            <w:gridSpan w:val="2"/>
            <w:tcBorders/>
            <w:shd w:fill="auto" w:val="clear"/>
            <w:vAlign w:val="center"/>
          </w:tcPr>
          <w:p>
            <w:pPr>
              <w:pStyle w:val="TableContents"/>
              <w:spacing w:before="0" w:after="283"/>
              <w:rPr>
                <w:sz w:val="4"/>
                <w:szCs w:val="4"/>
              </w:rPr>
            </w:pPr>
            <w:r>
              <w:rPr>
                <w:sz w:val="4"/>
                <w:szCs w:val="4"/>
              </w:rPr>
            </w:r>
          </w:p>
        </w:tc>
        <w:tc>
          <w:tcPr>
            <w:tcW w:w="3053" w:type="dxa"/>
            <w:gridSpan w:val="2"/>
            <w:tcBorders/>
            <w:shd w:fill="auto" w:val="clear"/>
            <w:vAlign w:val="center"/>
          </w:tcPr>
          <w:p>
            <w:pPr>
              <w:pStyle w:val="TableContents"/>
              <w:spacing w:before="0" w:after="283"/>
              <w:rPr>
                <w:sz w:val="4"/>
                <w:szCs w:val="4"/>
              </w:rPr>
            </w:pPr>
            <w:r>
              <w:rPr>
                <w:sz w:val="4"/>
                <w:szCs w:val="4"/>
              </w:rPr>
            </w:r>
          </w:p>
        </w:tc>
        <w:tc>
          <w:tcPr>
            <w:tcW w:w="343" w:type="dxa"/>
            <w:gridSpan w:val="2"/>
            <w:tcBorders/>
            <w:shd w:fill="auto" w:val="clear"/>
            <w:vAlign w:val="center"/>
          </w:tcPr>
          <w:p>
            <w:pPr>
              <w:pStyle w:val="TableContents"/>
              <w:spacing w:before="0" w:after="283"/>
              <w:rPr>
                <w:sz w:val="4"/>
                <w:szCs w:val="4"/>
              </w:rPr>
            </w:pPr>
            <w:r>
              <w:rPr>
                <w:sz w:val="4"/>
                <w:szCs w:val="4"/>
              </w:rPr>
            </w:r>
          </w:p>
        </w:tc>
      </w:tr>
      <w:tr>
        <w:trPr/>
        <w:tc>
          <w:tcPr>
            <w:tcW w:w="23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7" w:type="dxa"/>
            <w:tcBorders/>
            <w:shd w:fill="auto" w:val="clear"/>
            <w:vAlign w:val="bottom"/>
          </w:tcPr>
          <w:p>
            <w:pPr>
              <w:pStyle w:val="TableContents"/>
              <w:spacing w:before="0" w:after="283"/>
              <w:rPr/>
            </w:pPr>
            <w:r>
              <w:rPr/>
              <w:t> </w:t>
            </w:r>
          </w:p>
        </w:tc>
        <w:tc>
          <w:tcPr>
            <w:tcW w:w="4352" w:type="dxa"/>
            <w:tcBorders/>
            <w:shd w:fill="auto" w:val="clear"/>
            <w:vAlign w:val="bottom"/>
          </w:tcPr>
          <w:p>
            <w:pPr>
              <w:pStyle w:val="TableContents"/>
              <w:spacing w:before="0" w:after="283"/>
              <w:rPr/>
            </w:pPr>
            <w:r>
              <w:rPr/>
              <w:t>☐  </w:t>
            </w:r>
            <w:r>
              <w:rPr>
                <w:rFonts w:ascii="Times New Roman" w:hAnsi="Times New Roman"/>
                <w:sz w:val="20"/>
              </w:rPr>
              <w:t>(Do not check if a smaller reporting company)</w:t>
            </w:r>
          </w:p>
        </w:tc>
        <w:tc>
          <w:tcPr>
            <w:tcW w:w="151" w:type="dxa"/>
            <w:tcBorders/>
            <w:shd w:fill="auto" w:val="clear"/>
            <w:vAlign w:val="bottom"/>
          </w:tcPr>
          <w:p>
            <w:pPr>
              <w:pStyle w:val="TableContents"/>
              <w:spacing w:before="0" w:after="283"/>
              <w:rPr/>
            </w:pPr>
            <w:r>
              <w:rPr/>
              <w:t>  </w:t>
            </w:r>
          </w:p>
        </w:tc>
        <w:tc>
          <w:tcPr>
            <w:tcW w:w="290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r>
    </w:tbl>
    <w:p>
      <w:pPr>
        <w:pStyle w:val="TextBody"/>
        <w:spacing w:before="180" w:after="0"/>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spacing w:before="180" w:after="0"/>
        <w:jc w:val="center"/>
        <w:rPr>
          <w:rFonts w:ascii="Times New Roman" w:hAnsi="Times New Roman"/>
          <w:sz w:val="20"/>
        </w:rPr>
      </w:pPr>
      <w:r>
        <w:rPr>
          <w:rFonts w:ascii="Times New Roman" w:hAnsi="Times New Roman"/>
          <w:sz w:val="20"/>
        </w:rPr>
        <w:t xml:space="preserve">APPLICABLE ONLY TO CORPORATE ISSUERS: </w:t>
      </w:r>
    </w:p>
    <w:p>
      <w:pPr>
        <w:pStyle w:val="TextBody"/>
        <w:spacing w:before="180" w:after="0"/>
        <w:rPr>
          <w:rFonts w:ascii="Times New Roman" w:hAnsi="Times New Roman"/>
          <w:sz w:val="20"/>
        </w:rPr>
      </w:pPr>
      <w:r>
        <w:rPr>
          <w:rFonts w:ascii="Times New Roman" w:hAnsi="Times New Roman"/>
          <w:sz w:val="20"/>
        </w:rPr>
        <w:t xml:space="preserve">The only class of voting securities of the registrant issued and outstanding is the Class B Voting Common Stock, par value $.01 per share, all of which is owned by an affiliate of the registrant. There is no trading market for the Class B Voting Common Stock. </w:t>
      </w:r>
    </w:p>
    <w:p>
      <w:pPr>
        <w:pStyle w:val="TextBody"/>
        <w:spacing w:before="180" w:after="0"/>
        <w:rPr>
          <w:rFonts w:ascii="Times New Roman" w:hAnsi="Times New Roman"/>
          <w:sz w:val="20"/>
        </w:rPr>
      </w:pPr>
      <w:r>
        <w:rPr>
          <w:rFonts w:ascii="Times New Roman" w:hAnsi="Times New Roman"/>
          <w:sz w:val="20"/>
        </w:rPr>
        <w:t xml:space="preserve">As of December 31, 2011, 47,409,234 shares of the registrants Class A Non-voting Common Stock, par value $.01 per share, and 2,970,171 shares of the registrants Class B Voting Common Stock, par value $.01 per share, were outstanding.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EZCORP, INC. </w:t>
      </w:r>
    </w:p>
    <w:p>
      <w:pPr>
        <w:pStyle w:val="TextBody"/>
        <w:spacing w:before="180" w:after="0"/>
        <w:jc w:val="center"/>
        <w:rPr>
          <w:rFonts w:ascii="Times New Roman" w:hAnsi="Times New Roman"/>
          <w:b/>
          <w:sz w:val="20"/>
        </w:rPr>
      </w:pPr>
      <w:r>
        <w:rPr>
          <w:rFonts w:ascii="Times New Roman" w:hAnsi="Times New Roman"/>
          <w:b/>
          <w:sz w:val="20"/>
        </w:rPr>
        <w:t xml:space="preserve">INDEX TO FORM 10-Q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3"/>
        <w:gridCol w:w="106"/>
        <w:gridCol w:w="712"/>
        <w:gridCol w:w="106"/>
        <w:gridCol w:w="8273"/>
        <w:gridCol w:w="120"/>
        <w:gridCol w:w="60"/>
        <w:gridCol w:w="230"/>
        <w:gridCol w:w="125"/>
      </w:tblGrid>
      <w:tr>
        <w:trPr/>
        <w:tc>
          <w:tcPr>
            <w:tcW w:w="47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27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670" w:type="dxa"/>
            <w:gridSpan w:val="5"/>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9670" w:type="dxa"/>
            <w:gridSpan w:val="5"/>
            <w:tcBorders/>
            <w:shd w:fill="auto" w:val="clear"/>
            <w:vAlign w:val="bottom"/>
          </w:tcPr>
          <w:p>
            <w:pPr>
              <w:pStyle w:val="TableContents"/>
              <w:spacing w:before="0" w:after="15"/>
              <w:rPr>
                <w:rFonts w:ascii="Times New Roman" w:hAnsi="Times New Roman"/>
                <w:sz w:val="20"/>
              </w:rPr>
            </w:pPr>
            <w:r>
              <w:rPr>
                <w:rFonts w:ascii="Times New Roman" w:hAnsi="Times New Roman"/>
                <w:sz w:val="20"/>
              </w:rPr>
              <w:t>PART I. FINANCIAL INFORMATION</w:t>
            </w:r>
          </w:p>
        </w:tc>
        <w:tc>
          <w:tcPr>
            <w:tcW w:w="120"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1.</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1">
              <w:r>
                <w:rPr>
                  <w:rStyle w:val="InternetLink"/>
                  <w:rFonts w:ascii="Times New Roman" w:hAnsi="Times New Roman"/>
                  <w:i/>
                  <w:sz w:val="20"/>
                </w:rPr>
                <w:t xml:space="preserve">Financial Statements and Supplementary Data (Unaudited)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2">
              <w:r>
                <w:rPr>
                  <w:rStyle w:val="InternetLink"/>
                  <w:rFonts w:ascii="Times New Roman" w:hAnsi="Times New Roman"/>
                  <w:sz w:val="20"/>
                </w:rPr>
                <w:t xml:space="preserve">Condensed Consolidated Balance Sheets as of December 31, 2011, December 31, 2010 and September 30, 2011 (audited)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3">
              <w:r>
                <w:rPr>
                  <w:rStyle w:val="InternetLink"/>
                  <w:rFonts w:ascii="Times New Roman" w:hAnsi="Times New Roman"/>
                  <w:sz w:val="20"/>
                </w:rPr>
                <w:t xml:space="preserve">Condensed Consolidated Statements of Operations for the Three Months Ended December 31, 2011 and 2010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4">
              <w:r>
                <w:rPr>
                  <w:rStyle w:val="InternetLink"/>
                  <w:rFonts w:ascii="Times New Roman" w:hAnsi="Times New Roman"/>
                  <w:sz w:val="20"/>
                </w:rPr>
                <w:t xml:space="preserve">Condensed Consolidated Statements of Comprehensive Income for the Three Months Ended December 31, 2011 and 2010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5">
              <w:r>
                <w:rPr>
                  <w:rStyle w:val="InternetLink"/>
                  <w:rFonts w:ascii="Times New Roman" w:hAnsi="Times New Roman"/>
                  <w:sz w:val="20"/>
                </w:rPr>
                <w:t>Condensed Consolidated Statements of Cash Flows for the Three Months Ended December 31, 2011 and 2010</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6">
              <w:r>
                <w:rPr>
                  <w:rStyle w:val="InternetLink"/>
                  <w:rFonts w:ascii="Times New Roman" w:hAnsi="Times New Roman"/>
                  <w:sz w:val="20"/>
                </w:rPr>
                <w:t>Notes to Interim Condensed Consolidated Financial Statements</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2.</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7">
              <w:r>
                <w:rPr>
                  <w:rStyle w:val="InternetLink"/>
                  <w:rFonts w:ascii="Times New Roman" w:hAnsi="Times New Roman"/>
                  <w:i/>
                  <w:sz w:val="20"/>
                </w:rPr>
                <w:t>Managements Discussion and Analysis of Financial Condition and Results of Operations</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3.</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8">
              <w:r>
                <w:rPr>
                  <w:rStyle w:val="InternetLink"/>
                  <w:rFonts w:ascii="Times New Roman" w:hAnsi="Times New Roman"/>
                  <w:i/>
                  <w:sz w:val="20"/>
                </w:rPr>
                <w:t>Quantitative and Qualitative Disclosures about Market Risk</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4.</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9">
              <w:r>
                <w:rPr>
                  <w:rStyle w:val="InternetLink"/>
                  <w:rFonts w:ascii="Times New Roman" w:hAnsi="Times New Roman"/>
                  <w:i/>
                  <w:sz w:val="20"/>
                </w:rPr>
                <w:t>Controls and Procedures</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5" w:type="dxa"/>
            <w:tcBorders/>
            <w:shd w:fill="auto" w:val="clear"/>
            <w:vAlign w:val="bottom"/>
          </w:tcPr>
          <w:p>
            <w:pPr>
              <w:pStyle w:val="TableContents"/>
              <w:spacing w:before="0" w:after="283"/>
              <w:rPr/>
            </w:pPr>
            <w:r>
              <w:rPr/>
              <w:t>  </w:t>
            </w:r>
          </w:p>
        </w:tc>
      </w:tr>
      <w:tr>
        <w:trPr>
          <w:trHeight w:val="120" w:hRule="atLeast"/>
        </w:trPr>
        <w:tc>
          <w:tcPr>
            <w:tcW w:w="9670" w:type="dxa"/>
            <w:gridSpan w:val="5"/>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9670" w:type="dxa"/>
            <w:gridSpan w:val="5"/>
            <w:tcBorders/>
            <w:shd w:fill="auto" w:val="clear"/>
          </w:tcPr>
          <w:p>
            <w:pPr>
              <w:pStyle w:val="TableContents"/>
              <w:spacing w:before="0" w:after="15"/>
              <w:rPr/>
            </w:pPr>
            <w:hyperlink w:anchor="tx263324_10">
              <w:r>
                <w:rPr>
                  <w:rStyle w:val="InternetLink"/>
                  <w:rFonts w:ascii="Times New Roman" w:hAnsi="Times New Roman"/>
                  <w:sz w:val="20"/>
                </w:rPr>
                <w:t xml:space="preserve">PART II. OTHER INFORMATION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1.</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11">
              <w:r>
                <w:rPr>
                  <w:rStyle w:val="InternetLink"/>
                  <w:rFonts w:ascii="Times New Roman" w:hAnsi="Times New Roman"/>
                  <w:i/>
                  <w:sz w:val="20"/>
                </w:rPr>
                <w:t>Legal Proceedings</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1A.</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12">
              <w:r>
                <w:rPr>
                  <w:rStyle w:val="InternetLink"/>
                  <w:rFonts w:ascii="Times New Roman" w:hAnsi="Times New Roman"/>
                  <w:i/>
                  <w:sz w:val="20"/>
                </w:rPr>
                <w:t>Risk Factors</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5" w:type="dxa"/>
            <w:tcBorders/>
            <w:shd w:fill="auto" w:val="clear"/>
            <w:vAlign w:val="bottom"/>
          </w:tcPr>
          <w:p>
            <w:pPr>
              <w:pStyle w:val="TableContents"/>
              <w:spacing w:before="0" w:after="283"/>
              <w:rPr/>
            </w:pPr>
            <w:r>
              <w:rPr/>
              <w:t>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818" w:type="dxa"/>
            <w:gridSpan w:val="2"/>
            <w:tcBorders/>
            <w:shd w:fill="auto" w:val="clear"/>
            <w:vAlign w:val="center"/>
          </w:tcPr>
          <w:p>
            <w:pPr>
              <w:pStyle w:val="TableContents"/>
              <w:spacing w:before="0" w:after="283"/>
              <w:rPr>
                <w:sz w:val="4"/>
                <w:szCs w:val="4"/>
              </w:rPr>
            </w:pPr>
            <w:r>
              <w:rPr>
                <w:sz w:val="4"/>
                <w:szCs w:val="4"/>
              </w:rPr>
            </w:r>
          </w:p>
        </w:tc>
        <w:tc>
          <w:tcPr>
            <w:tcW w:w="8379" w:type="dxa"/>
            <w:gridSpan w:val="2"/>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712" w:type="dxa"/>
            <w:tcBorders/>
            <w:shd w:fill="auto" w:val="clear"/>
          </w:tcPr>
          <w:p>
            <w:pPr>
              <w:pStyle w:val="TableContents"/>
              <w:spacing w:before="0" w:after="283"/>
              <w:rPr>
                <w:rFonts w:ascii="Times New Roman" w:hAnsi="Times New Roman"/>
                <w:i/>
                <w:sz w:val="20"/>
              </w:rPr>
            </w:pPr>
            <w:r>
              <w:rPr>
                <w:rFonts w:ascii="Times New Roman" w:hAnsi="Times New Roman"/>
                <w:i/>
                <w:sz w:val="20"/>
              </w:rPr>
              <w:t>Item 6.</w:t>
            </w:r>
          </w:p>
        </w:tc>
        <w:tc>
          <w:tcPr>
            <w:tcW w:w="106" w:type="dxa"/>
            <w:tcBorders/>
            <w:shd w:fill="auto" w:val="clear"/>
            <w:vAlign w:val="bottom"/>
          </w:tcPr>
          <w:p>
            <w:pPr>
              <w:pStyle w:val="TableContents"/>
              <w:spacing w:before="0" w:after="283"/>
              <w:rPr/>
            </w:pPr>
            <w:r>
              <w:rPr/>
              <w:t> </w:t>
            </w:r>
          </w:p>
        </w:tc>
        <w:tc>
          <w:tcPr>
            <w:tcW w:w="8273" w:type="dxa"/>
            <w:tcBorders/>
            <w:shd w:fill="auto" w:val="clear"/>
          </w:tcPr>
          <w:p>
            <w:pPr>
              <w:pStyle w:val="TableContents"/>
              <w:spacing w:before="0" w:after="283"/>
              <w:rPr/>
            </w:pPr>
            <w:hyperlink w:anchor="tx263324_13">
              <w:r>
                <w:rPr>
                  <w:rStyle w:val="InternetLink"/>
                  <w:rFonts w:ascii="Times New Roman" w:hAnsi="Times New Roman"/>
                  <w:i/>
                  <w:sz w:val="20"/>
                </w:rPr>
                <w:t>Exhibits</w:t>
              </w:r>
            </w:hyperlink>
            <w:r>
              <w:rPr>
                <w:rFonts w:ascii="Times New Roman" w:hAnsi="Times New Roman"/>
                <w:sz w:val="20"/>
              </w:rPr>
              <w:t xml:space="preserve">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25" w:type="dxa"/>
            <w:tcBorders/>
            <w:shd w:fill="auto" w:val="clear"/>
            <w:vAlign w:val="bottom"/>
          </w:tcPr>
          <w:p>
            <w:pPr>
              <w:pStyle w:val="TableContents"/>
              <w:spacing w:before="0" w:after="283"/>
              <w:rPr/>
            </w:pPr>
            <w:r>
              <w:rPr/>
              <w:t>  </w:t>
            </w:r>
          </w:p>
        </w:tc>
      </w:tr>
      <w:tr>
        <w:trPr>
          <w:trHeight w:val="120" w:hRule="atLeast"/>
        </w:trPr>
        <w:tc>
          <w:tcPr>
            <w:tcW w:w="9670" w:type="dxa"/>
            <w:gridSpan w:val="5"/>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9670" w:type="dxa"/>
            <w:gridSpan w:val="5"/>
            <w:tcBorders/>
            <w:shd w:fill="auto" w:val="clear"/>
          </w:tcPr>
          <w:p>
            <w:pPr>
              <w:pStyle w:val="TableContents"/>
              <w:spacing w:before="0" w:after="15"/>
              <w:rPr/>
            </w:pPr>
            <w:hyperlink w:anchor="tx263324_14">
              <w:r>
                <w:rPr>
                  <w:rStyle w:val="InternetLink"/>
                  <w:rFonts w:ascii="Times New Roman" w:hAnsi="Times New Roman"/>
                  <w:sz w:val="20"/>
                </w:rPr>
                <w:t xml:space="preserve">SIGNATURES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5" w:type="dxa"/>
            <w:tcBorders/>
            <w:shd w:fill="auto" w:val="clear"/>
            <w:vAlign w:val="bottom"/>
          </w:tcPr>
          <w:p>
            <w:pPr>
              <w:pStyle w:val="TableContents"/>
              <w:spacing w:before="0" w:after="283"/>
              <w:rPr/>
            </w:pPr>
            <w:r>
              <w:rPr/>
              <w:t>  </w:t>
            </w:r>
          </w:p>
        </w:tc>
      </w:tr>
      <w:tr>
        <w:trPr>
          <w:trHeight w:val="120" w:hRule="atLeast"/>
        </w:trPr>
        <w:tc>
          <w:tcPr>
            <w:tcW w:w="9670" w:type="dxa"/>
            <w:gridSpan w:val="5"/>
            <w:tcBorders/>
            <w:shd w:fill="auto" w:val="clear"/>
            <w:vAlign w:val="center"/>
          </w:tcPr>
          <w:p>
            <w:pPr>
              <w:pStyle w:val="TableContents"/>
              <w:spacing w:before="0" w:after="283"/>
              <w:rPr>
                <w:sz w:val="4"/>
                <w:szCs w:val="4"/>
              </w:rPr>
            </w:pPr>
            <w:r>
              <w:rPr>
                <w:sz w:val="4"/>
                <w:szCs w:val="4"/>
              </w:rPr>
            </w:r>
          </w:p>
        </w:tc>
        <w:tc>
          <w:tcPr>
            <w:tcW w:w="535" w:type="dxa"/>
            <w:gridSpan w:val="4"/>
            <w:tcBorders/>
            <w:shd w:fill="auto" w:val="clear"/>
            <w:vAlign w:val="center"/>
          </w:tcPr>
          <w:p>
            <w:pPr>
              <w:pStyle w:val="TableContents"/>
              <w:spacing w:before="0" w:after="283"/>
              <w:rPr>
                <w:sz w:val="4"/>
                <w:szCs w:val="4"/>
              </w:rPr>
            </w:pPr>
            <w:r>
              <w:rPr>
                <w:sz w:val="4"/>
                <w:szCs w:val="4"/>
              </w:rPr>
            </w:r>
          </w:p>
        </w:tc>
      </w:tr>
      <w:tr>
        <w:trPr/>
        <w:tc>
          <w:tcPr>
            <w:tcW w:w="9670" w:type="dxa"/>
            <w:gridSpan w:val="5"/>
            <w:tcBorders/>
            <w:shd w:fill="auto" w:val="clear"/>
          </w:tcPr>
          <w:p>
            <w:pPr>
              <w:pStyle w:val="TableContents"/>
              <w:spacing w:before="0" w:after="15"/>
              <w:rPr/>
            </w:pPr>
            <w:hyperlink w:anchor="tx263324_15">
              <w:r>
                <w:rPr>
                  <w:rStyle w:val="InternetLink"/>
                  <w:rFonts w:ascii="Times New Roman" w:hAnsi="Times New Roman"/>
                  <w:sz w:val="20"/>
                </w:rPr>
                <w:t xml:space="preserve">EXHIBIT INDEX </w:t>
              </w:r>
            </w:hyperlink>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5"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rPr>
          <w:rFonts w:ascii="Times New Roman" w:hAnsi="Times New Roman"/>
          <w:b/>
          <w:sz w:val="20"/>
        </w:rPr>
      </w:pPr>
      <w:bookmarkStart w:id="2" w:name="tx263324_1"/>
      <w:bookmarkEnd w:id="2"/>
      <w:r>
        <w:rPr>
          <w:rFonts w:ascii="Times New Roman" w:hAnsi="Times New Roman"/>
          <w:b/>
          <w:sz w:val="20"/>
        </w:rPr>
        <w:t>I</w:t>
      </w:r>
      <w:r>
        <w:rPr>
          <w:rFonts w:ascii="Times New Roman" w:hAnsi="Times New Roman"/>
          <w:b/>
          <w:sz w:val="14"/>
        </w:rPr>
        <w:t>TEM </w:t>
      </w:r>
      <w:r>
        <w:rPr>
          <w:rFonts w:ascii="Times New Roman" w:hAnsi="Times New Roman"/>
          <w:b/>
          <w:sz w:val="20"/>
        </w:rPr>
        <w:t>1. F</w:t>
      </w:r>
      <w:r>
        <w:rPr>
          <w:rFonts w:ascii="Times New Roman" w:hAnsi="Times New Roman"/>
          <w:b/>
          <w:sz w:val="14"/>
        </w:rPr>
        <w:t>INANCIAL</w:t>
      </w:r>
      <w:r>
        <w:rPr>
          <w:rFonts w:ascii="Times New Roman" w:hAnsi="Times New Roman"/>
          <w:b/>
          <w:sz w:val="20"/>
        </w:rPr>
        <w:t xml:space="preserve"> S</w:t>
      </w:r>
      <w:r>
        <w:rPr>
          <w:rFonts w:ascii="Times New Roman" w:hAnsi="Times New Roman"/>
          <w:b/>
          <w:sz w:val="14"/>
        </w:rPr>
        <w:t>TATEMENTS</w:t>
      </w:r>
      <w:r>
        <w:rPr>
          <w:rFonts w:ascii="Times New Roman" w:hAnsi="Times New Roman"/>
          <w:b/>
          <w:sz w:val="20"/>
        </w:rPr>
        <w:t xml:space="preserve"> </w:t>
      </w:r>
      <w:r>
        <w:rPr>
          <w:rFonts w:ascii="Times New Roman" w:hAnsi="Times New Roman"/>
          <w:b/>
          <w:sz w:val="14"/>
        </w:rPr>
        <w:t>AND</w:t>
      </w:r>
      <w:r>
        <w:rPr>
          <w:rFonts w:ascii="Times New Roman" w:hAnsi="Times New Roman"/>
          <w:b/>
          <w:sz w:val="20"/>
        </w:rPr>
        <w:t xml:space="preserve"> S</w:t>
      </w:r>
      <w:r>
        <w:rPr>
          <w:rFonts w:ascii="Times New Roman" w:hAnsi="Times New Roman"/>
          <w:b/>
          <w:sz w:val="14"/>
        </w:rPr>
        <w:t>UPPLEMENTARY</w:t>
      </w:r>
      <w:r>
        <w:rPr>
          <w:rFonts w:ascii="Times New Roman" w:hAnsi="Times New Roman"/>
          <w:b/>
          <w:sz w:val="20"/>
        </w:rPr>
        <w:t xml:space="preserve"> D</w:t>
      </w:r>
      <w:r>
        <w:rPr>
          <w:rFonts w:ascii="Times New Roman" w:hAnsi="Times New Roman"/>
          <w:b/>
          <w:sz w:val="14"/>
        </w:rPr>
        <w:t>ATA</w:t>
      </w:r>
      <w:r>
        <w:rPr>
          <w:rFonts w:ascii="Times New Roman" w:hAnsi="Times New Roman"/>
          <w:b/>
          <w:sz w:val="20"/>
        </w:rPr>
        <w:t xml:space="preserve"> </w:t>
      </w:r>
    </w:p>
    <w:p>
      <w:pPr>
        <w:pStyle w:val="TextBody"/>
        <w:spacing w:before="180" w:after="0"/>
        <w:jc w:val="center"/>
        <w:rPr>
          <w:rFonts w:ascii="Times New Roman" w:hAnsi="Times New Roman"/>
          <w:sz w:val="20"/>
        </w:rPr>
      </w:pPr>
      <w:bookmarkStart w:id="3" w:name="tx263324_2"/>
      <w:bookmarkEnd w:id="3"/>
      <w:r>
        <w:rPr>
          <w:rFonts w:ascii="Times New Roman" w:hAnsi="Times New Roman"/>
          <w:sz w:val="20"/>
        </w:rPr>
        <w:t xml:space="preserve">Condensed 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83"/>
        <w:gridCol w:w="303"/>
        <w:gridCol w:w="125"/>
        <w:gridCol w:w="699"/>
        <w:gridCol w:w="125"/>
        <w:gridCol w:w="270"/>
        <w:gridCol w:w="125"/>
        <w:gridCol w:w="699"/>
        <w:gridCol w:w="119"/>
        <w:gridCol w:w="303"/>
        <w:gridCol w:w="125"/>
        <w:gridCol w:w="699"/>
        <w:gridCol w:w="130"/>
      </w:tblGrid>
      <w:tr>
        <w:trPr/>
        <w:tc>
          <w:tcPr>
            <w:tcW w:w="648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82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4" w:type="dxa"/>
            <w:gridSpan w:val="2"/>
            <w:tcBorders/>
            <w:shd w:fill="auto" w:val="clear"/>
            <w:vAlign w:val="bottom"/>
          </w:tcPr>
          <w:p>
            <w:pPr>
              <w:pStyle w:val="TableContents"/>
              <w:pBdr>
                <w:bottom w:val="single" w:sz="2" w:space="1" w:color="000000"/>
              </w:pBdr>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3289"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22,868</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23,908</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150,060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124,388</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 net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11,953</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11,389</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3,512</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3,222</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28,593</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24,068</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6,206</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6,141</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5,348</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100,319</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77,677</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18,169</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23,248</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38,914</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20,724</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382,722</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317,014</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30" w:type="dxa"/>
            <w:tcBorders/>
            <w:shd w:fill="CCEEFF" w:val="clear"/>
            <w:vAlign w:val="bottom"/>
          </w:tcPr>
          <w:p>
            <w:pPr>
              <w:pStyle w:val="TableContents"/>
              <w:spacing w:before="0" w:after="283"/>
              <w:rPr/>
            </w:pPr>
            <w:r>
              <w:rPr/>
              <w:t>  </w:t>
            </w:r>
          </w:p>
        </w:tc>
      </w:tr>
      <w:tr>
        <w:trPr>
          <w:trHeight w:val="120" w:hRule="atLeast"/>
        </w:trPr>
        <w:tc>
          <w:tcPr>
            <w:tcW w:w="6483" w:type="dxa"/>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117,820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108,959</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84,513</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66,641</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212,475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128,181</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net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20,568</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16,320</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19,790</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7,781</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7,932</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8,400</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645,047</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57,451</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48,986</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6,152</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5,950</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12,672</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5,267</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76,275</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70,203</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30" w:type="dxa"/>
            <w:tcBorders/>
            <w:shd w:fill="auto" w:val="clear"/>
            <w:vAlign w:val="bottom"/>
          </w:tcPr>
          <w:p>
            <w:pPr>
              <w:pStyle w:val="TableContents"/>
              <w:spacing w:before="0" w:after="283"/>
              <w:rPr/>
            </w:pPr>
            <w:r>
              <w:rPr/>
              <w:t>  </w:t>
            </w:r>
          </w:p>
        </w:tc>
      </w:tr>
      <w:tr>
        <w:trPr>
          <w:trHeight w:val="120" w:hRule="atLeast"/>
        </w:trPr>
        <w:tc>
          <w:tcPr>
            <w:tcW w:w="6483" w:type="dxa"/>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8,724</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2,419</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127,496</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86,741</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92,202</w:t>
            </w:r>
          </w:p>
        </w:tc>
        <w:tc>
          <w:tcPr>
            <w:tcW w:w="130" w:type="dxa"/>
            <w:tcBorders/>
            <w:shd w:fill="auto" w:val="clear"/>
            <w:vAlign w:val="bottom"/>
          </w:tcPr>
          <w:p>
            <w:pPr>
              <w:pStyle w:val="TableContents"/>
              <w:spacing w:before="0" w:after="283"/>
              <w:rPr/>
            </w:pPr>
            <w:r>
              <w:rPr/>
              <w:t>  </w:t>
            </w:r>
          </w:p>
        </w:tc>
      </w:tr>
      <w:tr>
        <w:trPr>
          <w:trHeight w:val="120" w:hRule="atLeast"/>
        </w:trPr>
        <w:tc>
          <w:tcPr>
            <w:tcW w:w="6483" w:type="dxa"/>
            <w:tcBorders/>
            <w:shd w:fill="auto" w:val="clear"/>
            <w:vAlign w:val="center"/>
          </w:tcPr>
          <w:p>
            <w:pPr>
              <w:pStyle w:val="TableContents"/>
              <w:spacing w:before="0" w:after="283"/>
              <w:rPr>
                <w:sz w:val="4"/>
                <w:szCs w:val="4"/>
              </w:rPr>
            </w:pPr>
            <w:r>
              <w:rPr>
                <w:sz w:val="4"/>
                <w:szCs w:val="4"/>
              </w:rPr>
            </w:r>
          </w:p>
        </w:tc>
        <w:tc>
          <w:tcPr>
            <w:tcW w:w="1252" w:type="dxa"/>
            <w:gridSpan w:val="4"/>
            <w:tcBorders/>
            <w:shd w:fill="auto" w:val="clear"/>
            <w:vAlign w:val="center"/>
          </w:tcPr>
          <w:p>
            <w:pPr>
              <w:pStyle w:val="TableContents"/>
              <w:spacing w:before="0" w:after="283"/>
              <w:rPr>
                <w:sz w:val="4"/>
                <w:szCs w:val="4"/>
              </w:rPr>
            </w:pPr>
            <w:r>
              <w:rPr>
                <w:sz w:val="4"/>
                <w:szCs w:val="4"/>
              </w:rPr>
            </w:r>
          </w:p>
        </w:tc>
        <w:tc>
          <w:tcPr>
            <w:tcW w:w="1213"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9"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9"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 Authorized 54 million shares; issued and outstanding: 47,409,234 at December 31, 2011; 46,952,495 at December 31, 2010;and 47,228,610 at September 30, 2011</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 3 million shares authorized; issued and outstanding: 2,970,171</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243,919</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229,789</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242,398</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461,447</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327,365</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422,095</w:t>
            </w:r>
          </w:p>
        </w:tc>
        <w:tc>
          <w:tcPr>
            <w:tcW w:w="130" w:type="dxa"/>
            <w:tcBorders/>
            <w:shd w:fill="auto" w:val="clear"/>
            <w:vAlign w:val="bottom"/>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698,383</w:t>
            </w:r>
          </w:p>
        </w:tc>
        <w:tc>
          <w:tcPr>
            <w:tcW w:w="125"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558,306</w:t>
            </w:r>
          </w:p>
        </w:tc>
        <w:tc>
          <w:tcPr>
            <w:tcW w:w="119"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30" w:type="dxa"/>
            <w:tcBorders/>
            <w:shd w:fill="auto"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9"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6483"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25"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645,047</w:t>
            </w:r>
          </w:p>
        </w:tc>
        <w:tc>
          <w:tcPr>
            <w:tcW w:w="119"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0" w:type="dxa"/>
            <w:tcBorders/>
            <w:shd w:fill="CCEEFF" w:val="clear"/>
            <w:vAlign w:val="bottom"/>
          </w:tcPr>
          <w:p>
            <w:pPr>
              <w:pStyle w:val="TableContents"/>
              <w:spacing w:before="0" w:after="283"/>
              <w:rPr/>
            </w:pPr>
            <w:r>
              <w:rPr/>
              <w:t>  </w:t>
            </w:r>
          </w:p>
        </w:tc>
      </w:tr>
      <w:tr>
        <w:trPr/>
        <w:tc>
          <w:tcPr>
            <w:tcW w:w="648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9"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Condensed Consolidated St</w:t>
      </w:r>
      <w:bookmarkStart w:id="4" w:name="tx263324_3"/>
      <w:bookmarkEnd w:id="4"/>
      <w:r>
        <w:rPr>
          <w:rFonts w:ascii="Times New Roman" w:hAnsi="Times New Roman"/>
          <w:sz w:val="20"/>
        </w:rPr>
        <w:t xml:space="preserve">atements of Operations (Unaudited)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46"/>
        <w:gridCol w:w="234"/>
        <w:gridCol w:w="161"/>
        <w:gridCol w:w="903"/>
        <w:gridCol w:w="161"/>
        <w:gridCol w:w="205"/>
        <w:gridCol w:w="161"/>
        <w:gridCol w:w="906"/>
        <w:gridCol w:w="128"/>
      </w:tblGrid>
      <w:tr>
        <w:trPr/>
        <w:tc>
          <w:tcPr>
            <w:tcW w:w="73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73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497"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49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0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249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except per share amounts)</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143,297</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122,545</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59,792</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39,621</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40,066</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5,467</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248,873</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218,826</w:t>
            </w:r>
          </w:p>
        </w:tc>
        <w:tc>
          <w:tcPr>
            <w:tcW w:w="128" w:type="dxa"/>
            <w:tcBorders/>
            <w:shd w:fill="CCEEFF" w:val="clear"/>
            <w:vAlign w:val="bottom"/>
          </w:tcPr>
          <w:p>
            <w:pPr>
              <w:pStyle w:val="TableContents"/>
              <w:spacing w:before="0" w:after="283"/>
              <w:rPr/>
            </w:pPr>
            <w:r>
              <w:rPr/>
              <w:t>  </w:t>
            </w:r>
          </w:p>
        </w:tc>
      </w:tr>
      <w:tr>
        <w:trPr>
          <w:trHeight w:val="120" w:hRule="atLeast"/>
        </w:trPr>
        <w:tc>
          <w:tcPr>
            <w:tcW w:w="7346" w:type="dxa"/>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83,820</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73,566</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10,101</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10,046</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906"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7346" w:type="dxa"/>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99,266</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94,828</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54,762</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39,404</w:t>
            </w:r>
          </w:p>
        </w:tc>
        <w:tc>
          <w:tcPr>
            <w:tcW w:w="128" w:type="dxa"/>
            <w:tcBorders/>
            <w:shd w:fill="auto" w:val="clear"/>
            <w:vAlign w:val="bottom"/>
          </w:tcPr>
          <w:p>
            <w:pPr>
              <w:pStyle w:val="TableContents"/>
              <w:spacing w:before="0" w:after="283"/>
              <w:rPr/>
            </w:pPr>
            <w:r>
              <w:rPr/>
              <w:t>  </w:t>
            </w:r>
          </w:p>
        </w:tc>
      </w:tr>
      <w:tr>
        <w:trPr>
          <w:trHeight w:val="120" w:hRule="atLeast"/>
        </w:trPr>
        <w:tc>
          <w:tcPr>
            <w:tcW w:w="7346" w:type="dxa"/>
            <w:tcBorders/>
            <w:shd w:fill="auto" w:val="clear"/>
            <w:vAlign w:val="center"/>
          </w:tcPr>
          <w:p>
            <w:pPr>
              <w:pStyle w:val="TableContents"/>
              <w:spacing w:before="0" w:after="283"/>
              <w:rPr>
                <w:sz w:val="4"/>
                <w:szCs w:val="4"/>
              </w:rPr>
            </w:pPr>
            <w:r>
              <w:rPr>
                <w:sz w:val="4"/>
                <w:szCs w:val="4"/>
              </w:rPr>
            </w:r>
          </w:p>
        </w:tc>
        <w:tc>
          <w:tcPr>
            <w:tcW w:w="1459"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3" w:type="dxa"/>
            <w:tcBorders/>
            <w:shd w:fill="auto" w:val="clear"/>
            <w:vAlign w:val="bottom"/>
          </w:tcPr>
          <w:p>
            <w:pPr>
              <w:pStyle w:val="TableContents"/>
              <w:pBdr>
                <w:top w:val="single" w:sz="2"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single" w:sz="2" w:space="1" w:color="000000"/>
              </w:pBdr>
              <w:spacing w:before="0" w:after="283"/>
              <w:rPr/>
            </w:pPr>
            <w:r>
              <w:rPr/>
              <w:t> </w:t>
            </w:r>
          </w:p>
        </w:tc>
        <w:tc>
          <w:tcPr>
            <w:tcW w:w="906"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3"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6"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common share:</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903"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sz w:val="4"/>
                <w:szCs w:val="4"/>
              </w:rPr>
            </w:pPr>
            <w:r>
              <w:rPr>
                <w:sz w:val="4"/>
                <w:szCs w:val="4"/>
              </w:rPr>
            </w:r>
          </w:p>
        </w:tc>
        <w:tc>
          <w:tcPr>
            <w:tcW w:w="906"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8" w:type="dxa"/>
            <w:tcBorders/>
            <w:shd w:fill="CCEEFF"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3"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6"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8" w:type="dxa"/>
            <w:tcBorders/>
            <w:shd w:fill="auto" w:val="clear"/>
            <w:vAlign w:val="bottom"/>
          </w:tcPr>
          <w:p>
            <w:pPr>
              <w:pStyle w:val="TableContents"/>
              <w:spacing w:before="0" w:after="283"/>
              <w:rPr/>
            </w:pPr>
            <w:r>
              <w:rPr/>
              <w:t>  </w:t>
            </w:r>
          </w:p>
        </w:tc>
      </w:tr>
      <w:tr>
        <w:trPr/>
        <w:tc>
          <w:tcPr>
            <w:tcW w:w="7346"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3" w:type="dxa"/>
            <w:tcBorders/>
            <w:shd w:fill="auto" w:val="clear"/>
            <w:vAlign w:val="bottom"/>
          </w:tcPr>
          <w:p>
            <w:pPr>
              <w:pStyle w:val="TableContents"/>
              <w:pBdr>
                <w:top w:val="double" w:sz="6" w:space="1" w:color="000000"/>
              </w:pBdr>
              <w:spacing w:before="0" w:after="283"/>
              <w:rPr/>
            </w:pPr>
            <w:r>
              <w:rPr/>
              <w:t> </w:t>
            </w:r>
          </w:p>
        </w:tc>
        <w:tc>
          <w:tcPr>
            <w:tcW w:w="161" w:type="dxa"/>
            <w:tcBorders/>
            <w:shd w:fill="auto" w:val="clear"/>
            <w:vAlign w:val="center"/>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pBdr>
                <w:top w:val="double" w:sz="6" w:space="1" w:color="000000"/>
              </w:pBdr>
              <w:spacing w:before="0" w:after="283"/>
              <w:rPr/>
            </w:pPr>
            <w:r>
              <w:rPr/>
              <w:t> </w:t>
            </w:r>
          </w:p>
        </w:tc>
        <w:tc>
          <w:tcPr>
            <w:tcW w:w="906"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sz w:val="4"/>
                <w:szCs w:val="4"/>
              </w:rPr>
            </w:pPr>
            <w:r>
              <w:rPr>
                <w:sz w:val="4"/>
                <w:szCs w:val="4"/>
              </w:rPr>
            </w:r>
          </w:p>
        </w:tc>
        <w:tc>
          <w:tcPr>
            <w:tcW w:w="906"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7346"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34"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50,355</w:t>
            </w:r>
          </w:p>
        </w:tc>
        <w:tc>
          <w:tcPr>
            <w:tcW w:w="161"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49,698</w:t>
            </w:r>
          </w:p>
        </w:tc>
        <w:tc>
          <w:tcPr>
            <w:tcW w:w="128" w:type="dxa"/>
            <w:tcBorders/>
            <w:shd w:fill="auto" w:val="clear"/>
            <w:vAlign w:val="bottom"/>
          </w:tcPr>
          <w:p>
            <w:pPr>
              <w:pStyle w:val="TableContents"/>
              <w:spacing w:before="0" w:after="283"/>
              <w:rPr/>
            </w:pPr>
            <w:r>
              <w:rPr/>
              <w:t>  </w:t>
            </w:r>
          </w:p>
        </w:tc>
      </w:tr>
      <w:tr>
        <w:trPr/>
        <w:tc>
          <w:tcPr>
            <w:tcW w:w="7346"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34"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50,693</w:t>
            </w:r>
          </w:p>
        </w:tc>
        <w:tc>
          <w:tcPr>
            <w:tcW w:w="161"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50,119</w:t>
            </w:r>
          </w:p>
        </w:tc>
        <w:tc>
          <w:tcPr>
            <w:tcW w:w="128"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bookmarkStart w:id="5" w:name="tx263324_4"/>
      <w:bookmarkEnd w:id="5"/>
      <w:r>
        <w:rPr>
          <w:rFonts w:ascii="Times New Roman" w:hAnsi="Times New Roman"/>
          <w:sz w:val="20"/>
        </w:rPr>
        <w:t xml:space="preserve">Condensed Consolidated Statements of Comprehensive Income (Unaudited)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079"/>
        <w:gridCol w:w="238"/>
        <w:gridCol w:w="125"/>
        <w:gridCol w:w="590"/>
        <w:gridCol w:w="125"/>
        <w:gridCol w:w="204"/>
        <w:gridCol w:w="125"/>
        <w:gridCol w:w="590"/>
        <w:gridCol w:w="129"/>
      </w:tblGrid>
      <w:tr>
        <w:trPr/>
        <w:tc>
          <w:tcPr>
            <w:tcW w:w="807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807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75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br/>
              <w:t>December 31,</w:t>
            </w:r>
          </w:p>
        </w:tc>
        <w:tc>
          <w:tcPr>
            <w:tcW w:w="129" w:type="dxa"/>
            <w:tcBorders/>
            <w:shd w:fill="auto" w:val="clear"/>
            <w:vAlign w:val="bottom"/>
          </w:tcPr>
          <w:p>
            <w:pPr>
              <w:pStyle w:val="TableContents"/>
              <w:spacing w:before="0" w:after="283"/>
              <w:rPr/>
            </w:pPr>
            <w:r>
              <w:rPr/>
              <w:t> </w:t>
            </w:r>
          </w:p>
        </w:tc>
      </w:tr>
      <w:tr>
        <w:trPr/>
        <w:tc>
          <w:tcPr>
            <w:tcW w:w="807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807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75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807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9" w:type="dxa"/>
            <w:tcBorders/>
            <w:shd w:fill="CCEEFF" w:val="clear"/>
            <w:vAlign w:val="bottom"/>
          </w:tcPr>
          <w:p>
            <w:pPr>
              <w:pStyle w:val="TableContents"/>
              <w:spacing w:before="0" w:after="283"/>
              <w:rPr/>
            </w:pPr>
            <w:r>
              <w:rPr/>
              <w:t>  </w:t>
            </w:r>
          </w:p>
        </w:tc>
      </w:tr>
      <w:tr>
        <w:trPr/>
        <w:tc>
          <w:tcPr>
            <w:tcW w:w="8079"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w:t>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8079"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(8,768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9,777</w:t>
            </w:r>
          </w:p>
        </w:tc>
        <w:tc>
          <w:tcPr>
            <w:tcW w:w="129" w:type="dxa"/>
            <w:tcBorders/>
            <w:shd w:fill="CCEEFF" w:val="clear"/>
            <w:vAlign w:val="bottom"/>
          </w:tcPr>
          <w:p>
            <w:pPr>
              <w:pStyle w:val="TableContents"/>
              <w:spacing w:before="0" w:after="283"/>
              <w:rPr/>
            </w:pPr>
            <w:r>
              <w:rPr/>
              <w:t>  </w:t>
            </w:r>
          </w:p>
        </w:tc>
      </w:tr>
      <w:tr>
        <w:trPr/>
        <w:tc>
          <w:tcPr>
            <w:tcW w:w="8079" w:type="dxa"/>
            <w:tcBorders/>
            <w:shd w:fill="auto" w:val="clear"/>
          </w:tcPr>
          <w:p>
            <w:pPr>
              <w:pStyle w:val="TableContents"/>
              <w:spacing w:before="0" w:after="283"/>
              <w:rPr>
                <w:rFonts w:ascii="Times New Roman" w:hAnsi="Times New Roman"/>
                <w:sz w:val="20"/>
              </w:rPr>
            </w:pPr>
            <w:r>
              <w:rPr>
                <w:rFonts w:ascii="Times New Roman" w:hAnsi="Times New Roman"/>
                <w:sz w:val="20"/>
              </w:rPr>
              <w:t>Unrealized holding gains arising during period</w:t>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9" w:type="dxa"/>
            <w:tcBorders/>
            <w:shd w:fill="auto" w:val="clear"/>
            <w:vAlign w:val="bottom"/>
          </w:tcPr>
          <w:p>
            <w:pPr>
              <w:pStyle w:val="TableContents"/>
              <w:spacing w:before="0" w:after="283"/>
              <w:rPr/>
            </w:pPr>
            <w:r>
              <w:rPr/>
              <w:t>  </w:t>
            </w:r>
          </w:p>
        </w:tc>
      </w:tr>
      <w:tr>
        <w:trPr/>
        <w:tc>
          <w:tcPr>
            <w:tcW w:w="807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benefit (provision)</w:t>
            </w:r>
          </w:p>
        </w:tc>
        <w:tc>
          <w:tcPr>
            <w:tcW w:w="2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2,586</w:t>
            </w:r>
          </w:p>
        </w:tc>
        <w:tc>
          <w:tcPr>
            <w:tcW w:w="1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80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8079"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tax</w:t>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(6,741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7,028</w:t>
            </w:r>
          </w:p>
        </w:tc>
        <w:tc>
          <w:tcPr>
            <w:tcW w:w="129" w:type="dxa"/>
            <w:tcBorders/>
            <w:shd w:fill="auto" w:val="clear"/>
            <w:vAlign w:val="bottom"/>
          </w:tcPr>
          <w:p>
            <w:pPr>
              <w:pStyle w:val="TableContents"/>
              <w:spacing w:before="0" w:after="283"/>
              <w:rPr/>
            </w:pPr>
            <w:r>
              <w:rPr/>
              <w:t>  </w:t>
            </w:r>
          </w:p>
        </w:tc>
      </w:tr>
      <w:tr>
        <w:trPr/>
        <w:tc>
          <w:tcPr>
            <w:tcW w:w="80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8079"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3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32,611</w:t>
            </w:r>
          </w:p>
        </w:tc>
        <w:tc>
          <w:tcPr>
            <w:tcW w:w="1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34,457</w:t>
            </w:r>
          </w:p>
        </w:tc>
        <w:tc>
          <w:tcPr>
            <w:tcW w:w="129" w:type="dxa"/>
            <w:tcBorders/>
            <w:shd w:fill="CCEEFF" w:val="clear"/>
            <w:vAlign w:val="bottom"/>
          </w:tcPr>
          <w:p>
            <w:pPr>
              <w:pStyle w:val="TableContents"/>
              <w:spacing w:before="0" w:after="283"/>
              <w:rPr/>
            </w:pPr>
            <w:r>
              <w:rPr/>
              <w:t>  </w:t>
            </w:r>
          </w:p>
        </w:tc>
      </w:tr>
      <w:tr>
        <w:trPr/>
        <w:tc>
          <w:tcPr>
            <w:tcW w:w="80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bookmarkStart w:id="6" w:name="tx263324_5"/>
      <w:bookmarkEnd w:id="6"/>
      <w:r>
        <w:rPr>
          <w:rFonts w:ascii="Times New Roman" w:hAnsi="Times New Roman"/>
          <w:sz w:val="20"/>
        </w:rPr>
        <w:t xml:space="preserve">Condensed Consolidated Statements of Cash Flows (Unaudited)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96"/>
        <w:gridCol w:w="543"/>
        <w:gridCol w:w="126"/>
        <w:gridCol w:w="778"/>
        <w:gridCol w:w="126"/>
        <w:gridCol w:w="500"/>
        <w:gridCol w:w="126"/>
        <w:gridCol w:w="781"/>
        <w:gridCol w:w="129"/>
      </w:tblGrid>
      <w:tr>
        <w:trPr/>
        <w:tc>
          <w:tcPr>
            <w:tcW w:w="7096"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709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rPr/>
            </w:pPr>
            <w:r>
              <w:rPr/>
              <w:t>  </w:t>
            </w:r>
          </w:p>
        </w:tc>
        <w:tc>
          <w:tcPr>
            <w:tcW w:w="243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rPr/>
            </w:pPr>
            <w:r>
              <w:rPr/>
              <w:t>  </w:t>
            </w:r>
          </w:p>
        </w:tc>
        <w:tc>
          <w:tcPr>
            <w:tcW w:w="9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90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rPr/>
            </w:pPr>
            <w:r>
              <w:rPr/>
              <w:t>  </w:t>
            </w:r>
          </w:p>
        </w:tc>
        <w:tc>
          <w:tcPr>
            <w:tcW w:w="243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81"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78"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781"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and auto title loan loss provisions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4,035</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4,134</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8,548</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8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(2,392</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(8,187</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(3,693</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(1,865</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12,284</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4,672</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81"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43,742</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35,122</w:t>
            </w:r>
          </w:p>
        </w:tc>
        <w:tc>
          <w:tcPr>
            <w:tcW w:w="129" w:type="dxa"/>
            <w:tcBorders/>
            <w:shd w:fill="CCEEFF" w:val="clear"/>
            <w:vAlign w:val="bottom"/>
          </w:tcPr>
          <w:p>
            <w:pPr>
              <w:pStyle w:val="TableContents"/>
              <w:spacing w:before="0" w:after="283"/>
              <w:rPr/>
            </w:pPr>
            <w:r>
              <w:rPr/>
              <w:t>  </w:t>
            </w:r>
          </w:p>
        </w:tc>
      </w:tr>
      <w:tr>
        <w:trPr>
          <w:trHeight w:val="120" w:hRule="atLeast"/>
        </w:trPr>
        <w:tc>
          <w:tcPr>
            <w:tcW w:w="7096" w:type="dxa"/>
            <w:tcBorders/>
            <w:shd w:fill="auto" w:val="clear"/>
            <w:vAlign w:val="center"/>
          </w:tcPr>
          <w:p>
            <w:pPr>
              <w:pStyle w:val="TableContents"/>
              <w:spacing w:before="0" w:after="283"/>
              <w:rPr>
                <w:sz w:val="4"/>
                <w:szCs w:val="4"/>
              </w:rPr>
            </w:pPr>
            <w:r>
              <w:rPr>
                <w:sz w:val="4"/>
                <w:szCs w:val="4"/>
              </w:rPr>
            </w:r>
          </w:p>
        </w:tc>
        <w:tc>
          <w:tcPr>
            <w:tcW w:w="1573" w:type="dxa"/>
            <w:gridSpan w:val="4"/>
            <w:tcBorders/>
            <w:shd w:fill="auto" w:val="clear"/>
            <w:vAlign w:val="center"/>
          </w:tcPr>
          <w:p>
            <w:pPr>
              <w:pStyle w:val="TableContents"/>
              <w:spacing w:before="0" w:after="283"/>
              <w:rPr>
                <w:sz w:val="4"/>
                <w:szCs w:val="4"/>
              </w:rPr>
            </w:pPr>
            <w:r>
              <w:rPr>
                <w:sz w:val="4"/>
                <w:szCs w:val="4"/>
              </w:rPr>
            </w:r>
          </w:p>
        </w:tc>
        <w:tc>
          <w:tcPr>
            <w:tcW w:w="1536" w:type="dxa"/>
            <w:gridSpan w:val="4"/>
            <w:tcBorders/>
            <w:shd w:fill="auto" w:val="clear"/>
            <w:vAlign w:val="center"/>
          </w:tcPr>
          <w:p>
            <w:pPr>
              <w:pStyle w:val="TableContents"/>
              <w:spacing w:before="0" w:after="283"/>
              <w:rPr>
                <w:sz w:val="4"/>
                <w:szCs w:val="4"/>
              </w:rPr>
            </w:pPr>
            <w:r>
              <w:rPr>
                <w:sz w:val="4"/>
                <w:szCs w:val="4"/>
              </w:rPr>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8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(182,757</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(152,763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110,988</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91,340</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61,701</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50,750</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(9,948</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(49,399</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81"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(67,193</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7096" w:type="dxa"/>
            <w:tcBorders/>
            <w:shd w:fill="auto" w:val="clear"/>
            <w:vAlign w:val="center"/>
          </w:tcPr>
          <w:p>
            <w:pPr>
              <w:pStyle w:val="TableContents"/>
              <w:spacing w:before="0" w:after="283"/>
              <w:rPr>
                <w:sz w:val="4"/>
                <w:szCs w:val="4"/>
              </w:rPr>
            </w:pPr>
            <w:r>
              <w:rPr>
                <w:sz w:val="4"/>
                <w:szCs w:val="4"/>
              </w:rPr>
            </w:r>
          </w:p>
        </w:tc>
        <w:tc>
          <w:tcPr>
            <w:tcW w:w="1573" w:type="dxa"/>
            <w:gridSpan w:val="4"/>
            <w:tcBorders/>
            <w:shd w:fill="auto" w:val="clear"/>
            <w:vAlign w:val="center"/>
          </w:tcPr>
          <w:p>
            <w:pPr>
              <w:pStyle w:val="TableContents"/>
              <w:spacing w:before="0" w:after="283"/>
              <w:rPr>
                <w:sz w:val="4"/>
                <w:szCs w:val="4"/>
              </w:rPr>
            </w:pPr>
            <w:r>
              <w:rPr>
                <w:sz w:val="4"/>
                <w:szCs w:val="4"/>
              </w:rPr>
            </w:r>
          </w:p>
        </w:tc>
        <w:tc>
          <w:tcPr>
            <w:tcW w:w="1536" w:type="dxa"/>
            <w:gridSpan w:val="4"/>
            <w:tcBorders/>
            <w:shd w:fill="auto" w:val="clear"/>
            <w:vAlign w:val="center"/>
          </w:tcPr>
          <w:p>
            <w:pPr>
              <w:pStyle w:val="TableContents"/>
              <w:spacing w:before="0" w:after="283"/>
              <w:rPr>
                <w:sz w:val="4"/>
                <w:szCs w:val="4"/>
              </w:rPr>
            </w:pPr>
            <w:r>
              <w:rPr>
                <w:sz w:val="4"/>
                <w:szCs w:val="4"/>
              </w:rPr>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8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Proceeds on revolving line of credit</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116,500</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9" w:type="dxa"/>
            <w:tcBorders/>
            <w:shd w:fill="auto" w:val="clear"/>
            <w:vAlign w:val="bottom"/>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(93,500</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bank borrowings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81"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(used) in financing activities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22,472</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7096" w:type="dxa"/>
            <w:tcBorders/>
            <w:shd w:fill="auto" w:val="clear"/>
            <w:vAlign w:val="center"/>
          </w:tcPr>
          <w:p>
            <w:pPr>
              <w:pStyle w:val="TableContents"/>
              <w:spacing w:before="0" w:after="283"/>
              <w:rPr>
                <w:sz w:val="4"/>
                <w:szCs w:val="4"/>
              </w:rPr>
            </w:pPr>
            <w:r>
              <w:rPr>
                <w:sz w:val="4"/>
                <w:szCs w:val="4"/>
              </w:rPr>
            </w:r>
          </w:p>
        </w:tc>
        <w:tc>
          <w:tcPr>
            <w:tcW w:w="1573" w:type="dxa"/>
            <w:gridSpan w:val="4"/>
            <w:tcBorders/>
            <w:shd w:fill="auto" w:val="clear"/>
            <w:vAlign w:val="center"/>
          </w:tcPr>
          <w:p>
            <w:pPr>
              <w:pStyle w:val="TableContents"/>
              <w:spacing w:before="0" w:after="283"/>
              <w:rPr>
                <w:sz w:val="4"/>
                <w:szCs w:val="4"/>
              </w:rPr>
            </w:pPr>
            <w:r>
              <w:rPr>
                <w:sz w:val="4"/>
                <w:szCs w:val="4"/>
              </w:rPr>
            </w:r>
          </w:p>
        </w:tc>
        <w:tc>
          <w:tcPr>
            <w:tcW w:w="1536" w:type="dxa"/>
            <w:gridSpan w:val="4"/>
            <w:tcBorders/>
            <w:shd w:fill="auto" w:val="clear"/>
            <w:vAlign w:val="center"/>
          </w:tcPr>
          <w:p>
            <w:pPr>
              <w:pStyle w:val="TableContents"/>
              <w:spacing w:before="0" w:after="283"/>
              <w:rPr>
                <w:sz w:val="4"/>
                <w:szCs w:val="4"/>
              </w:rPr>
            </w:pPr>
            <w:r>
              <w:rPr>
                <w:sz w:val="4"/>
                <w:szCs w:val="4"/>
              </w:rPr>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81"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25,854</w:t>
            </w:r>
          </w:p>
        </w:tc>
        <w:tc>
          <w:tcPr>
            <w:tcW w:w="129" w:type="dxa"/>
            <w:tcBorders/>
            <w:shd w:fill="auto"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78"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single" w:sz="2" w:space="1" w:color="000000"/>
              </w:pBdr>
              <w:spacing w:before="0" w:after="283"/>
              <w:rPr/>
            </w:pPr>
            <w:r>
              <w:rPr/>
              <w:t> </w:t>
            </w:r>
          </w:p>
        </w:tc>
        <w:tc>
          <w:tcPr>
            <w:tcW w:w="781"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22,868</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23,908</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78" w:type="dxa"/>
            <w:tcBorders/>
            <w:shd w:fill="auto" w:val="clear"/>
            <w:vAlign w:val="bottom"/>
          </w:tcPr>
          <w:p>
            <w:pPr>
              <w:pStyle w:val="TableContents"/>
              <w:pBdr>
                <w:top w:val="double" w:sz="6" w:space="1" w:color="000000"/>
              </w:pBdr>
              <w:spacing w:before="0" w:after="283"/>
              <w:rPr/>
            </w:pPr>
            <w:r>
              <w:rPr/>
              <w:t> </w:t>
            </w:r>
          </w:p>
        </w:tc>
        <w:tc>
          <w:tcPr>
            <w:tcW w:w="126" w:type="dxa"/>
            <w:tcBorders/>
            <w:shd w:fill="auto" w:val="clear"/>
            <w:vAlign w:val="center"/>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pBdr>
                <w:top w:val="double" w:sz="6" w:space="1" w:color="000000"/>
              </w:pBdr>
              <w:spacing w:before="0" w:after="283"/>
              <w:rPr/>
            </w:pPr>
            <w:r>
              <w:rPr/>
              <w:t> </w:t>
            </w:r>
          </w:p>
        </w:tc>
        <w:tc>
          <w:tcPr>
            <w:tcW w:w="781"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Non-cash Investing and Financing Activities:</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7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78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loans forfeited and transferred to inventory</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66,068</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54,405</w:t>
            </w:r>
          </w:p>
        </w:tc>
        <w:tc>
          <w:tcPr>
            <w:tcW w:w="129" w:type="dxa"/>
            <w:tcBorders/>
            <w:shd w:fill="CCEEFF" w:val="clear"/>
            <w:vAlign w:val="bottom"/>
          </w:tcPr>
          <w:p>
            <w:pPr>
              <w:pStyle w:val="TableContents"/>
              <w:spacing w:before="0" w:after="283"/>
              <w:rPr/>
            </w:pPr>
            <w:r>
              <w:rPr/>
              <w:t>  </w:t>
            </w:r>
          </w:p>
        </w:tc>
      </w:tr>
      <w:tr>
        <w:trPr/>
        <w:tc>
          <w:tcPr>
            <w:tcW w:w="7096"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w:t>
            </w:r>
          </w:p>
        </w:tc>
        <w:tc>
          <w:tcPr>
            <w:tcW w:w="543"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6,741</w:t>
            </w:r>
          </w:p>
        </w:tc>
        <w:tc>
          <w:tcPr>
            <w:tcW w:w="126"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(6,537</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7096"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Acquisition-related stock issuance</w:t>
            </w:r>
          </w:p>
        </w:tc>
        <w:tc>
          <w:tcPr>
            <w:tcW w:w="543"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w:t>
            </w:r>
          </w:p>
        </w:tc>
        <w:tc>
          <w:tcPr>
            <w:tcW w:w="126"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See accompanying notes to interim condensed consolidated financial statements (unaudited).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rPr/>
      </w:pPr>
      <w:r>
        <w:rPr/>
        <w:t> </w:t>
      </w:r>
    </w:p>
    <w:p>
      <w:pPr>
        <w:pStyle w:val="TextBody"/>
        <w:spacing w:before="0" w:after="0"/>
        <w:jc w:val="center"/>
        <w:rPr>
          <w:rFonts w:ascii="Times New Roman" w:hAnsi="Times New Roman"/>
          <w:b/>
          <w:sz w:val="20"/>
        </w:rPr>
      </w:pPr>
      <w:r>
        <w:rPr>
          <w:rFonts w:ascii="Times New Roman" w:hAnsi="Times New Roman"/>
          <w:b/>
          <w:sz w:val="20"/>
        </w:rPr>
        <w:t>EZCORP, I</w:t>
      </w:r>
      <w:r>
        <w:rPr>
          <w:rFonts w:ascii="Times New Roman" w:hAnsi="Times New Roman"/>
          <w:b/>
          <w:sz w:val="14"/>
        </w:rPr>
        <w:t>NC</w:t>
      </w:r>
      <w:r>
        <w:rPr>
          <w:rFonts w:ascii="Times New Roman" w:hAnsi="Times New Roman"/>
          <w:b/>
          <w:sz w:val="20"/>
        </w:rPr>
        <w:t xml:space="preserve">. </w:t>
      </w:r>
      <w:r>
        <w:rPr>
          <w:rFonts w:ascii="Times New Roman" w:hAnsi="Times New Roman"/>
          <w:b/>
          <w:sz w:val="14"/>
        </w:rPr>
        <w:t>AND</w:t>
      </w:r>
      <w:r>
        <w:rPr>
          <w:rFonts w:ascii="Times New Roman" w:hAnsi="Times New Roman"/>
          <w:b/>
          <w:sz w:val="20"/>
        </w:rPr>
        <w:t xml:space="preserve"> S</w:t>
      </w:r>
      <w:r>
        <w:rPr>
          <w:rFonts w:ascii="Times New Roman" w:hAnsi="Times New Roman"/>
          <w:b/>
          <w:sz w:val="14"/>
        </w:rPr>
        <w:t>UBSIDIARIES</w:t>
      </w:r>
      <w:r>
        <w:rPr>
          <w:rFonts w:ascii="Times New Roman" w:hAnsi="Times New Roman"/>
          <w:b/>
          <w:sz w:val="20"/>
        </w:rPr>
        <w:t xml:space="preserve"> </w:t>
      </w:r>
    </w:p>
    <w:p>
      <w:pPr>
        <w:pStyle w:val="TextBody"/>
        <w:spacing w:before="0" w:after="0"/>
        <w:jc w:val="center"/>
        <w:rPr>
          <w:rFonts w:ascii="Times New Roman" w:hAnsi="Times New Roman"/>
          <w:b/>
          <w:sz w:val="20"/>
        </w:rPr>
      </w:pPr>
      <w:bookmarkStart w:id="7" w:name="tx263324_6"/>
      <w:bookmarkEnd w:id="7"/>
      <w:r>
        <w:rPr>
          <w:rFonts w:ascii="Times New Roman" w:hAnsi="Times New Roman"/>
          <w:b/>
          <w:sz w:val="20"/>
        </w:rPr>
        <w:t xml:space="preserve">Notes to Interim Condensed Consolidated Financial Statements (Unaudited) </w:t>
      </w:r>
    </w:p>
    <w:p>
      <w:pPr>
        <w:pStyle w:val="TextBody"/>
        <w:spacing w:before="0" w:after="0"/>
        <w:jc w:val="center"/>
        <w:rPr>
          <w:rFonts w:ascii="Times New Roman" w:hAnsi="Times New Roman"/>
          <w:b/>
          <w:sz w:val="20"/>
        </w:rPr>
      </w:pPr>
      <w:r>
        <w:rPr>
          <w:rFonts w:ascii="Times New Roman" w:hAnsi="Times New Roman"/>
          <w:b/>
          <w:sz w:val="20"/>
        </w:rPr>
        <w:t xml:space="preserve">December 31, 2011 </w:t>
      </w:r>
    </w:p>
    <w:p>
      <w:pPr>
        <w:pStyle w:val="TextBody"/>
        <w:spacing w:before="90" w:after="0"/>
        <w:rPr>
          <w:rFonts w:ascii="Times New Roman" w:hAnsi="Times New Roman"/>
          <w:b/>
          <w:sz w:val="20"/>
        </w:rPr>
      </w:pPr>
      <w:r>
        <w:rPr>
          <w:rFonts w:ascii="Times New Roman" w:hAnsi="Times New Roman"/>
          <w:b/>
          <w:sz w:val="20"/>
        </w:rPr>
        <w:t xml:space="preserve">Note A: Significant Accounting Policies </w:t>
      </w:r>
    </w:p>
    <w:p>
      <w:pPr>
        <w:pStyle w:val="TextBody"/>
        <w:spacing w:before="90" w:after="0"/>
        <w:rPr>
          <w:rFonts w:ascii="Times New Roman" w:hAnsi="Times New Roman"/>
          <w:b/>
          <w:sz w:val="20"/>
          <w:u w:val="single"/>
        </w:rPr>
      </w:pPr>
      <w:r>
        <w:rPr>
          <w:rFonts w:ascii="Times New Roman" w:hAnsi="Times New Roman"/>
          <w:b/>
          <w:sz w:val="20"/>
          <w:u w:val="single"/>
        </w:rPr>
        <w:t xml:space="preserve">Basis of Presentation </w:t>
      </w:r>
    </w:p>
    <w:p>
      <w:pPr>
        <w:pStyle w:val="TextBody"/>
        <w:spacing w:before="90" w:after="0"/>
        <w:rPr>
          <w:rFonts w:ascii="Times New Roman" w:hAnsi="Times New Roman"/>
          <w:sz w:val="20"/>
        </w:rPr>
      </w:pPr>
      <w:r>
        <w:rPr>
          <w:rFonts w:ascii="Times New Roman" w:hAnsi="Times New Roman"/>
          <w:sz w:val="20"/>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B). The accompanying financial statements should be read with the Notes to Consolidated Financial Statements included in our Annual Report on Form 10-K for the year ended September 30, 2011. The balance sheet at September 30, 2011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80" w:after="0"/>
        <w:rPr>
          <w:rFonts w:ascii="Times New Roman" w:hAnsi="Times New Roman"/>
          <w:sz w:val="20"/>
        </w:rPr>
      </w:pPr>
      <w:r>
        <w:rPr>
          <w:rFonts w:ascii="Times New Roman" w:hAnsi="Times New Roman"/>
          <w:sz w:val="20"/>
        </w:rPr>
        <w:t xml:space="preserve">Our business is subject to seasonal variations and operating results for the interim period ended December 31, 2011 (the current quarter) are not necessarily indicative of the results of operations for the full fiscal year. </w:t>
      </w:r>
    </w:p>
    <w:p>
      <w:pPr>
        <w:pStyle w:val="TextBody"/>
        <w:spacing w:before="180" w:after="0"/>
        <w:rPr>
          <w:rFonts w:ascii="Times New Roman" w:hAnsi="Times New Roman"/>
          <w:sz w:val="20"/>
        </w:rPr>
      </w:pPr>
      <w:r>
        <w:rPr>
          <w:rFonts w:ascii="Times New Roman" w:hAnsi="Times New Roman"/>
          <w:sz w:val="20"/>
        </w:rPr>
        <w:t xml:space="preserve">The consolidated financial statements include the accounts of EZCORP, Inc. and its wholly owned subsidiaries. All significant inter-company accounts and transactions have been eliminated in consolidation. We account for our investments in Albemarle &amp; Bond Holdings, PLC and Cash Converters International Limited using the equity method. </w:t>
      </w:r>
    </w:p>
    <w:p>
      <w:pPr>
        <w:pStyle w:val="TextBody"/>
        <w:spacing w:before="180" w:after="0"/>
        <w:rPr>
          <w:rFonts w:ascii="Times New Roman" w:hAnsi="Times New Roman"/>
          <w:sz w:val="20"/>
        </w:rPr>
      </w:pPr>
      <w:r>
        <w:rPr>
          <w:rFonts w:ascii="Times New Roman" w:hAnsi="Times New Roman"/>
          <w:sz w:val="20"/>
        </w:rPr>
        <w:t xml:space="preserve">With the exception of the derivative instruments and hedging activities described in the section below, there have been no changes in significant accounting policies as described in our Annual Report on Form 10-K for the year ended September 30, 2011. </w:t>
      </w:r>
    </w:p>
    <w:p>
      <w:pPr>
        <w:pStyle w:val="TextBody"/>
        <w:spacing w:before="270" w:after="0"/>
        <w:rPr>
          <w:rFonts w:ascii="Times New Roman" w:hAnsi="Times New Roman"/>
          <w:b/>
          <w:sz w:val="20"/>
          <w:u w:val="single"/>
        </w:rPr>
      </w:pPr>
      <w:r>
        <w:rPr>
          <w:rFonts w:ascii="Times New Roman" w:hAnsi="Times New Roman"/>
          <w:b/>
          <w:sz w:val="20"/>
          <w:u w:val="single"/>
        </w:rPr>
        <w:t xml:space="preserve">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We record all derivative instruments according to Financial Accounting Standards Board (FASB) Accounting Standards Codification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 </w:t>
      </w:r>
    </w:p>
    <w:p>
      <w:pPr>
        <w:pStyle w:val="TextBody"/>
        <w:spacing w:before="180" w:after="0"/>
        <w:rPr>
          <w:rFonts w:ascii="Times New Roman" w:hAnsi="Times New Roman"/>
          <w:sz w:val="20"/>
        </w:rPr>
      </w:pPr>
      <w:r>
        <w:rPr>
          <w:rFonts w:ascii="Times New Roman" w:hAnsi="Times New Roman"/>
          <w:sz w:val="20"/>
        </w:rPr>
        <w:t xml:space="preserve">We acquire significant amounts of gold either through purchases or from forfeited pawn loans and sell it to refiners. In order to manage our commodity price risk associated with the forecasted sales of gold scrap, from time to time, we purchase put options related to the future market price of gold. Simultaneously, we may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movement.In the current quarter, we began using derivative financial instruments. These derivatives are not designated as hedges as they do not meet the hedge accounting requirements FASB ASC 851-20-25. The fair value of the derivative instruments is recognized in Prepaid expenses and other assets in the consolidated balance sheets and changes in fair value are recognized in Other Income in our consolidated statements of operation.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b/>
          <w:sz w:val="20"/>
          <w:u w:val="single"/>
        </w:rPr>
      </w:pPr>
      <w:r>
        <w:rPr>
          <w:rFonts w:ascii="Times New Roman" w:hAnsi="Times New Roman"/>
          <w:b/>
          <w:sz w:val="20"/>
          <w:u w:val="single"/>
        </w:rPr>
        <w:t xml:space="preserve">Recently Issued Accounting Pronouncements </w:t>
      </w:r>
    </w:p>
    <w:p>
      <w:pPr>
        <w:pStyle w:val="TextBody"/>
        <w:spacing w:before="90" w:after="0"/>
        <w:rPr>
          <w:rFonts w:ascii="Times New Roman" w:hAnsi="Times New Roman"/>
          <w:sz w:val="20"/>
        </w:rPr>
      </w:pPr>
      <w:r>
        <w:rPr>
          <w:rFonts w:ascii="Times New Roman" w:hAnsi="Times New Roman"/>
          <w:sz w:val="20"/>
        </w:rPr>
        <w:t xml:space="preserve">In December 2011, FASB issued Accounting Standards Update (ASU) 2011-11, </w:t>
      </w:r>
      <w:r>
        <w:rPr>
          <w:rFonts w:ascii="Times New Roman" w:hAnsi="Times New Roman"/>
          <w:i/>
          <w:sz w:val="20"/>
        </w:rPr>
        <w:t>Disclosures about Offsetting Assets and Liabilities.</w:t>
      </w:r>
      <w:r>
        <w:rPr>
          <w:rFonts w:ascii="Times New Roman" w:hAnsi="Times New Roman"/>
          <w:sz w:val="20"/>
        </w:rPr>
        <w:t xml:space="preserve"> 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January 1, 2013. Disclosures are required retrospectively for all comparative periods presented. Currently, we do not enter into any right of offset arrangements and we do not anticipate that the adoption of ASU 2011-11 will have a material effect on our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In September 2011, the FASB issued ASU 2011-08, </w:t>
      </w:r>
      <w:r>
        <w:rPr>
          <w:rFonts w:ascii="Times New Roman" w:hAnsi="Times New Roman"/>
          <w:i/>
          <w:sz w:val="20"/>
        </w:rPr>
        <w:t>Testing Goodwill for Impairment.</w:t>
      </w:r>
      <w:r>
        <w:rPr>
          <w:rFonts w:ascii="Times New Roman" w:hAnsi="Times New Roman"/>
          <w:sz w:val="20"/>
        </w:rPr>
        <w:t xml:space="preserve"> This update amends FASB ASC 350 (Intangibles  Goodwill and Other) by allowing entities to first assess qualitative factors to determine whether it is necessary to perform the two-step quantitative goodwill impairment test. The amendments in this update are effective for annual and interim goodwill impairment tests performed for fiscal years beginning on or after December 15, 2011. We do not anticipate the adoption of ASU 2011-08 will have a material effect on our financial position, results of operations or cash flows. </w:t>
      </w:r>
    </w:p>
    <w:p>
      <w:pPr>
        <w:pStyle w:val="TextBody"/>
        <w:spacing w:before="180" w:after="0"/>
        <w:rPr>
          <w:rFonts w:ascii="Times New Roman" w:hAnsi="Times New Roman"/>
          <w:sz w:val="20"/>
        </w:rPr>
      </w:pPr>
      <w:r>
        <w:rPr>
          <w:rFonts w:ascii="Times New Roman" w:hAnsi="Times New Roman"/>
          <w:sz w:val="20"/>
        </w:rPr>
        <w:t xml:space="preserve">In May 2011, the FASB issued ASU 2011-04, </w:t>
      </w:r>
      <w:r>
        <w:rPr>
          <w:rFonts w:ascii="Times New Roman" w:hAnsi="Times New Roman"/>
          <w:i/>
          <w:sz w:val="20"/>
        </w:rPr>
        <w:t xml:space="preserve">Amendments to Achieve Common Fair Value Measurement and Disclosure Requirements in U.S. Generally Accepted Accounting Principles (GAAP) and International Financial Reporting Standards (IFRS). </w:t>
      </w:r>
      <w:r>
        <w:rPr>
          <w:rFonts w:ascii="Times New Roman" w:hAnsi="Times New Roman"/>
          <w:sz w:val="20"/>
        </w:rPr>
        <w:t xml:space="preserve">This update amends FASB ASC 820 (Fair Value Measurement) by providing common principles and requirements for measuring fair value, as well as similar disclosure requirements between U.S. GAAP and IFRS. It changes certain fair value measurement principles, clarifies the application of existing fair value concepts, and expands disclosure requirements, particularly for Level 3 fair value measurements. ASU 2011-04 is effective for interim and annual periods beginning on or after December 15, 2011. We do not anticipate that the adoption of ASU 2011-04 will have a material effect on our financial position, results of operations or cash flows. </w:t>
      </w:r>
    </w:p>
    <w:p>
      <w:pPr>
        <w:pStyle w:val="TextBody"/>
        <w:spacing w:before="270" w:after="0"/>
        <w:rPr>
          <w:rFonts w:ascii="Times New Roman" w:hAnsi="Times New Roman"/>
          <w:b/>
          <w:sz w:val="20"/>
          <w:u w:val="single"/>
        </w:rPr>
      </w:pPr>
      <w:r>
        <w:rPr>
          <w:rFonts w:ascii="Times New Roman" w:hAnsi="Times New Roman"/>
          <w:b/>
          <w:sz w:val="20"/>
          <w:u w:val="single"/>
        </w:rPr>
        <w:t xml:space="preserve">Recently Adopted Accounting Pronouncements </w:t>
      </w:r>
    </w:p>
    <w:p>
      <w:pPr>
        <w:pStyle w:val="TextBody"/>
        <w:spacing w:before="90" w:after="0"/>
        <w:rPr>
          <w:rFonts w:ascii="Times New Roman" w:hAnsi="Times New Roman"/>
          <w:sz w:val="20"/>
        </w:rPr>
      </w:pPr>
      <w:r>
        <w:rPr>
          <w:rFonts w:ascii="Times New Roman" w:hAnsi="Times New Roman"/>
          <w:sz w:val="20"/>
        </w:rPr>
        <w:t>In December 2011, FASB issued ASU 2011-12 </w:t>
      </w:r>
      <w:r>
        <w:rPr>
          <w:rFonts w:ascii="Times New Roman" w:hAnsi="Times New Roman"/>
          <w:i/>
          <w:sz w:val="20"/>
        </w:rPr>
        <w:t xml:space="preserve">Deferral of the Effective Date for Amendments to the Presentation of Reclassifications of Items Out of Accumulated Other Comprehensive Income in ASU 2011-05. </w:t>
      </w:r>
      <w:r>
        <w:rPr>
          <w:rFonts w:ascii="Times New Roman" w:hAnsi="Times New Roman"/>
          <w:sz w:val="20"/>
        </w:rPr>
        <w:t>This update supersedes certain content in ASU 2011-05 </w:t>
      </w:r>
      <w:r>
        <w:rPr>
          <w:rFonts w:ascii="Times New Roman" w:hAnsi="Times New Roman"/>
          <w:i/>
          <w:sz w:val="20"/>
        </w:rPr>
        <w:t>Presentation of Comprehensive Income</w:t>
      </w:r>
      <w:r>
        <w:rPr>
          <w:rFonts w:ascii="Times New Roman" w:hAnsi="Times New Roman"/>
          <w:sz w:val="20"/>
        </w:rPr>
        <w:t xml:space="preserve"> that requires entities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update is effective for fiscal years, and interim periods within those years, beginning after December 15, 2011. All other requirements in ASU 2011-05, including the requirement to report comprehensive income in either a single continuous financial statement or in two separate but consecutive financial statements, were not affected by ASU 2011-12. This update is effective for fiscal years beginning on or after December 15, 2011. We early adopted this amended standard in our fiscal year beginning October 1, 2011 with no effect on our financial position, results of operations or cash flows. </w:t>
      </w:r>
    </w:p>
    <w:p>
      <w:pPr>
        <w:pStyle w:val="TextBody"/>
        <w:spacing w:before="180" w:after="0"/>
        <w:rPr>
          <w:rFonts w:ascii="Times New Roman" w:hAnsi="Times New Roman"/>
          <w:sz w:val="20"/>
        </w:rPr>
      </w:pPr>
      <w:r>
        <w:rPr>
          <w:rFonts w:ascii="Times New Roman" w:hAnsi="Times New Roman"/>
          <w:sz w:val="20"/>
        </w:rPr>
        <w:t>In December 2010, the FASB issued ASU 2010-29, </w:t>
      </w:r>
      <w:r>
        <w:rPr>
          <w:rFonts w:ascii="Times New Roman" w:hAnsi="Times New Roman"/>
          <w:i/>
          <w:sz w:val="20"/>
        </w:rPr>
        <w:t>Disclosure of Supplementary Pro Forma Information for Business Combinations</w:t>
      </w:r>
      <w:r>
        <w:rPr>
          <w:rFonts w:ascii="Times New Roman" w:hAnsi="Times New Roman"/>
          <w:sz w:val="20"/>
        </w:rPr>
        <w:t xml:space="preserve">. The amendments in this update specify that, when presenting comparative financial statements, entities should disclose revenue and earnings of the combined entity as though the business combinations that occurred during the current year had occurred as of the beginning of the comparable prior annual reporting period. ASU 2010-29 also expands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material (on an individual or an aggregate basis) business combinations entered into in fiscal years beginning on or after December 15, 2010. We adopted this amended standard on October 1, 2011, resulting in no effect on our financial position, operations or cash flows.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Note B: Acquisitions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related to the acquisitions of domestic and foreign retail and financial services locations during the fiscal quarters ended December 31, 2011 and 2010: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117"/>
        <w:gridCol w:w="741"/>
        <w:gridCol w:w="139"/>
        <w:gridCol w:w="542"/>
        <w:gridCol w:w="278"/>
        <w:gridCol w:w="885"/>
        <w:gridCol w:w="139"/>
        <w:gridCol w:w="606"/>
        <w:gridCol w:w="125"/>
      </w:tblGrid>
      <w:tr>
        <w:trPr/>
        <w:tc>
          <w:tcPr>
            <w:tcW w:w="5117"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117"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258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5"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rPr/>
            </w:pPr>
            <w:r>
              <w:rPr/>
              <w:t>  </w:t>
            </w:r>
          </w:p>
        </w:tc>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78"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7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5" w:type="dxa"/>
            <w:tcBorders/>
            <w:shd w:fill="auto" w:val="clear"/>
            <w:vAlign w:val="bottom"/>
          </w:tcPr>
          <w:p>
            <w:pPr>
              <w:pStyle w:val="TableContents"/>
              <w:spacing w:before="0" w:after="283"/>
              <w:rPr/>
            </w:pPr>
            <w:r>
              <w:rPr/>
              <w:t> </w:t>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Number of asset purchase acquisitions</w:t>
            </w:r>
          </w:p>
        </w:tc>
        <w:tc>
          <w:tcPr>
            <w:tcW w:w="74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278"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stock purchase acquisitions</w:t>
            </w:r>
          </w:p>
        </w:tc>
        <w:tc>
          <w:tcPr>
            <w:tcW w:w="74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78"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r>
      <w:tr>
        <w:trPr>
          <w:trHeight w:val="120" w:hRule="atLeast"/>
        </w:trPr>
        <w:tc>
          <w:tcPr>
            <w:tcW w:w="5117" w:type="dxa"/>
            <w:tcBorders/>
            <w:shd w:fill="auto" w:val="clear"/>
            <w:vAlign w:val="center"/>
          </w:tcPr>
          <w:p>
            <w:pPr>
              <w:pStyle w:val="TableContents"/>
              <w:spacing w:before="0" w:after="283"/>
              <w:rPr>
                <w:sz w:val="4"/>
                <w:szCs w:val="4"/>
              </w:rPr>
            </w:pPr>
            <w:r>
              <w:rPr>
                <w:sz w:val="4"/>
                <w:szCs w:val="4"/>
              </w:rPr>
            </w:r>
          </w:p>
        </w:tc>
        <w:tc>
          <w:tcPr>
            <w:tcW w:w="1700" w:type="dxa"/>
            <w:gridSpan w:val="4"/>
            <w:tcBorders/>
            <w:shd w:fill="auto" w:val="clear"/>
            <w:vAlign w:val="center"/>
          </w:tcPr>
          <w:p>
            <w:pPr>
              <w:pStyle w:val="TableContents"/>
              <w:spacing w:before="0" w:after="283"/>
              <w:rPr>
                <w:sz w:val="4"/>
                <w:szCs w:val="4"/>
              </w:rPr>
            </w:pPr>
            <w:r>
              <w:rPr>
                <w:sz w:val="4"/>
                <w:szCs w:val="4"/>
              </w:rPr>
            </w:r>
          </w:p>
        </w:tc>
        <w:tc>
          <w:tcPr>
            <w:tcW w:w="1755" w:type="dxa"/>
            <w:gridSpan w:val="4"/>
            <w:tcBorders/>
            <w:shd w:fill="auto" w:val="clear"/>
            <w:vAlign w:val="center"/>
          </w:tcPr>
          <w:p>
            <w:pPr>
              <w:pStyle w:val="TableContents"/>
              <w:spacing w:before="0" w:after="283"/>
              <w:rPr>
                <w:sz w:val="4"/>
                <w:szCs w:val="4"/>
              </w:rPr>
            </w:pPr>
            <w:r>
              <w:rPr>
                <w:sz w:val="4"/>
                <w:szCs w:val="4"/>
              </w:rPr>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U.S. stores acquired</w:t>
            </w:r>
          </w:p>
        </w:tc>
        <w:tc>
          <w:tcPr>
            <w:tcW w:w="74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78"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r>
      <w:tr>
        <w:trPr/>
        <w:tc>
          <w:tcPr>
            <w:tcW w:w="5117" w:type="dxa"/>
            <w:tcBorders/>
            <w:shd w:fill="auto" w:val="clear"/>
          </w:tcPr>
          <w:p>
            <w:pPr>
              <w:pStyle w:val="TableContents"/>
              <w:spacing w:before="0" w:after="283"/>
              <w:rPr>
                <w:rFonts w:ascii="Times New Roman" w:hAnsi="Times New Roman"/>
                <w:sz w:val="20"/>
              </w:rPr>
            </w:pPr>
            <w:r>
              <w:rPr>
                <w:rFonts w:ascii="Times New Roman" w:hAnsi="Times New Roman"/>
                <w:sz w:val="20"/>
              </w:rPr>
              <w:t>Foreign stores acquired</w:t>
            </w:r>
          </w:p>
        </w:tc>
        <w:tc>
          <w:tcPr>
            <w:tcW w:w="74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278"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5117"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542" w:type="dxa"/>
            <w:tcBorders/>
            <w:shd w:fill="auto" w:val="clear"/>
            <w:vAlign w:val="bottom"/>
          </w:tcPr>
          <w:p>
            <w:pPr>
              <w:pStyle w:val="TableContents"/>
              <w:pBdr>
                <w:top w:val="single" w:sz="2" w:space="1" w:color="000000"/>
              </w:pBdr>
              <w:spacing w:before="0" w:after="283"/>
              <w:rPr/>
            </w:pPr>
            <w:r>
              <w:rPr/>
              <w:t> </w:t>
            </w:r>
          </w:p>
        </w:tc>
        <w:tc>
          <w:tcPr>
            <w:tcW w:w="278" w:type="dxa"/>
            <w:tcBorders/>
            <w:shd w:fill="auto" w:val="clear"/>
            <w:vAlign w:val="center"/>
          </w:tcPr>
          <w:p>
            <w:pPr>
              <w:pStyle w:val="TableContents"/>
              <w:spacing w:before="0" w:after="283"/>
              <w:rPr/>
            </w:pPr>
            <w:r>
              <w:rPr/>
              <w:t> </w:t>
            </w:r>
          </w:p>
        </w:tc>
        <w:tc>
          <w:tcPr>
            <w:tcW w:w="88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283"/>
              <w:rPr/>
            </w:pPr>
            <w:r>
              <w:rPr/>
              <w:t> </w:t>
            </w:r>
          </w:p>
        </w:tc>
        <w:tc>
          <w:tcPr>
            <w:tcW w:w="60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117"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stores acquired</w:t>
            </w:r>
          </w:p>
        </w:tc>
        <w:tc>
          <w:tcPr>
            <w:tcW w:w="741"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78"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297"/>
        <w:gridCol w:w="642"/>
        <w:gridCol w:w="152"/>
        <w:gridCol w:w="720"/>
        <w:gridCol w:w="152"/>
        <w:gridCol w:w="607"/>
        <w:gridCol w:w="152"/>
        <w:gridCol w:w="723"/>
        <w:gridCol w:w="127"/>
      </w:tblGrid>
      <w:tr>
        <w:trPr/>
        <w:tc>
          <w:tcPr>
            <w:tcW w:w="529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5297"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250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7" w:type="dxa"/>
            <w:tcBorders/>
            <w:shd w:fill="auto"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87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8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7" w:type="dxa"/>
            <w:tcBorders/>
            <w:shd w:fill="auto"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pPr>
            <w:r>
              <w:rPr/>
              <w:t> </w:t>
            </w:r>
          </w:p>
        </w:tc>
        <w:tc>
          <w:tcPr>
            <w:tcW w:w="642" w:type="dxa"/>
            <w:tcBorders/>
            <w:shd w:fill="auto" w:val="clear"/>
            <w:vAlign w:val="bottom"/>
          </w:tcPr>
          <w:p>
            <w:pPr>
              <w:pStyle w:val="TableContents"/>
              <w:spacing w:before="0" w:after="283"/>
              <w:rPr/>
            </w:pPr>
            <w:r>
              <w:rPr/>
              <w:t>  </w:t>
            </w:r>
          </w:p>
        </w:tc>
        <w:tc>
          <w:tcPr>
            <w:tcW w:w="2506"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Consideration:</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0" w:type="dxa"/>
            <w:tcBorders/>
            <w:shd w:fill="CCEEFF" w:val="clear"/>
            <w:vAlign w:val="bottom"/>
          </w:tcPr>
          <w:p>
            <w:pPr>
              <w:pStyle w:val="TableContents"/>
              <w:spacing w:before="0" w:after="283"/>
              <w:rPr>
                <w:sz w:val="4"/>
                <w:szCs w:val="4"/>
              </w:rPr>
            </w:pPr>
            <w:r>
              <w:rPr>
                <w:sz w:val="4"/>
                <w:szCs w:val="4"/>
              </w:rPr>
            </w:r>
          </w:p>
        </w:tc>
        <w:tc>
          <w:tcPr>
            <w:tcW w:w="152"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3"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Cash</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49,644</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13,736</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instruments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total consideration transferred</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50,766</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13,736</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Cash acquired</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Total purchase price</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50,521</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27" w:type="dxa"/>
            <w:tcBorders/>
            <w:shd w:fill="auto" w:val="clear"/>
            <w:vAlign w:val="bottom"/>
          </w:tcPr>
          <w:p>
            <w:pPr>
              <w:pStyle w:val="TableContents"/>
              <w:spacing w:before="0" w:after="283"/>
              <w:rPr/>
            </w:pPr>
            <w:r>
              <w:rPr/>
              <w:t>  </w:t>
            </w:r>
          </w:p>
        </w:tc>
      </w:tr>
      <w:tr>
        <w:trPr>
          <w:trHeight w:val="120" w:hRule="atLeast"/>
        </w:trPr>
        <w:tc>
          <w:tcPr>
            <w:tcW w:w="5297"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0" w:type="dxa"/>
            <w:tcBorders/>
            <w:shd w:fill="CCEEFF" w:val="clear"/>
            <w:vAlign w:val="bottom"/>
          </w:tcPr>
          <w:p>
            <w:pPr>
              <w:pStyle w:val="TableContents"/>
              <w:spacing w:before="0" w:after="283"/>
              <w:rPr>
                <w:sz w:val="4"/>
                <w:szCs w:val="4"/>
              </w:rPr>
            </w:pPr>
            <w:r>
              <w:rPr>
                <w:sz w:val="4"/>
                <w:szCs w:val="4"/>
              </w:rPr>
            </w:r>
          </w:p>
        </w:tc>
        <w:tc>
          <w:tcPr>
            <w:tcW w:w="152"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3"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5,036</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1,542</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Inventory</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4,307</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7" w:type="dxa"/>
            <w:tcBorders/>
            <w:shd w:fill="auto"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10,072</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2,756</w:t>
            </w:r>
          </w:p>
        </w:tc>
        <w:tc>
          <w:tcPr>
            <w:tcW w:w="127" w:type="dxa"/>
            <w:tcBorders/>
            <w:shd w:fill="CCEEFF" w:val="clear"/>
            <w:vAlign w:val="bottom"/>
          </w:tcPr>
          <w:p>
            <w:pPr>
              <w:pStyle w:val="TableContents"/>
              <w:spacing w:before="0" w:after="283"/>
              <w:rPr/>
            </w:pPr>
            <w:r>
              <w:rPr/>
              <w:t>  </w:t>
            </w:r>
          </w:p>
        </w:tc>
      </w:tr>
      <w:tr>
        <w:trPr>
          <w:trHeight w:val="120" w:hRule="atLeast"/>
        </w:trPr>
        <w:tc>
          <w:tcPr>
            <w:tcW w:w="5297"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1,725</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39,642</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10,708</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7" w:type="dxa"/>
            <w:tcBorders/>
            <w:shd w:fill="auto"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52,446</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13,852</w:t>
            </w:r>
          </w:p>
        </w:tc>
        <w:tc>
          <w:tcPr>
            <w:tcW w:w="127" w:type="dxa"/>
            <w:tcBorders/>
            <w:shd w:fill="CCEEFF" w:val="clear"/>
            <w:vAlign w:val="bottom"/>
          </w:tcPr>
          <w:p>
            <w:pPr>
              <w:pStyle w:val="TableContents"/>
              <w:spacing w:before="0" w:after="283"/>
              <w:rPr/>
            </w:pPr>
            <w:r>
              <w:rPr/>
              <w:t>  </w:t>
            </w:r>
          </w:p>
        </w:tc>
      </w:tr>
      <w:tr>
        <w:trPr>
          <w:trHeight w:val="120" w:hRule="atLeast"/>
        </w:trPr>
        <w:tc>
          <w:tcPr>
            <w:tcW w:w="5297"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Other current liabilities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7" w:type="dxa"/>
            <w:tcBorders/>
            <w:shd w:fill="auto" w:val="clear"/>
            <w:vAlign w:val="bottom"/>
          </w:tcPr>
          <w:p>
            <w:pPr>
              <w:pStyle w:val="TableContents"/>
              <w:spacing w:before="0" w:after="283"/>
              <w:rPr/>
            </w:pPr>
            <w:r>
              <w:rPr/>
              <w:t>  </w:t>
            </w:r>
          </w:p>
        </w:tc>
      </w:tr>
      <w:tr>
        <w:trPr>
          <w:trHeight w:val="120" w:hRule="atLeast"/>
        </w:trPr>
        <w:tc>
          <w:tcPr>
            <w:tcW w:w="5297"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1,925</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27" w:type="dxa"/>
            <w:tcBorders/>
            <w:shd w:fill="auto"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50,521</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vAlign w:val="bottom"/>
          </w:tcPr>
          <w:p>
            <w:pPr>
              <w:pStyle w:val="TableContents"/>
              <w:spacing w:before="0" w:after="283"/>
              <w:rPr>
                <w:sz w:val="4"/>
                <w:szCs w:val="4"/>
              </w:rPr>
            </w:pPr>
            <w:r>
              <w:rPr>
                <w:sz w:val="4"/>
                <w:szCs w:val="4"/>
              </w:rPr>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0"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Goodwill deductible for tax purposes</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6,864</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6,061</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recorded in U.S. Pawn Segment</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39,610</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10,708</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Goodwill recorded in EZMONEY segment</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rHeight w:val="120" w:hRule="atLeast"/>
        </w:trPr>
        <w:tc>
          <w:tcPr>
            <w:tcW w:w="5297"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Definite lived intangible assets acquired:</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0" w:type="dxa"/>
            <w:tcBorders/>
            <w:shd w:fill="CCEEFF" w:val="clear"/>
            <w:vAlign w:val="bottom"/>
          </w:tcPr>
          <w:p>
            <w:pPr>
              <w:pStyle w:val="TableContents"/>
              <w:spacing w:before="0" w:after="283"/>
              <w:rPr>
                <w:sz w:val="4"/>
                <w:szCs w:val="4"/>
              </w:rPr>
            </w:pPr>
            <w:r>
              <w:rPr>
                <w:sz w:val="4"/>
                <w:szCs w:val="4"/>
              </w:rPr>
            </w:r>
          </w:p>
        </w:tc>
        <w:tc>
          <w:tcPr>
            <w:tcW w:w="152"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723"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Favorable lease asset</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5297" w:type="dxa"/>
            <w:tcBorders/>
            <w:shd w:fill="CCEEFF"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64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w:t>
            </w:r>
          </w:p>
        </w:tc>
        <w:tc>
          <w:tcPr>
            <w:tcW w:w="152"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7" w:type="dxa"/>
            <w:tcBorders/>
            <w:shd w:fill="CCEEFF" w:val="clear"/>
            <w:vAlign w:val="bottom"/>
          </w:tcPr>
          <w:p>
            <w:pPr>
              <w:pStyle w:val="TableContents"/>
              <w:spacing w:before="0" w:after="283"/>
              <w:rPr/>
            </w:pPr>
            <w:r>
              <w:rPr/>
              <w:t>  </w:t>
            </w:r>
          </w:p>
        </w:tc>
      </w:tr>
      <w:tr>
        <w:trPr/>
        <w:tc>
          <w:tcPr>
            <w:tcW w:w="5297" w:type="dxa"/>
            <w:tcBorders/>
            <w:shd w:fill="auto" w:val="clear"/>
          </w:tcPr>
          <w:p>
            <w:pPr>
              <w:pStyle w:val="TableContents"/>
              <w:spacing w:before="0" w:after="283"/>
              <w:rPr>
                <w:rFonts w:ascii="Times New Roman" w:hAnsi="Times New Roman"/>
                <w:sz w:val="20"/>
              </w:rPr>
            </w:pPr>
            <w:r>
              <w:rPr>
                <w:rFonts w:ascii="Times New Roman" w:hAnsi="Times New Roman"/>
                <w:sz w:val="20"/>
              </w:rPr>
              <w:t>Contractual relationship</w:t>
            </w:r>
          </w:p>
        </w:tc>
        <w:tc>
          <w:tcPr>
            <w:tcW w:w="64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5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All stores were acquired as part of our continuing strategy to acquire domestic and foreign pawn stores to enhance and diversify our earnings. Transaction related expenses were not material and were expensed as incurred. The results of all acquired stores have been consolidated with our results since their acquisition. The purchase price allocation of assets acquired in the most recent twelve months is preliminary as we continue to receive information regarding the acquired assets. Pro forma results of operations have not been presented because it is impracticable to do so, as historical audited financial statements are not readily available.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amounts above include the acquisition, from a related party, of a decision science model for the underwriting of consumer loans, a contractual relationship with an income tax return preparer to facilitate refund anticipation loans and an online lending business in the U.K., for an aggregate purchase price of $1.2 million, which was paid in cash. Pursuant to our Policy for Review and Evaluation of Related Party Transactions, the Audit Committee reviewed and evaluated the terms of the transaction and concluded that the transaction was fair to, and in the best interest of, the company and its stockholders. </w:t>
      </w:r>
    </w:p>
    <w:p>
      <w:pPr>
        <w:pStyle w:val="TextBody"/>
        <w:spacing w:before="270" w:after="0"/>
        <w:rPr>
          <w:rFonts w:ascii="Times New Roman" w:hAnsi="Times New Roman"/>
          <w:b/>
          <w:sz w:val="20"/>
        </w:rPr>
      </w:pPr>
      <w:r>
        <w:rPr>
          <w:rFonts w:ascii="Times New Roman" w:hAnsi="Times New Roman"/>
          <w:b/>
          <w:sz w:val="20"/>
        </w:rPr>
        <w:t xml:space="preserve">Note C: Earnings per Share </w:t>
      </w:r>
    </w:p>
    <w:p>
      <w:pPr>
        <w:pStyle w:val="TextBody"/>
        <w:spacing w:before="90" w:after="0"/>
        <w:rPr>
          <w:rFonts w:ascii="Times New Roman" w:hAnsi="Times New Roman"/>
          <w:sz w:val="20"/>
        </w:rPr>
      </w:pPr>
      <w:r>
        <w:rPr>
          <w:rFonts w:ascii="Times New Roman" w:hAnsi="Times New Roman"/>
          <w:sz w:val="20"/>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 </w:t>
      </w:r>
    </w:p>
    <w:p>
      <w:pPr>
        <w:pStyle w:val="TextBody"/>
        <w:spacing w:before="180" w:after="0"/>
        <w:rPr>
          <w:rFonts w:ascii="Times New Roman" w:hAnsi="Times New Roman"/>
          <w:sz w:val="20"/>
        </w:rPr>
      </w:pPr>
      <w:r>
        <w:rPr>
          <w:rFonts w:ascii="Times New Roman" w:hAnsi="Times New Roman"/>
          <w:sz w:val="20"/>
        </w:rPr>
        <w:t xml:space="preserve">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 </w:t>
      </w:r>
    </w:p>
    <w:p>
      <w:pPr>
        <w:pStyle w:val="TextBody"/>
        <w:spacing w:before="270" w:after="0"/>
        <w:rPr>
          <w:rFonts w:ascii="Times New Roman" w:hAnsi="Times New Roman"/>
          <w:sz w:val="20"/>
        </w:rPr>
      </w:pPr>
      <w:r>
        <w:rPr>
          <w:rFonts w:ascii="Times New Roman" w:hAnsi="Times New Roman"/>
          <w:sz w:val="20"/>
        </w:rPr>
        <w:t xml:space="preserve">Components of basic and diluted earnings per share and excluded anti-dilutive potential common shares are as follows: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826"/>
        <w:gridCol w:w="287"/>
        <w:gridCol w:w="176"/>
        <w:gridCol w:w="835"/>
        <w:gridCol w:w="169"/>
        <w:gridCol w:w="324"/>
        <w:gridCol w:w="176"/>
        <w:gridCol w:w="838"/>
        <w:gridCol w:w="124"/>
      </w:tblGrid>
      <w:tr>
        <w:trPr/>
        <w:tc>
          <w:tcPr>
            <w:tcW w:w="482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82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518"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4" w:type="dxa"/>
            <w:tcBorders/>
            <w:shd w:fill="auto"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51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4" w:type="dxa"/>
            <w:tcBorders/>
            <w:shd w:fill="auto"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6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0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518"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except per share amounts)</w:t>
            </w:r>
          </w:p>
        </w:tc>
        <w:tc>
          <w:tcPr>
            <w:tcW w:w="124" w:type="dxa"/>
            <w:tcBorders/>
            <w:shd w:fill="auto" w:val="clear"/>
            <w:vAlign w:val="bottom"/>
          </w:tcPr>
          <w:p>
            <w:pPr>
              <w:pStyle w:val="TableContents"/>
              <w:spacing w:before="0" w:after="283"/>
              <w:rPr/>
            </w:pPr>
            <w:r>
              <w:rPr/>
              <w:t> </w:t>
            </w:r>
          </w:p>
        </w:tc>
      </w:tr>
      <w:tr>
        <w:trPr/>
        <w:tc>
          <w:tcPr>
            <w:tcW w:w="482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(A)</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6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4" w:type="dxa"/>
            <w:tcBorders/>
            <w:shd w:fill="CCEEFF" w:val="clear"/>
            <w:vAlign w:val="bottom"/>
          </w:tcPr>
          <w:p>
            <w:pPr>
              <w:pStyle w:val="TableContents"/>
              <w:spacing w:before="0" w:after="283"/>
              <w:rPr/>
            </w:pPr>
            <w:r>
              <w:rPr/>
              <w:t>  </w:t>
            </w:r>
          </w:p>
        </w:tc>
      </w:tr>
      <w:tr>
        <w:trPr/>
        <w:tc>
          <w:tcPr>
            <w:tcW w:w="4826"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outstanding shares of common stock (B)</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50,355</w:t>
            </w:r>
          </w:p>
        </w:tc>
        <w:tc>
          <w:tcPr>
            <w:tcW w:w="16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49,698</w:t>
            </w:r>
          </w:p>
        </w:tc>
        <w:tc>
          <w:tcPr>
            <w:tcW w:w="124" w:type="dxa"/>
            <w:tcBorders/>
            <w:shd w:fill="auto" w:val="clear"/>
            <w:vAlign w:val="bottom"/>
          </w:tcPr>
          <w:p>
            <w:pPr>
              <w:pStyle w:val="TableContents"/>
              <w:spacing w:before="0" w:after="283"/>
              <w:rPr/>
            </w:pPr>
            <w:r>
              <w:rPr/>
              <w:t>  </w:t>
            </w:r>
          </w:p>
        </w:tc>
      </w:tr>
      <w:tr>
        <w:trPr/>
        <w:tc>
          <w:tcPr>
            <w:tcW w:w="4826" w:type="dxa"/>
            <w:tcBorders/>
            <w:shd w:fill="CCEEFF" w:val="clear"/>
          </w:tcPr>
          <w:p>
            <w:pPr>
              <w:pStyle w:val="TableContents"/>
              <w:spacing w:before="0" w:after="283"/>
              <w:rPr>
                <w:rFonts w:ascii="Times New Roman" w:hAnsi="Times New Roman"/>
                <w:sz w:val="20"/>
              </w:rPr>
            </w:pPr>
            <w:r>
              <w:rPr>
                <w:rFonts w:ascii="Times New Roman" w:hAnsi="Times New Roman"/>
                <w:sz w:val="20"/>
              </w:rPr>
              <w:t>Dilutive effect of stock options and restricted stock</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6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124" w:type="dxa"/>
            <w:tcBorders/>
            <w:shd w:fill="CCEEFF"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283"/>
              <w:rPr/>
            </w:pPr>
            <w:r>
              <w:rPr/>
              <w:t> </w:t>
            </w:r>
          </w:p>
        </w:tc>
        <w:tc>
          <w:tcPr>
            <w:tcW w:w="835" w:type="dxa"/>
            <w:tcBorders/>
            <w:shd w:fill="auto" w:val="clear"/>
            <w:vAlign w:val="bottom"/>
          </w:tcPr>
          <w:p>
            <w:pPr>
              <w:pStyle w:val="TableContents"/>
              <w:pBdr>
                <w:top w:val="single" w:sz="2" w:space="1" w:color="000000"/>
              </w:pBdr>
              <w:spacing w:before="0" w:after="283"/>
              <w:rPr/>
            </w:pPr>
            <w:r>
              <w:rPr/>
              <w:t> </w:t>
            </w:r>
          </w:p>
        </w:tc>
        <w:tc>
          <w:tcPr>
            <w:tcW w:w="169"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single" w:sz="2" w:space="1" w:color="000000"/>
              </w:pBdr>
              <w:spacing w:before="0" w:after="283"/>
              <w:rPr/>
            </w:pPr>
            <w:r>
              <w:rPr/>
              <w:t> </w:t>
            </w:r>
          </w:p>
        </w:tc>
        <w:tc>
          <w:tcPr>
            <w:tcW w:w="838"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826"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common stock and common stock equivalents (C)</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50,693</w:t>
            </w:r>
          </w:p>
        </w:tc>
        <w:tc>
          <w:tcPr>
            <w:tcW w:w="16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50,119</w:t>
            </w:r>
          </w:p>
        </w:tc>
        <w:tc>
          <w:tcPr>
            <w:tcW w:w="124" w:type="dxa"/>
            <w:tcBorders/>
            <w:shd w:fill="auto"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69"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826" w:type="dxa"/>
            <w:tcBorders/>
            <w:shd w:fill="CCEEFF" w:val="clear"/>
          </w:tcPr>
          <w:p>
            <w:pPr>
              <w:pStyle w:val="TableContents"/>
              <w:spacing w:before="0" w:after="283"/>
              <w:rPr>
                <w:rFonts w:ascii="Times New Roman" w:hAnsi="Times New Roman"/>
                <w:sz w:val="20"/>
              </w:rPr>
            </w:pPr>
            <w:r>
              <w:rPr>
                <w:rFonts w:ascii="Times New Roman" w:hAnsi="Times New Roman"/>
                <w:sz w:val="20"/>
              </w:rPr>
              <w:t>Basic earnings per share (A/B)</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6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4" w:type="dxa"/>
            <w:tcBorders/>
            <w:shd w:fill="CCEEFF"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69"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826" w:type="dxa"/>
            <w:tcBorders/>
            <w:shd w:fill="auto" w:val="clear"/>
          </w:tcPr>
          <w:p>
            <w:pPr>
              <w:pStyle w:val="TableContents"/>
              <w:spacing w:before="0" w:after="283"/>
              <w:rPr>
                <w:rFonts w:ascii="Times New Roman" w:hAnsi="Times New Roman"/>
                <w:sz w:val="20"/>
              </w:rPr>
            </w:pPr>
            <w:r>
              <w:rPr>
                <w:rFonts w:ascii="Times New Roman" w:hAnsi="Times New Roman"/>
                <w:sz w:val="20"/>
              </w:rPr>
              <w:t>Diluted earnings per share (A/C)</w:t>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0.78</w:t>
            </w:r>
          </w:p>
        </w:tc>
        <w:tc>
          <w:tcPr>
            <w:tcW w:w="16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4" w:type="dxa"/>
            <w:tcBorders/>
            <w:shd w:fill="auto" w:val="clear"/>
            <w:vAlign w:val="bottom"/>
          </w:tcPr>
          <w:p>
            <w:pPr>
              <w:pStyle w:val="TableContents"/>
              <w:spacing w:before="0" w:after="283"/>
              <w:rPr/>
            </w:pPr>
            <w:r>
              <w:rPr/>
              <w:t>  </w:t>
            </w:r>
          </w:p>
        </w:tc>
      </w:tr>
      <w:tr>
        <w:trPr/>
        <w:tc>
          <w:tcPr>
            <w:tcW w:w="4826"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5" w:type="dxa"/>
            <w:tcBorders/>
            <w:shd w:fill="auto" w:val="clear"/>
            <w:vAlign w:val="bottom"/>
          </w:tcPr>
          <w:p>
            <w:pPr>
              <w:pStyle w:val="TableContents"/>
              <w:pBdr>
                <w:top w:val="double" w:sz="6" w:space="1" w:color="000000"/>
              </w:pBdr>
              <w:spacing w:before="0" w:after="283"/>
              <w:rPr/>
            </w:pPr>
            <w:r>
              <w:rPr/>
              <w:t> </w:t>
            </w:r>
          </w:p>
        </w:tc>
        <w:tc>
          <w:tcPr>
            <w:tcW w:w="169" w:type="dxa"/>
            <w:tcBorders/>
            <w:shd w:fill="auto" w:val="clear"/>
            <w:vAlign w:val="center"/>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pBdr>
                <w:top w:val="double" w:sz="6" w:space="1" w:color="000000"/>
              </w:pBdr>
              <w:spacing w:before="0" w:after="283"/>
              <w:rPr/>
            </w:pPr>
            <w:r>
              <w:rPr/>
              <w:t> </w:t>
            </w:r>
          </w:p>
        </w:tc>
        <w:tc>
          <w:tcPr>
            <w:tcW w:w="838"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826" w:type="dxa"/>
            <w:tcBorders/>
            <w:shd w:fill="CCEEFF" w:val="clear"/>
          </w:tcPr>
          <w:p>
            <w:pPr>
              <w:pStyle w:val="TableContents"/>
              <w:spacing w:before="0" w:after="283"/>
              <w:rPr>
                <w:rFonts w:ascii="Times New Roman" w:hAnsi="Times New Roman"/>
                <w:sz w:val="20"/>
              </w:rPr>
            </w:pPr>
            <w:r>
              <w:rPr>
                <w:rFonts w:ascii="Times New Roman" w:hAnsi="Times New Roman"/>
                <w:sz w:val="20"/>
              </w:rPr>
              <w:t>Potential common shares excluded from the calculation of diluted earnings per share</w:t>
            </w:r>
          </w:p>
        </w:tc>
        <w:tc>
          <w:tcPr>
            <w:tcW w:w="287"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6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8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Note D: Strategic Investments and Fair Value of Financial Instruments </w:t>
      </w:r>
    </w:p>
    <w:p>
      <w:pPr>
        <w:pStyle w:val="TextBody"/>
        <w:spacing w:before="90" w:after="0"/>
        <w:rPr>
          <w:rFonts w:ascii="Times New Roman" w:hAnsi="Times New Roman"/>
          <w:sz w:val="20"/>
        </w:rPr>
      </w:pPr>
      <w:r>
        <w:rPr>
          <w:rFonts w:ascii="Times New Roman" w:hAnsi="Times New Roman"/>
          <w:sz w:val="20"/>
        </w:rPr>
        <w:t xml:space="preserve">At December 31, 2011, we owned 16,644,640 ordinary shares of Albemarle &amp; Bond Holdings, PLC, representing almost 30% of its total outstanding shares. Our total cost for those shares was approximately $27.6 million.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three-month lag. Albemarle &amp; Bond files semi-annual financial reports for its fiscal periods ending December 31 and June 30. The income reported for our quarter ended December 31, 2011 represents our percentage interest in the estimated results of Albemarle &amp; Bonds operations from July 1, 2011 to September 30, 2011. </w:t>
      </w:r>
    </w:p>
    <w:p>
      <w:pPr>
        <w:pStyle w:val="TextBody"/>
        <w:spacing w:before="180" w:after="0"/>
        <w:rPr>
          <w:rFonts w:ascii="Times New Roman" w:hAnsi="Times New Roman"/>
          <w:sz w:val="20"/>
        </w:rPr>
      </w:pPr>
      <w:r>
        <w:rPr>
          <w:rFonts w:ascii="Times New Roman" w:hAnsi="Times New Roman"/>
          <w:sz w:val="20"/>
        </w:rPr>
        <w:t xml:space="preserve">Conversion of Albemarle &amp; Bonds financial statements into U.S. GAAP resulted in no material differences from those reported by Albemarle &amp; Bond following IFRS.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its functional currency of British pounds, Albemarle &amp; Bonds total assets increased 19% from June 30, 2010 to June 30, 2011 and its net income improved 6% for the year ended June 30, 2011. Below is summarized financial information for Albemarle &amp; Bonds most recently reported results after translation to U.S. dollars (using the exchange rate as of June 30 of each year for balance sheet items and average exchange rates for the income statement items for the periods indicated):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7"/>
        <w:gridCol w:w="303"/>
        <w:gridCol w:w="125"/>
        <w:gridCol w:w="695"/>
        <w:gridCol w:w="120"/>
        <w:gridCol w:w="303"/>
        <w:gridCol w:w="125"/>
        <w:gridCol w:w="695"/>
        <w:gridCol w:w="122"/>
      </w:tblGrid>
      <w:tr>
        <w:trPr/>
        <w:tc>
          <w:tcPr>
            <w:tcW w:w="52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As of June 30,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125,862</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97,476</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64,325</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52,325</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190,187</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149,801</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18,620</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17,898</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57,016</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42,078</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114,551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89,825</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shareholders equity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190,187</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149,801</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27"/>
        <w:gridCol w:w="314"/>
        <w:gridCol w:w="125"/>
        <w:gridCol w:w="703"/>
        <w:gridCol w:w="120"/>
        <w:gridCol w:w="314"/>
        <w:gridCol w:w="125"/>
        <w:gridCol w:w="703"/>
        <w:gridCol w:w="124"/>
      </w:tblGrid>
      <w:tr>
        <w:trPr/>
        <w:tc>
          <w:tcPr>
            <w:tcW w:w="522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09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Years ended June 30,</w:t>
            </w:r>
          </w:p>
        </w:tc>
        <w:tc>
          <w:tcPr>
            <w:tcW w:w="124" w:type="dxa"/>
            <w:tcBorders/>
            <w:shd w:fill="auto" w:val="clear"/>
            <w:vAlign w:val="bottom"/>
          </w:tcPr>
          <w:p>
            <w:pPr>
              <w:pStyle w:val="TableContents"/>
              <w:spacing w:before="0" w:after="283"/>
              <w:rPr/>
            </w:pPr>
            <w:r>
              <w:rPr/>
              <w:t> </w:t>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090"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5227" w:type="dxa"/>
            <w:tcBorders/>
            <w:shd w:fill="CCEEFF" w:val="clear"/>
          </w:tcPr>
          <w:p>
            <w:pPr>
              <w:pStyle w:val="TableContents"/>
              <w:spacing w:before="0" w:after="283"/>
              <w:rPr>
                <w:rFonts w:ascii="Times New Roman" w:hAnsi="Times New Roman"/>
                <w:sz w:val="20"/>
              </w:rPr>
            </w:pPr>
            <w:r>
              <w:rPr>
                <w:rFonts w:ascii="Times New Roman" w:hAnsi="Times New Roman"/>
                <w:sz w:val="20"/>
              </w:rPr>
              <w:t>Gross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162,002</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129,794</w:t>
            </w:r>
          </w:p>
        </w:tc>
        <w:tc>
          <w:tcPr>
            <w:tcW w:w="124" w:type="dxa"/>
            <w:tcBorders/>
            <w:shd w:fill="CCEEFF" w:val="clear"/>
            <w:vAlign w:val="bottom"/>
          </w:tcPr>
          <w:p>
            <w:pPr>
              <w:pStyle w:val="TableContents"/>
              <w:spacing w:before="0" w:after="283"/>
              <w:rPr/>
            </w:pPr>
            <w:r>
              <w:rPr/>
              <w:t>  </w:t>
            </w:r>
          </w:p>
        </w:tc>
      </w:tr>
      <w:tr>
        <w:trPr/>
        <w:tc>
          <w:tcPr>
            <w:tcW w:w="5227"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97,197</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84,850</w:t>
            </w:r>
          </w:p>
        </w:tc>
        <w:tc>
          <w:tcPr>
            <w:tcW w:w="124" w:type="dxa"/>
            <w:tcBorders/>
            <w:shd w:fill="auto" w:val="clear"/>
            <w:vAlign w:val="bottom"/>
          </w:tcPr>
          <w:p>
            <w:pPr>
              <w:pStyle w:val="TableContents"/>
              <w:spacing w:before="0" w:after="283"/>
              <w:rPr/>
            </w:pPr>
            <w:r>
              <w:rPr/>
              <w:t>  </w:t>
            </w:r>
          </w:p>
        </w:tc>
      </w:tr>
      <w:tr>
        <w:trPr/>
        <w:tc>
          <w:tcPr>
            <w:tcW w:w="5227" w:type="dxa"/>
            <w:tcBorders/>
            <w:shd w:fill="CCEEFF" w:val="clear"/>
          </w:tcPr>
          <w:p>
            <w:pPr>
              <w:pStyle w:val="TableContents"/>
              <w:spacing w:before="0" w:after="283"/>
              <w:rPr>
                <w:rFonts w:ascii="Times New Roman" w:hAnsi="Times New Roman"/>
                <w:sz w:val="20"/>
              </w:rPr>
            </w:pPr>
            <w:r>
              <w:rPr>
                <w:rFonts w:ascii="Times New Roman" w:hAnsi="Times New Roman"/>
                <w:sz w:val="20"/>
              </w:rPr>
              <w:t>Profit for the year (net income)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24,324</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22,792</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At December 31, 2011, we owned 124,418,000 shares, or approximately 33% of the total ordinary shares of Cash Converters International Limited, which is a publicly traded company headquartered in Perth, Australia. We acquired the shares between November 2009 and May 2010 for approximately $57.8 million. Cash Converters franchises and operates a worldwide network of over 600 specialty financial services and retail stores that provide pawn loans, short-term unsecured loans and other consumer finance products, and buy and sell second-hand goods. Cash Converters has significant store concentrations in Australia and the United Kingdom. </w:t>
      </w:r>
    </w:p>
    <w:p>
      <w:pPr>
        <w:pStyle w:val="TextBody"/>
        <w:spacing w:before="180" w:after="0"/>
        <w:rPr>
          <w:rFonts w:ascii="Times New Roman" w:hAnsi="Times New Roman"/>
          <w:sz w:val="20"/>
        </w:rPr>
      </w:pPr>
      <w:r>
        <w:rPr>
          <w:rFonts w:ascii="Times New Roman" w:hAnsi="Times New Roman"/>
          <w:sz w:val="20"/>
        </w:rPr>
        <w:t xml:space="preserve">We account for our investment in Cash Converters using the equity method. Since Cash Converters fiscal year ends three months prior to ours, we report the income from this investment on a three-month lag. Cash Converters files semi-annual financial reports for its fiscal periods ending December 31 and June 30. Due to the three-month lag, income reported for our quarter ended December 31, 2011 represents our percentage interest in the estimated results of Cash Converters operations from July 1, 2011 to September 30, 2011. </w:t>
      </w:r>
    </w:p>
    <w:p>
      <w:pPr>
        <w:pStyle w:val="TextBody"/>
        <w:spacing w:before="180" w:after="0"/>
        <w:rPr>
          <w:rFonts w:ascii="Times New Roman" w:hAnsi="Times New Roman"/>
          <w:sz w:val="20"/>
        </w:rPr>
      </w:pPr>
      <w:r>
        <w:rPr>
          <w:rFonts w:ascii="Times New Roman" w:hAnsi="Times New Roman"/>
          <w:sz w:val="20"/>
        </w:rPr>
        <w:t xml:space="preserve">Conversion of Cash Converters financial statements into U.S. GAAP resulted in no material differences from those reported by Cash Converters following IFRS. </w:t>
      </w:r>
    </w:p>
    <w:p>
      <w:pPr>
        <w:pStyle w:val="TextBody"/>
        <w:spacing w:before="180" w:after="0"/>
        <w:rPr>
          <w:rFonts w:ascii="Times New Roman" w:hAnsi="Times New Roman"/>
          <w:sz w:val="20"/>
        </w:rPr>
      </w:pPr>
      <w:r>
        <w:rPr>
          <w:rFonts w:ascii="Times New Roman" w:hAnsi="Times New Roman"/>
          <w:sz w:val="20"/>
        </w:rPr>
        <w:t xml:space="preserve">In its functional currency of Australian dollars, Cash Converters total assets increased 18% from June 30, 2010 to June 30, 2011 and its net income improved 27% for the year ended June 30, 2011. Below is summarized financial information for Cash Converters most recently reported results after translation to U.S. dollars (using the exchange rate as of June 30 of each year for balance sheet items and average exchange rates for the income statement items for the periods indicated):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7"/>
        <w:gridCol w:w="303"/>
        <w:gridCol w:w="125"/>
        <w:gridCol w:w="695"/>
        <w:gridCol w:w="120"/>
        <w:gridCol w:w="303"/>
        <w:gridCol w:w="125"/>
        <w:gridCol w:w="695"/>
        <w:gridCol w:w="122"/>
      </w:tblGrid>
      <w:tr>
        <w:trPr/>
        <w:tc>
          <w:tcPr>
            <w:tcW w:w="52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As of June 30,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2063"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119,633</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96,489</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assets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126,811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72,408</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246,444</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168,897</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38,235</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19,179</w:t>
            </w:r>
          </w:p>
        </w:tc>
        <w:tc>
          <w:tcPr>
            <w:tcW w:w="122" w:type="dxa"/>
            <w:tcBorders/>
            <w:shd w:fill="auto" w:val="clear"/>
            <w:vAlign w:val="bottom"/>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22,528</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10,199</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185,681</w:t>
            </w:r>
          </w:p>
        </w:tc>
        <w:tc>
          <w:tcPr>
            <w:tcW w:w="12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139,519</w:t>
            </w:r>
          </w:p>
        </w:tc>
        <w:tc>
          <w:tcPr>
            <w:tcW w:w="122" w:type="dxa"/>
            <w:tcBorders/>
            <w:shd w:fill="auto"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5"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267"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shareholders equity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246,444</w:t>
            </w:r>
          </w:p>
        </w:tc>
        <w:tc>
          <w:tcPr>
            <w:tcW w:w="12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168,897</w:t>
            </w:r>
          </w:p>
        </w:tc>
        <w:tc>
          <w:tcPr>
            <w:tcW w:w="122" w:type="dxa"/>
            <w:tcBorders/>
            <w:shd w:fill="CCEEFF" w:val="clear"/>
            <w:vAlign w:val="bottom"/>
          </w:tcPr>
          <w:p>
            <w:pPr>
              <w:pStyle w:val="TableContents"/>
              <w:spacing w:before="0" w:after="283"/>
              <w:rPr/>
            </w:pPr>
            <w:r>
              <w:rPr/>
              <w:t>  </w:t>
            </w:r>
          </w:p>
        </w:tc>
      </w:tr>
      <w:tr>
        <w:trPr/>
        <w:tc>
          <w:tcPr>
            <w:tcW w:w="5267"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5"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rPr/>
      </w:pPr>
      <w:r>
        <w:rPr/>
        <w:t> </w:t>
      </w:r>
    </w:p>
    <w:tbl>
      <w:tblPr>
        <w:tblW w:w="3800" w:type="pct"/>
        <w:jc w:val="center"/>
        <w:tblInd w:w="0" w:type="dxa"/>
        <w:tblCellMar>
          <w:top w:w="0" w:type="dxa"/>
          <w:left w:w="0" w:type="dxa"/>
          <w:bottom w:w="0" w:type="dxa"/>
          <w:right w:w="0" w:type="dxa"/>
        </w:tblCellMar>
      </w:tblPr>
      <w:tblGrid>
        <w:gridCol w:w="5227"/>
        <w:gridCol w:w="314"/>
        <w:gridCol w:w="125"/>
        <w:gridCol w:w="703"/>
        <w:gridCol w:w="120"/>
        <w:gridCol w:w="314"/>
        <w:gridCol w:w="125"/>
        <w:gridCol w:w="703"/>
        <w:gridCol w:w="124"/>
      </w:tblGrid>
      <w:tr>
        <w:trPr/>
        <w:tc>
          <w:tcPr>
            <w:tcW w:w="522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09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 ended June 30</w:t>
            </w:r>
          </w:p>
        </w:tc>
        <w:tc>
          <w:tcPr>
            <w:tcW w:w="124" w:type="dxa"/>
            <w:tcBorders/>
            <w:shd w:fill="auto" w:val="clear"/>
            <w:vAlign w:val="bottom"/>
          </w:tcPr>
          <w:p>
            <w:pPr>
              <w:pStyle w:val="TableContents"/>
              <w:spacing w:before="0" w:after="283"/>
              <w:rPr/>
            </w:pPr>
            <w:r>
              <w:rPr/>
              <w:t> </w:t>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5227"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090"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5227" w:type="dxa"/>
            <w:tcBorders/>
            <w:shd w:fill="CCEEFF" w:val="clear"/>
          </w:tcPr>
          <w:p>
            <w:pPr>
              <w:pStyle w:val="TableContents"/>
              <w:spacing w:before="0" w:after="283"/>
              <w:rPr>
                <w:rFonts w:ascii="Times New Roman" w:hAnsi="Times New Roman"/>
                <w:sz w:val="20"/>
              </w:rPr>
            </w:pPr>
            <w:r>
              <w:rPr>
                <w:rFonts w:ascii="Times New Roman" w:hAnsi="Times New Roman"/>
                <w:sz w:val="20"/>
              </w:rPr>
              <w:t>Gross revenues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184,011</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111,218</w:t>
            </w:r>
          </w:p>
        </w:tc>
        <w:tc>
          <w:tcPr>
            <w:tcW w:w="124" w:type="dxa"/>
            <w:tcBorders/>
            <w:shd w:fill="CCEEFF" w:val="clear"/>
            <w:vAlign w:val="bottom"/>
          </w:tcPr>
          <w:p>
            <w:pPr>
              <w:pStyle w:val="TableContents"/>
              <w:spacing w:before="0" w:after="283"/>
              <w:rPr/>
            </w:pPr>
            <w:r>
              <w:rPr/>
              <w:t>  </w:t>
            </w:r>
          </w:p>
        </w:tc>
      </w:tr>
      <w:tr>
        <w:trPr/>
        <w:tc>
          <w:tcPr>
            <w:tcW w:w="5227"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138,997</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84,296</w:t>
            </w:r>
          </w:p>
        </w:tc>
        <w:tc>
          <w:tcPr>
            <w:tcW w:w="124" w:type="dxa"/>
            <w:tcBorders/>
            <w:shd w:fill="auto" w:val="clear"/>
            <w:vAlign w:val="bottom"/>
          </w:tcPr>
          <w:p>
            <w:pPr>
              <w:pStyle w:val="TableContents"/>
              <w:spacing w:before="0" w:after="283"/>
              <w:rPr/>
            </w:pPr>
            <w:r>
              <w:rPr/>
              <w:t>  </w:t>
            </w:r>
          </w:p>
        </w:tc>
      </w:tr>
      <w:tr>
        <w:trPr/>
        <w:tc>
          <w:tcPr>
            <w:tcW w:w="5227" w:type="dxa"/>
            <w:tcBorders/>
            <w:shd w:fill="CCEEFF" w:val="clear"/>
          </w:tcPr>
          <w:p>
            <w:pPr>
              <w:pStyle w:val="TableContents"/>
              <w:spacing w:before="0" w:after="283"/>
              <w:rPr>
                <w:rFonts w:ascii="Times New Roman" w:hAnsi="Times New Roman"/>
                <w:sz w:val="20"/>
              </w:rPr>
            </w:pPr>
            <w:r>
              <w:rPr>
                <w:rFonts w:ascii="Times New Roman" w:hAnsi="Times New Roman"/>
                <w:sz w:val="20"/>
              </w:rPr>
              <w:t>Profit for the year (net income)</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27,328</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19,122</w:t>
            </w:r>
          </w:p>
        </w:tc>
        <w:tc>
          <w:tcPr>
            <w:tcW w:w="124" w:type="dxa"/>
            <w:tcBorders/>
            <w:shd w:fill="CCEEFF"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table below summarizes the recorded value and fair value of each of these strategic investments at the dates indicated. These fair values are considered level one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782"/>
        <w:gridCol w:w="382"/>
        <w:gridCol w:w="125"/>
        <w:gridCol w:w="613"/>
        <w:gridCol w:w="120"/>
        <w:gridCol w:w="382"/>
        <w:gridCol w:w="125"/>
        <w:gridCol w:w="613"/>
        <w:gridCol w:w="120"/>
        <w:gridCol w:w="382"/>
        <w:gridCol w:w="139"/>
        <w:gridCol w:w="665"/>
        <w:gridCol w:w="124"/>
      </w:tblGrid>
      <w:tr>
        <w:trPr/>
        <w:tc>
          <w:tcPr>
            <w:tcW w:w="47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78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97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4" w:type="dxa"/>
            <w:tcBorders/>
            <w:shd w:fill="auto" w:val="clear"/>
            <w:vAlign w:val="bottom"/>
          </w:tcPr>
          <w:p>
            <w:pPr>
              <w:pStyle w:val="TableContents"/>
              <w:spacing w:before="0" w:after="283"/>
              <w:rPr/>
            </w:pPr>
            <w:r>
              <w:rPr/>
              <w:t> </w:t>
            </w:r>
          </w:p>
        </w:tc>
      </w:tr>
      <w:tr>
        <w:trPr/>
        <w:tc>
          <w:tcPr>
            <w:tcW w:w="478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4" w:type="dxa"/>
            <w:tcBorders/>
            <w:shd w:fill="auto" w:val="clear"/>
            <w:vAlign w:val="bottom"/>
          </w:tcPr>
          <w:p>
            <w:pPr>
              <w:pStyle w:val="TableContents"/>
              <w:spacing w:before="0" w:after="283"/>
              <w:rPr/>
            </w:pPr>
            <w:r>
              <w:rPr/>
              <w:t> </w:t>
            </w:r>
          </w:p>
        </w:tc>
      </w:tr>
      <w:tr>
        <w:trPr/>
        <w:tc>
          <w:tcPr>
            <w:tcW w:w="4782"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284"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 of U.S. dollars)</w:t>
            </w:r>
          </w:p>
        </w:tc>
        <w:tc>
          <w:tcPr>
            <w:tcW w:w="124" w:type="dxa"/>
            <w:tcBorders/>
            <w:shd w:fill="auto" w:val="clear"/>
            <w:vAlign w:val="bottom"/>
          </w:tcPr>
          <w:p>
            <w:pPr>
              <w:pStyle w:val="TableContents"/>
              <w:spacing w:before="0" w:after="283"/>
              <w:rPr/>
            </w:pPr>
            <w:r>
              <w:rPr/>
              <w:t> </w:t>
            </w:r>
          </w:p>
        </w:tc>
      </w:tr>
      <w:tr>
        <w:trPr/>
        <w:tc>
          <w:tcPr>
            <w:tcW w:w="4782" w:type="dxa"/>
            <w:tcBorders/>
            <w:shd w:fill="CCEEFF" w:val="clear"/>
          </w:tcPr>
          <w:p>
            <w:pPr>
              <w:pStyle w:val="TableContents"/>
              <w:spacing w:before="0" w:after="283"/>
              <w:rPr>
                <w:rFonts w:ascii="Times New Roman" w:hAnsi="Times New Roman"/>
                <w:sz w:val="20"/>
              </w:rPr>
            </w:pPr>
            <w:r>
              <w:rPr>
                <w:rFonts w:ascii="Times New Roman" w:hAnsi="Times New Roman"/>
                <w:sz w:val="20"/>
                <w:u w:val="single"/>
              </w:rPr>
              <w:t>Albemarle &amp; Bond</w:t>
            </w:r>
            <w:r>
              <w:rPr>
                <w:rFonts w:ascii="Times New Roman" w:hAnsi="Times New Roman"/>
                <w:sz w:val="20"/>
              </w:rPr>
              <w:t>:</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665"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r>
      <w:tr>
        <w:trPr/>
        <w:tc>
          <w:tcPr>
            <w:tcW w:w="4782" w:type="dxa"/>
            <w:tcBorders/>
            <w:shd w:fill="auto" w:val="clear"/>
          </w:tcPr>
          <w:p>
            <w:pPr>
              <w:pStyle w:val="TableContents"/>
              <w:spacing w:before="0" w:after="283"/>
              <w:rPr>
                <w:rFonts w:ascii="Times New Roman" w:hAnsi="Times New Roman"/>
                <w:sz w:val="20"/>
              </w:rPr>
            </w:pPr>
            <w:r>
              <w:rPr>
                <w:rFonts w:ascii="Times New Roman" w:hAnsi="Times New Roman"/>
                <w:sz w:val="20"/>
              </w:rPr>
              <w:t>Recorded value</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49,616</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45,684</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48,361</w:t>
            </w:r>
          </w:p>
        </w:tc>
        <w:tc>
          <w:tcPr>
            <w:tcW w:w="124" w:type="dxa"/>
            <w:tcBorders/>
            <w:shd w:fill="auto" w:val="clear"/>
            <w:vAlign w:val="bottom"/>
          </w:tcPr>
          <w:p>
            <w:pPr>
              <w:pStyle w:val="TableContents"/>
              <w:spacing w:before="0" w:after="283"/>
              <w:rPr/>
            </w:pPr>
            <w:r>
              <w:rPr/>
              <w:t>  </w:t>
            </w:r>
          </w:p>
        </w:tc>
      </w:tr>
      <w:tr>
        <w:trPr/>
        <w:tc>
          <w:tcPr>
            <w:tcW w:w="4782"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84,622</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81,630</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91,741</w:t>
            </w:r>
          </w:p>
        </w:tc>
        <w:tc>
          <w:tcPr>
            <w:tcW w:w="124" w:type="dxa"/>
            <w:tcBorders/>
            <w:shd w:fill="CCEEFF" w:val="clear"/>
            <w:vAlign w:val="bottom"/>
          </w:tcPr>
          <w:p>
            <w:pPr>
              <w:pStyle w:val="TableContents"/>
              <w:spacing w:before="0" w:after="283"/>
              <w:rPr/>
            </w:pPr>
            <w:r>
              <w:rPr/>
              <w:t>  </w:t>
            </w:r>
          </w:p>
        </w:tc>
      </w:tr>
      <w:tr>
        <w:trPr>
          <w:trHeight w:val="120" w:hRule="atLeast"/>
        </w:trPr>
        <w:tc>
          <w:tcPr>
            <w:tcW w:w="4782" w:type="dxa"/>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10" w:type="dxa"/>
            <w:gridSpan w:val="4"/>
            <w:tcBorders/>
            <w:shd w:fill="auto" w:val="clear"/>
            <w:vAlign w:val="center"/>
          </w:tcPr>
          <w:p>
            <w:pPr>
              <w:pStyle w:val="TableContents"/>
              <w:spacing w:before="0" w:after="283"/>
              <w:rPr>
                <w:sz w:val="4"/>
                <w:szCs w:val="4"/>
              </w:rPr>
            </w:pPr>
            <w:r>
              <w:rPr>
                <w:sz w:val="4"/>
                <w:szCs w:val="4"/>
              </w:rPr>
            </w:r>
          </w:p>
        </w:tc>
      </w:tr>
      <w:tr>
        <w:trPr/>
        <w:tc>
          <w:tcPr>
            <w:tcW w:w="4782" w:type="dxa"/>
            <w:tcBorders/>
            <w:shd w:fill="auto" w:val="clear"/>
          </w:tcPr>
          <w:p>
            <w:pPr>
              <w:pStyle w:val="TableContents"/>
              <w:spacing w:before="0" w:after="283"/>
              <w:rPr>
                <w:rFonts w:ascii="Times New Roman" w:hAnsi="Times New Roman"/>
                <w:sz w:val="20"/>
              </w:rPr>
            </w:pPr>
            <w:r>
              <w:rPr>
                <w:rFonts w:ascii="Times New Roman" w:hAnsi="Times New Roman"/>
                <w:sz w:val="20"/>
                <w:u w:val="single"/>
              </w:rPr>
              <w:t>Cash Converters</w:t>
            </w:r>
            <w:r>
              <w:rPr>
                <w:rFonts w:ascii="Times New Roman" w:hAnsi="Times New Roman"/>
                <w:sz w:val="20"/>
              </w:rPr>
              <w:t>:</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r>
      <w:tr>
        <w:trPr/>
        <w:tc>
          <w:tcPr>
            <w:tcW w:w="4782" w:type="dxa"/>
            <w:tcBorders/>
            <w:shd w:fill="CCEEFF" w:val="clear"/>
          </w:tcPr>
          <w:p>
            <w:pPr>
              <w:pStyle w:val="TableContents"/>
              <w:spacing w:before="0" w:after="283"/>
              <w:rPr>
                <w:rFonts w:ascii="Times New Roman" w:hAnsi="Times New Roman"/>
                <w:sz w:val="20"/>
              </w:rPr>
            </w:pPr>
            <w:r>
              <w:rPr>
                <w:rFonts w:ascii="Times New Roman" w:hAnsi="Times New Roman"/>
                <w:sz w:val="20"/>
              </w:rPr>
              <w:t>Recorded value</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68,204</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63,275</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71,958</w:t>
            </w:r>
          </w:p>
        </w:tc>
        <w:tc>
          <w:tcPr>
            <w:tcW w:w="124" w:type="dxa"/>
            <w:tcBorders/>
            <w:shd w:fill="CCEEFF" w:val="clear"/>
            <w:vAlign w:val="bottom"/>
          </w:tcPr>
          <w:p>
            <w:pPr>
              <w:pStyle w:val="TableContents"/>
              <w:spacing w:before="0" w:after="283"/>
              <w:rPr/>
            </w:pPr>
            <w:r>
              <w:rPr/>
              <w:t>  </w:t>
            </w:r>
          </w:p>
        </w:tc>
      </w:tr>
      <w:tr>
        <w:trPr/>
        <w:tc>
          <w:tcPr>
            <w:tcW w:w="4782"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68,355</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88,512</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53,600</w:t>
            </w:r>
          </w:p>
        </w:tc>
        <w:tc>
          <w:tcPr>
            <w:tcW w:w="124"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August 2011, legislation was proposed in Australia that would, among other things, limit the interest charged on certain consumer loans and prohibit loan extensions and refinancing. If this legislation is enacted in its currently proposed form, Cash Converters consumer loan business in Australia may be adversely affected, which could have the effect of decreasing Cash Converters revenues and earnings. As of September 30, 2011 the fair value of our investment in Cash Converters (based on the market price of Cash Converters stock as of that date) was below our recorded value. In light of Cash Converters statements at that time regarding its ability to mitigate the potential impact of the proposed legislation, we considered this loss in value to be temporary. Following a series of representations from Cash Converters, its customers and other industry executives, the Australian Parliament, referred the bill to the Senate Economics committee and to the Joint Committee on Corporations and Financial Services for review. The committees concluded that the proposed legislation did not achieve an appropriate balance between consumer protection and industry viability and recommended that the Australian government revisit key aspects of its reform package with further industry consultation. As of December 31, 2011, the fair value of our investment in Cash Converters was slightly above our recorded value, further supporting our assessment of the loss in value of its stock to be temporary. </w:t>
      </w:r>
    </w:p>
    <w:p>
      <w:pPr>
        <w:pStyle w:val="TextBody"/>
        <w:spacing w:before="270" w:after="0"/>
        <w:rPr>
          <w:rFonts w:ascii="Times New Roman" w:hAnsi="Times New Roman"/>
          <w:b/>
          <w:sz w:val="20"/>
        </w:rPr>
      </w:pPr>
      <w:r>
        <w:rPr>
          <w:rFonts w:ascii="Times New Roman" w:hAnsi="Times New Roman"/>
          <w:b/>
          <w:sz w:val="20"/>
        </w:rPr>
        <w:t xml:space="preserve">Note E: Goodwill and Other Intangible Assets </w:t>
      </w:r>
    </w:p>
    <w:p>
      <w:pPr>
        <w:pStyle w:val="TextBody"/>
        <w:spacing w:before="90" w:after="0"/>
        <w:rPr>
          <w:rFonts w:ascii="Times New Roman" w:hAnsi="Times New Roman"/>
          <w:sz w:val="20"/>
        </w:rPr>
      </w:pPr>
      <w:r>
        <w:rPr>
          <w:rFonts w:ascii="Times New Roman" w:hAnsi="Times New Roman"/>
          <w:sz w:val="20"/>
        </w:rPr>
        <w:t xml:space="preserve">The following table presents the balance of each major class of indefinite-lived intangible asset at the specified dates: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78"/>
        <w:gridCol w:w="382"/>
        <w:gridCol w:w="125"/>
        <w:gridCol w:w="703"/>
        <w:gridCol w:w="120"/>
        <w:gridCol w:w="382"/>
        <w:gridCol w:w="125"/>
        <w:gridCol w:w="703"/>
        <w:gridCol w:w="120"/>
        <w:gridCol w:w="382"/>
        <w:gridCol w:w="125"/>
        <w:gridCol w:w="703"/>
        <w:gridCol w:w="124"/>
      </w:tblGrid>
      <w:tr>
        <w:trPr/>
        <w:tc>
          <w:tcPr>
            <w:tcW w:w="457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21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488"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4578" w:type="dxa"/>
            <w:tcBorders/>
            <w:shd w:fill="CCEEFF" w:val="clear"/>
          </w:tcPr>
          <w:p>
            <w:pPr>
              <w:pStyle w:val="TableContents"/>
              <w:spacing w:before="0" w:after="283"/>
              <w:rPr>
                <w:rFonts w:ascii="Times New Roman" w:hAnsi="Times New Roman"/>
                <w:sz w:val="20"/>
              </w:rPr>
            </w:pPr>
            <w:r>
              <w:rPr>
                <w:rFonts w:ascii="Times New Roman" w:hAnsi="Times New Roman"/>
                <w:sz w:val="20"/>
              </w:rPr>
              <w:t>Pawn licenses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8,877</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4" w:type="dxa"/>
            <w:tcBorders/>
            <w:shd w:fill="CCEEFF" w:val="clear"/>
            <w:vAlign w:val="bottom"/>
          </w:tcPr>
          <w:p>
            <w:pPr>
              <w:pStyle w:val="TableContents"/>
              <w:spacing w:before="0" w:after="283"/>
              <w:rPr/>
            </w:pPr>
            <w:r>
              <w:rPr/>
              <w:t>  </w:t>
            </w:r>
          </w:p>
        </w:tc>
      </w:tr>
      <w:tr>
        <w:trPr/>
        <w:tc>
          <w:tcPr>
            <w:tcW w:w="4578" w:type="dxa"/>
            <w:tcBorders/>
            <w:shd w:fill="auto" w:val="clear"/>
          </w:tcPr>
          <w:p>
            <w:pPr>
              <w:pStyle w:val="TableContents"/>
              <w:spacing w:before="0" w:after="283"/>
              <w:rPr>
                <w:rFonts w:ascii="Times New Roman" w:hAnsi="Times New Roman"/>
                <w:sz w:val="20"/>
              </w:rPr>
            </w:pPr>
            <w:r>
              <w:rPr>
                <w:rFonts w:ascii="Times New Roman" w:hAnsi="Times New Roman"/>
                <w:sz w:val="20"/>
              </w:rPr>
              <w:t>Trade name</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4,870</w:t>
            </w:r>
          </w:p>
        </w:tc>
        <w:tc>
          <w:tcPr>
            <w:tcW w:w="124" w:type="dxa"/>
            <w:tcBorders/>
            <w:shd w:fill="auto" w:val="clear"/>
            <w:vAlign w:val="bottom"/>
          </w:tcPr>
          <w:p>
            <w:pPr>
              <w:pStyle w:val="TableContents"/>
              <w:spacing w:before="0" w:after="283"/>
              <w:rPr/>
            </w:pPr>
            <w:r>
              <w:rPr/>
              <w:t>  </w:t>
            </w:r>
          </w:p>
        </w:tc>
      </w:tr>
      <w:tr>
        <w:trPr/>
        <w:tc>
          <w:tcPr>
            <w:tcW w:w="4578"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212,475</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128,181</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24" w:type="dxa"/>
            <w:tcBorders/>
            <w:shd w:fill="CCEEFF"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4578"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226,222</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141,887</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186,912</w:t>
            </w:r>
          </w:p>
        </w:tc>
        <w:tc>
          <w:tcPr>
            <w:tcW w:w="124" w:type="dxa"/>
            <w:tcBorders/>
            <w:shd w:fill="auto" w:val="clear"/>
            <w:vAlign w:val="bottom"/>
          </w:tcPr>
          <w:p>
            <w:pPr>
              <w:pStyle w:val="TableContents"/>
              <w:spacing w:before="0" w:after="283"/>
              <w:rPr/>
            </w:pPr>
            <w:r>
              <w:rPr/>
              <w:t>  </w:t>
            </w:r>
          </w:p>
        </w:tc>
      </w:tr>
      <w:tr>
        <w:trPr/>
        <w:tc>
          <w:tcPr>
            <w:tcW w:w="457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following table presents the changes in the carrying value of goodwill, by segment, over the periods presented: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508"/>
        <w:gridCol w:w="382"/>
        <w:gridCol w:w="125"/>
        <w:gridCol w:w="705"/>
        <w:gridCol w:w="120"/>
        <w:gridCol w:w="382"/>
        <w:gridCol w:w="125"/>
        <w:gridCol w:w="486"/>
        <w:gridCol w:w="125"/>
        <w:gridCol w:w="337"/>
        <w:gridCol w:w="219"/>
        <w:gridCol w:w="451"/>
        <w:gridCol w:w="125"/>
        <w:gridCol w:w="337"/>
        <w:gridCol w:w="124"/>
        <w:gridCol w:w="705"/>
        <w:gridCol w:w="132"/>
      </w:tblGrid>
      <w:tr>
        <w:trPr/>
        <w:tc>
          <w:tcPr>
            <w:tcW w:w="450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50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br/>
              <w:t>Operations</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w:t>
              <w:br/>
              <w:t>Fácil</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6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br/>
              <w:t>Operations</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50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4366"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50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September 30, 2011</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163,897</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9,309</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32" w:type="dxa"/>
            <w:tcBorders/>
            <w:shd w:fill="CCEEFF" w:val="clear"/>
            <w:vAlign w:val="bottom"/>
          </w:tcPr>
          <w:p>
            <w:pPr>
              <w:pStyle w:val="TableContents"/>
              <w:spacing w:before="0" w:after="283"/>
              <w:rPr/>
            </w:pPr>
            <w:r>
              <w:rPr/>
              <w:t>  </w:t>
            </w:r>
          </w:p>
        </w:tc>
      </w:tr>
      <w:tr>
        <w:trPr/>
        <w:tc>
          <w:tcPr>
            <w:tcW w:w="450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39,610</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39,642</w:t>
            </w:r>
          </w:p>
        </w:tc>
        <w:tc>
          <w:tcPr>
            <w:tcW w:w="132" w:type="dxa"/>
            <w:tcBorders/>
            <w:shd w:fill="auto" w:val="clear"/>
            <w:vAlign w:val="bottom"/>
          </w:tcPr>
          <w:p>
            <w:pPr>
              <w:pStyle w:val="TableContents"/>
              <w:spacing w:before="0" w:after="283"/>
              <w:rPr/>
            </w:pPr>
            <w:r>
              <w:rPr/>
              <w:t>  </w:t>
            </w:r>
          </w:p>
        </w:tc>
      </w:tr>
      <w:tr>
        <w:trPr/>
        <w:tc>
          <w:tcPr>
            <w:tcW w:w="4508"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foreign currency translation changes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50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December 31, 2011</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203,507</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8,938</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212,475</w:t>
            </w:r>
          </w:p>
        </w:tc>
        <w:tc>
          <w:tcPr>
            <w:tcW w:w="132" w:type="dxa"/>
            <w:tcBorders/>
            <w:shd w:fill="auto" w:val="clear"/>
            <w:vAlign w:val="bottom"/>
          </w:tcPr>
          <w:p>
            <w:pPr>
              <w:pStyle w:val="TableContents"/>
              <w:spacing w:before="0" w:after="283"/>
              <w:rPr/>
            </w:pPr>
            <w:r>
              <w:rPr/>
              <w:t>  </w:t>
            </w:r>
          </w:p>
        </w:tc>
      </w:tr>
      <w:tr>
        <w:trPr/>
        <w:tc>
          <w:tcPr>
            <w:tcW w:w="450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8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rHeight w:val="240" w:hRule="atLeast"/>
        </w:trPr>
        <w:tc>
          <w:tcPr>
            <w:tcW w:w="4508" w:type="dxa"/>
            <w:tcBorders/>
            <w:shd w:fill="auto" w:val="clear"/>
            <w:vAlign w:val="center"/>
          </w:tcPr>
          <w:p>
            <w:pPr>
              <w:pStyle w:val="TableContents"/>
              <w:spacing w:before="0" w:after="283"/>
              <w:rPr>
                <w:sz w:val="4"/>
                <w:szCs w:val="4"/>
              </w:rPr>
            </w:pPr>
            <w:r>
              <w:rPr>
                <w:sz w:val="4"/>
                <w:szCs w:val="4"/>
              </w:rPr>
            </w:r>
          </w:p>
        </w:tc>
        <w:tc>
          <w:tcPr>
            <w:tcW w:w="1332" w:type="dxa"/>
            <w:gridSpan w:val="4"/>
            <w:tcBorders/>
            <w:shd w:fill="auto" w:val="clear"/>
            <w:vAlign w:val="center"/>
          </w:tcPr>
          <w:p>
            <w:pPr>
              <w:pStyle w:val="TableContents"/>
              <w:spacing w:before="0" w:after="283"/>
              <w:rPr>
                <w:sz w:val="4"/>
                <w:szCs w:val="4"/>
              </w:rPr>
            </w:pPr>
            <w:r>
              <w:rPr>
                <w:sz w:val="4"/>
                <w:szCs w:val="4"/>
              </w:rPr>
            </w:r>
          </w:p>
        </w:tc>
        <w:tc>
          <w:tcPr>
            <w:tcW w:w="1118"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298" w:type="dxa"/>
            <w:gridSpan w:val="4"/>
            <w:tcBorders/>
            <w:shd w:fill="auto" w:val="clear"/>
            <w:vAlign w:val="center"/>
          </w:tcPr>
          <w:p>
            <w:pPr>
              <w:pStyle w:val="TableContents"/>
              <w:spacing w:before="0" w:after="283"/>
              <w:rPr>
                <w:sz w:val="4"/>
                <w:szCs w:val="4"/>
              </w:rPr>
            </w:pPr>
            <w:r>
              <w:rPr>
                <w:sz w:val="4"/>
                <w:szCs w:val="4"/>
              </w:rPr>
            </w:r>
          </w:p>
        </w:tc>
      </w:tr>
      <w:tr>
        <w:trPr/>
        <w:tc>
          <w:tcPr>
            <w:tcW w:w="450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br/>
              <w:t>Operations</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61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w:t>
              <w:br/>
              <w:t>Fácil</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67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br/>
              <w:t>Operations</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8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508"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4366" w:type="dxa"/>
            <w:gridSpan w:val="1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508"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September 30, 2010</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110,255</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7,050</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117,305</w:t>
            </w:r>
          </w:p>
        </w:tc>
        <w:tc>
          <w:tcPr>
            <w:tcW w:w="132" w:type="dxa"/>
            <w:tcBorders/>
            <w:shd w:fill="CCEEFF" w:val="clear"/>
            <w:vAlign w:val="bottom"/>
          </w:tcPr>
          <w:p>
            <w:pPr>
              <w:pStyle w:val="TableContents"/>
              <w:spacing w:before="0" w:after="283"/>
              <w:rPr/>
            </w:pPr>
            <w:r>
              <w:rPr/>
              <w:t>  </w:t>
            </w:r>
          </w:p>
        </w:tc>
      </w:tr>
      <w:tr>
        <w:trPr/>
        <w:tc>
          <w:tcPr>
            <w:tcW w:w="450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10,793</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10,793</w:t>
            </w:r>
          </w:p>
        </w:tc>
        <w:tc>
          <w:tcPr>
            <w:tcW w:w="132" w:type="dxa"/>
            <w:tcBorders/>
            <w:shd w:fill="auto" w:val="clear"/>
            <w:vAlign w:val="bottom"/>
          </w:tcPr>
          <w:p>
            <w:pPr>
              <w:pStyle w:val="TableContents"/>
              <w:spacing w:before="0" w:after="283"/>
              <w:rPr/>
            </w:pPr>
            <w:r>
              <w:rPr/>
              <w:t>  </w:t>
            </w:r>
          </w:p>
        </w:tc>
      </w:tr>
      <w:tr>
        <w:trPr/>
        <w:tc>
          <w:tcPr>
            <w:tcW w:w="4508"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foreign currency translation changes</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3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32" w:type="dxa"/>
            <w:tcBorders/>
            <w:shd w:fill="CCEEFF" w:val="clear"/>
            <w:vAlign w:val="bottom"/>
          </w:tcPr>
          <w:p>
            <w:pPr>
              <w:pStyle w:val="TableContents"/>
              <w:spacing w:before="0" w:after="283"/>
              <w:rPr/>
            </w:pPr>
            <w:r>
              <w:rPr/>
              <w:t>  </w:t>
            </w:r>
          </w:p>
        </w:tc>
      </w:tr>
      <w:tr>
        <w:trPr/>
        <w:tc>
          <w:tcPr>
            <w:tcW w:w="450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8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single" w:sz="2" w:space="1" w:color="000000"/>
              </w:pBdr>
              <w:spacing w:before="0" w:after="283"/>
              <w:rPr/>
            </w:pPr>
            <w:r>
              <w:rPr/>
              <w:t> </w:t>
            </w:r>
          </w:p>
        </w:tc>
        <w:tc>
          <w:tcPr>
            <w:tcW w:w="45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05"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508"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December 31, 2010</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121,048</w:t>
            </w:r>
          </w:p>
        </w:tc>
        <w:tc>
          <w:tcPr>
            <w:tcW w:w="120"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7,133</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128,181</w:t>
            </w:r>
          </w:p>
        </w:tc>
        <w:tc>
          <w:tcPr>
            <w:tcW w:w="132" w:type="dxa"/>
            <w:tcBorders/>
            <w:shd w:fill="auto" w:val="clear"/>
            <w:vAlign w:val="bottom"/>
          </w:tcPr>
          <w:p>
            <w:pPr>
              <w:pStyle w:val="TableContents"/>
              <w:spacing w:before="0" w:after="283"/>
              <w:rPr/>
            </w:pPr>
            <w:r>
              <w:rPr/>
              <w:t>  </w:t>
            </w:r>
          </w:p>
        </w:tc>
      </w:tr>
      <w:tr>
        <w:trPr/>
        <w:tc>
          <w:tcPr>
            <w:tcW w:w="4508"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8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double" w:sz="6" w:space="1" w:color="000000"/>
              </w:pBdr>
              <w:spacing w:before="0" w:after="283"/>
              <w:rPr/>
            </w:pPr>
            <w:r>
              <w:rPr/>
              <w:t> </w:t>
            </w:r>
          </w:p>
        </w:tc>
        <w:tc>
          <w:tcPr>
            <w:tcW w:w="45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05"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following table presents the gross carrying amount and accumulated amortization for each major class of definite-lived intangible asset at the specified dates: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15"/>
        <w:gridCol w:w="147"/>
        <w:gridCol w:w="125"/>
        <w:gridCol w:w="591"/>
        <w:gridCol w:w="120"/>
        <w:gridCol w:w="147"/>
        <w:gridCol w:w="146"/>
        <w:gridCol w:w="655"/>
        <w:gridCol w:w="125"/>
        <w:gridCol w:w="93"/>
        <w:gridCol w:w="125"/>
        <w:gridCol w:w="496"/>
        <w:gridCol w:w="120"/>
        <w:gridCol w:w="147"/>
        <w:gridCol w:w="124"/>
        <w:gridCol w:w="496"/>
        <w:gridCol w:w="120"/>
        <w:gridCol w:w="147"/>
        <w:gridCol w:w="146"/>
        <w:gridCol w:w="655"/>
        <w:gridCol w:w="125"/>
        <w:gridCol w:w="93"/>
        <w:gridCol w:w="125"/>
        <w:gridCol w:w="496"/>
        <w:gridCol w:w="120"/>
        <w:gridCol w:w="147"/>
        <w:gridCol w:w="125"/>
        <w:gridCol w:w="496"/>
        <w:gridCol w:w="120"/>
        <w:gridCol w:w="147"/>
        <w:gridCol w:w="145"/>
        <w:gridCol w:w="655"/>
        <w:gridCol w:w="125"/>
        <w:gridCol w:w="93"/>
        <w:gridCol w:w="125"/>
        <w:gridCol w:w="496"/>
        <w:gridCol w:w="132"/>
      </w:tblGrid>
      <w:tr>
        <w:trPr/>
        <w:tc>
          <w:tcPr>
            <w:tcW w:w="171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17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5417"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52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2" w:type="dxa"/>
            <w:tcBorders/>
            <w:shd w:fill="auto" w:val="clear"/>
            <w:vAlign w:val="bottom"/>
          </w:tcPr>
          <w:p>
            <w:pPr>
              <w:pStyle w:val="TableContents"/>
              <w:spacing w:before="0" w:after="283"/>
              <w:rPr/>
            </w:pPr>
            <w:r>
              <w:rPr/>
              <w:t> </w:t>
            </w:r>
          </w:p>
        </w:tc>
      </w:tr>
      <w:tr>
        <w:trPr/>
        <w:tc>
          <w:tcPr>
            <w:tcW w:w="17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623"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52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252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2" w:type="dxa"/>
            <w:tcBorders/>
            <w:shd w:fill="auto" w:val="clear"/>
            <w:vAlign w:val="bottom"/>
          </w:tcPr>
          <w:p>
            <w:pPr>
              <w:pStyle w:val="TableContents"/>
              <w:spacing w:before="0" w:after="283"/>
              <w:rPr/>
            </w:pPr>
            <w:r>
              <w:rPr/>
              <w:t> </w:t>
            </w:r>
          </w:p>
        </w:tc>
      </w:tr>
      <w:tr>
        <w:trPr/>
        <w:tc>
          <w:tcPr>
            <w:tcW w:w="17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1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w:t>
              <w:br/>
              <w:t>Book</w:t>
              <w:br/>
              <w:t>Value</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w:t>
              <w:br/>
              <w:t>Book</w:t>
              <w:br/>
              <w:t>Value</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Carrying</w:t>
              <w:br/>
              <w:t>Amount</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Accumulated</w:t>
              <w:br/>
              <w:t>Amortization</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6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Net</w:t>
              <w:br/>
              <w:t>Book</w:t>
              <w:br/>
              <w:t>Value</w:t>
            </w:r>
          </w:p>
        </w:tc>
        <w:tc>
          <w:tcPr>
            <w:tcW w:w="132" w:type="dxa"/>
            <w:tcBorders/>
            <w:shd w:fill="auto" w:val="clear"/>
            <w:vAlign w:val="bottom"/>
          </w:tcPr>
          <w:p>
            <w:pPr>
              <w:pStyle w:val="TableContents"/>
              <w:spacing w:before="0" w:after="283"/>
              <w:rPr/>
            </w:pPr>
            <w:r>
              <w:rPr/>
              <w:t> </w:t>
            </w:r>
          </w:p>
        </w:tc>
      </w:tr>
      <w:tr>
        <w:trPr/>
        <w:tc>
          <w:tcPr>
            <w:tcW w:w="171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211" w:type="dxa"/>
            <w:gridSpan w:val="34"/>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1715" w:type="dxa"/>
            <w:tcBorders/>
            <w:shd w:fill="CCEEFF" w:val="clear"/>
          </w:tcPr>
          <w:p>
            <w:pPr>
              <w:pStyle w:val="TableContents"/>
              <w:spacing w:before="0" w:after="283"/>
              <w:rPr>
                <w:rFonts w:ascii="Times New Roman" w:hAnsi="Times New Roman"/>
                <w:sz w:val="20"/>
              </w:rPr>
            </w:pPr>
            <w:r>
              <w:rPr>
                <w:rFonts w:ascii="Times New Roman" w:hAnsi="Times New Roman"/>
                <w:sz w:val="20"/>
              </w:rPr>
              <w:t>Real estate finders fees</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721</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1,029</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32" w:type="dxa"/>
            <w:tcBorders/>
            <w:shd w:fill="CCEEFF" w:val="clear"/>
            <w:vAlign w:val="bottom"/>
          </w:tcPr>
          <w:p>
            <w:pPr>
              <w:pStyle w:val="TableContents"/>
              <w:spacing w:before="0" w:after="283"/>
              <w:rPr/>
            </w:pPr>
            <w:r>
              <w:rPr/>
              <w:t>  </w:t>
            </w:r>
          </w:p>
        </w:tc>
      </w:tr>
      <w:tr>
        <w:trPr/>
        <w:tc>
          <w:tcPr>
            <w:tcW w:w="1715" w:type="dxa"/>
            <w:tcBorders/>
            <w:shd w:fill="auto" w:val="clear"/>
          </w:tcPr>
          <w:p>
            <w:pPr>
              <w:pStyle w:val="TableContents"/>
              <w:spacing w:before="0" w:after="283"/>
              <w:rPr>
                <w:rFonts w:ascii="Times New Roman" w:hAnsi="Times New Roman"/>
                <w:sz w:val="20"/>
              </w:rPr>
            </w:pPr>
            <w:r>
              <w:rPr>
                <w:rFonts w:ascii="Times New Roman" w:hAnsi="Times New Roman"/>
                <w:sz w:val="20"/>
              </w:rPr>
              <w:t>Non-compete agreements</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3,836</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1,262</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3,216</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3,722</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1,263</w:t>
            </w:r>
          </w:p>
        </w:tc>
        <w:tc>
          <w:tcPr>
            <w:tcW w:w="132" w:type="dxa"/>
            <w:tcBorders/>
            <w:shd w:fill="auto" w:val="clear"/>
            <w:vAlign w:val="bottom"/>
          </w:tcPr>
          <w:p>
            <w:pPr>
              <w:pStyle w:val="TableContents"/>
              <w:spacing w:before="0" w:after="283"/>
              <w:rPr/>
            </w:pPr>
            <w:r>
              <w:rPr/>
              <w:t>  </w:t>
            </w:r>
          </w:p>
        </w:tc>
      </w:tr>
      <w:tr>
        <w:trPr/>
        <w:tc>
          <w:tcPr>
            <w:tcW w:w="1715" w:type="dxa"/>
            <w:tcBorders/>
            <w:shd w:fill="CCEEFF" w:val="clear"/>
          </w:tcPr>
          <w:p>
            <w:pPr>
              <w:pStyle w:val="TableContents"/>
              <w:spacing w:before="0" w:after="283"/>
              <w:rPr>
                <w:rFonts w:ascii="Times New Roman" w:hAnsi="Times New Roman"/>
                <w:sz w:val="20"/>
              </w:rPr>
            </w:pPr>
            <w:r>
              <w:rPr>
                <w:rFonts w:ascii="Times New Roman" w:hAnsi="Times New Roman"/>
                <w:sz w:val="20"/>
              </w:rPr>
              <w:t>Favorable lease</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632</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132" w:type="dxa"/>
            <w:tcBorders/>
            <w:shd w:fill="CCEEFF" w:val="clear"/>
            <w:vAlign w:val="bottom"/>
          </w:tcPr>
          <w:p>
            <w:pPr>
              <w:pStyle w:val="TableContents"/>
              <w:spacing w:before="0" w:after="283"/>
              <w:rPr/>
            </w:pPr>
            <w:r>
              <w:rPr/>
              <w:t>  </w:t>
            </w:r>
          </w:p>
        </w:tc>
      </w:tr>
      <w:tr>
        <w:trPr/>
        <w:tc>
          <w:tcPr>
            <w:tcW w:w="1715" w:type="dxa"/>
            <w:tcBorders/>
            <w:shd w:fill="auto" w:val="clear"/>
          </w:tcPr>
          <w:p>
            <w:pPr>
              <w:pStyle w:val="TableContents"/>
              <w:spacing w:before="0" w:after="283"/>
              <w:rPr>
                <w:rFonts w:ascii="Times New Roman" w:hAnsi="Times New Roman"/>
                <w:sz w:val="20"/>
              </w:rPr>
            </w:pPr>
            <w:r>
              <w:rPr>
                <w:rFonts w:ascii="Times New Roman" w:hAnsi="Times New Roman"/>
                <w:sz w:val="20"/>
              </w:rPr>
              <w:t>Franchise rights</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1,567</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1,518</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132" w:type="dxa"/>
            <w:tcBorders/>
            <w:shd w:fill="auto" w:val="clear"/>
            <w:vAlign w:val="bottom"/>
          </w:tcPr>
          <w:p>
            <w:pPr>
              <w:pStyle w:val="TableContents"/>
              <w:spacing w:before="0" w:after="283"/>
              <w:rPr/>
            </w:pPr>
            <w:r>
              <w:rPr/>
              <w:t>  </w:t>
            </w:r>
          </w:p>
        </w:tc>
      </w:tr>
      <w:tr>
        <w:trPr/>
        <w:tc>
          <w:tcPr>
            <w:tcW w:w="171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financing costs</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1,998</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1,470</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2,149</w:t>
            </w:r>
          </w:p>
        </w:tc>
        <w:tc>
          <w:tcPr>
            <w:tcW w:w="132" w:type="dxa"/>
            <w:tcBorders/>
            <w:shd w:fill="CCEEFF" w:val="clear"/>
            <w:vAlign w:val="bottom"/>
          </w:tcPr>
          <w:p>
            <w:pPr>
              <w:pStyle w:val="TableContents"/>
              <w:spacing w:before="0" w:after="283"/>
              <w:rPr/>
            </w:pPr>
            <w:r>
              <w:rPr/>
              <w:t>  </w:t>
            </w:r>
          </w:p>
        </w:tc>
      </w:tr>
      <w:tr>
        <w:trPr/>
        <w:tc>
          <w:tcPr>
            <w:tcW w:w="1715" w:type="dxa"/>
            <w:tcBorders/>
            <w:shd w:fill="auto" w:val="clear"/>
          </w:tcPr>
          <w:p>
            <w:pPr>
              <w:pStyle w:val="TableContents"/>
              <w:spacing w:before="0" w:after="283"/>
              <w:rPr>
                <w:rFonts w:ascii="Times New Roman" w:hAnsi="Times New Roman"/>
                <w:sz w:val="20"/>
              </w:rPr>
            </w:pPr>
            <w:r>
              <w:rPr>
                <w:rFonts w:ascii="Times New Roman" w:hAnsi="Times New Roman"/>
                <w:sz w:val="20"/>
              </w:rPr>
              <w:t>Contractual relationship</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1715"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32" w:type="dxa"/>
            <w:tcBorders/>
            <w:shd w:fill="CCEEFF" w:val="clear"/>
            <w:vAlign w:val="bottom"/>
          </w:tcPr>
          <w:p>
            <w:pPr>
              <w:pStyle w:val="TableContents"/>
              <w:spacing w:before="0" w:after="283"/>
              <w:rPr/>
            </w:pPr>
            <w:r>
              <w:rPr/>
              <w:t>  </w:t>
            </w:r>
          </w:p>
        </w:tc>
      </w:tr>
      <w:tr>
        <w:trPr/>
        <w:tc>
          <w:tcPr>
            <w:tcW w:w="171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4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283"/>
              <w:rPr/>
            </w:pPr>
            <w:r>
              <w:rPr/>
              <w:t> </w:t>
            </w:r>
          </w:p>
        </w:tc>
        <w:tc>
          <w:tcPr>
            <w:tcW w:w="6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6"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1715"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10,746</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6,821</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6,405</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2,614</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9,650</w:t>
            </w:r>
          </w:p>
        </w:tc>
        <w:tc>
          <w:tcPr>
            <w:tcW w:w="12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6,084</w:t>
            </w:r>
          </w:p>
        </w:tc>
        <w:tc>
          <w:tcPr>
            <w:tcW w:w="132" w:type="dxa"/>
            <w:tcBorders/>
            <w:shd w:fill="auto" w:val="clear"/>
            <w:vAlign w:val="bottom"/>
          </w:tcPr>
          <w:p>
            <w:pPr>
              <w:pStyle w:val="TableContents"/>
              <w:spacing w:before="0" w:after="283"/>
              <w:rPr/>
            </w:pPr>
            <w:r>
              <w:rPr/>
              <w:t>  </w:t>
            </w:r>
          </w:p>
        </w:tc>
      </w:tr>
      <w:tr>
        <w:trPr/>
        <w:tc>
          <w:tcPr>
            <w:tcW w:w="171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49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double" w:sz="6" w:space="1" w:color="000000"/>
              </w:pBdr>
              <w:spacing w:before="0" w:after="283"/>
              <w:rPr/>
            </w:pPr>
            <w:r>
              <w:rPr/>
              <w:t> </w:t>
            </w:r>
          </w:p>
        </w:tc>
        <w:tc>
          <w:tcPr>
            <w:tcW w:w="6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6"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amortization of most definite lived intangible assets is recorded as amortization expense. The favorable lease asset and other intangibles are amortized to operations expense (rent expense) over the related lease terms. The deferred financing costs are amortized to interest expense over the life of our credit agreement.The following table presents the amount and classification of amortization recognized as expense in each of the periods presented: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367"/>
        <w:gridCol w:w="496"/>
        <w:gridCol w:w="129"/>
        <w:gridCol w:w="350"/>
        <w:gridCol w:w="124"/>
        <w:gridCol w:w="499"/>
        <w:gridCol w:w="129"/>
        <w:gridCol w:w="354"/>
        <w:gridCol w:w="124"/>
      </w:tblGrid>
      <w:tr>
        <w:trPr/>
        <w:tc>
          <w:tcPr>
            <w:tcW w:w="636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6367"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585"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4" w:type="dxa"/>
            <w:tcBorders/>
            <w:shd w:fill="auto" w:val="clear"/>
            <w:vAlign w:val="bottom"/>
          </w:tcPr>
          <w:p>
            <w:pPr>
              <w:pStyle w:val="TableContents"/>
              <w:spacing w:before="0" w:after="283"/>
              <w:rPr/>
            </w:pPr>
            <w:r>
              <w:rPr/>
              <w:t> </w:t>
            </w:r>
          </w:p>
        </w:tc>
      </w:tr>
      <w:tr>
        <w:trPr/>
        <w:tc>
          <w:tcPr>
            <w:tcW w:w="6367"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58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4" w:type="dxa"/>
            <w:tcBorders/>
            <w:shd w:fill="auto" w:val="clear"/>
            <w:vAlign w:val="bottom"/>
          </w:tcPr>
          <w:p>
            <w:pPr>
              <w:pStyle w:val="TableContents"/>
              <w:spacing w:before="0" w:after="283"/>
              <w:rPr/>
            </w:pPr>
            <w:r>
              <w:rPr/>
              <w:t> </w:t>
            </w:r>
          </w:p>
        </w:tc>
      </w:tr>
      <w:tr>
        <w:trPr/>
        <w:tc>
          <w:tcPr>
            <w:tcW w:w="6367"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4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4"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4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4" w:type="dxa"/>
            <w:tcBorders/>
            <w:shd w:fill="auto" w:val="clear"/>
            <w:vAlign w:val="bottom"/>
          </w:tcPr>
          <w:p>
            <w:pPr>
              <w:pStyle w:val="TableContents"/>
              <w:spacing w:before="0" w:after="283"/>
              <w:rPr/>
            </w:pPr>
            <w:r>
              <w:rPr/>
              <w:t> </w:t>
            </w:r>
          </w:p>
        </w:tc>
      </w:tr>
      <w:tr>
        <w:trPr/>
        <w:tc>
          <w:tcPr>
            <w:tcW w:w="6367"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585"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4" w:type="dxa"/>
            <w:tcBorders/>
            <w:shd w:fill="auto" w:val="clear"/>
            <w:vAlign w:val="bottom"/>
          </w:tcPr>
          <w:p>
            <w:pPr>
              <w:pStyle w:val="TableContents"/>
              <w:spacing w:before="0" w:after="283"/>
              <w:rPr/>
            </w:pPr>
            <w:r>
              <w:rPr/>
              <w:t> </w:t>
            </w:r>
          </w:p>
        </w:tc>
      </w:tr>
      <w:tr>
        <w:trPr/>
        <w:tc>
          <w:tcPr>
            <w:tcW w:w="6367"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Expense</w:t>
            </w:r>
          </w:p>
        </w:tc>
        <w:tc>
          <w:tcPr>
            <w:tcW w:w="4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24"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w:t>
            </w:r>
          </w:p>
        </w:tc>
        <w:tc>
          <w:tcPr>
            <w:tcW w:w="124" w:type="dxa"/>
            <w:tcBorders/>
            <w:shd w:fill="CCEEFF" w:val="clear"/>
            <w:vAlign w:val="bottom"/>
          </w:tcPr>
          <w:p>
            <w:pPr>
              <w:pStyle w:val="TableContents"/>
              <w:spacing w:before="0" w:after="283"/>
              <w:rPr/>
            </w:pPr>
            <w:r>
              <w:rPr/>
              <w:t>  </w:t>
            </w:r>
          </w:p>
        </w:tc>
      </w:tr>
      <w:tr>
        <w:trPr/>
        <w:tc>
          <w:tcPr>
            <w:tcW w:w="6367"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4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4"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4" w:type="dxa"/>
            <w:tcBorders/>
            <w:shd w:fill="auto" w:val="clear"/>
            <w:vAlign w:val="bottom"/>
          </w:tcPr>
          <w:p>
            <w:pPr>
              <w:pStyle w:val="TableContents"/>
              <w:spacing w:before="0" w:after="283"/>
              <w:rPr/>
            </w:pPr>
            <w:r>
              <w:rPr/>
              <w:t>  </w:t>
            </w:r>
          </w:p>
        </w:tc>
      </w:tr>
      <w:tr>
        <w:trPr/>
        <w:tc>
          <w:tcPr>
            <w:tcW w:w="636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49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4" w:type="dxa"/>
            <w:tcBorders/>
            <w:shd w:fill="CCEEFF" w:val="clear"/>
            <w:vAlign w:val="bottom"/>
          </w:tcPr>
          <w:p>
            <w:pPr>
              <w:pStyle w:val="TableContents"/>
              <w:spacing w:before="0" w:after="283"/>
              <w:rPr/>
            </w:pPr>
            <w:r>
              <w:rPr/>
              <w:t>  </w:t>
            </w:r>
          </w:p>
        </w:tc>
        <w:tc>
          <w:tcPr>
            <w:tcW w:w="49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4" w:type="dxa"/>
            <w:tcBorders/>
            <w:shd w:fill="CCEEFF" w:val="clear"/>
            <w:vAlign w:val="bottom"/>
          </w:tcPr>
          <w:p>
            <w:pPr>
              <w:pStyle w:val="TableContents"/>
              <w:spacing w:before="0" w:after="283"/>
              <w:rPr/>
            </w:pPr>
            <w:r>
              <w:rPr/>
              <w:t>  </w:t>
            </w:r>
          </w:p>
        </w:tc>
      </w:tr>
      <w:tr>
        <w:trPr/>
        <w:tc>
          <w:tcPr>
            <w:tcW w:w="6367"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35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r>
        <w:trPr/>
        <w:tc>
          <w:tcPr>
            <w:tcW w:w="6367" w:type="dxa"/>
            <w:tcBorders/>
            <w:shd w:fill="auto" w:val="clear"/>
          </w:tcPr>
          <w:p>
            <w:pPr>
              <w:pStyle w:val="TableContents"/>
              <w:spacing w:before="0" w:after="283"/>
              <w:rPr>
                <w:rFonts w:ascii="Times New Roman" w:hAnsi="Times New Roman"/>
                <w:sz w:val="20"/>
              </w:rPr>
            </w:pPr>
            <w:r>
              <w:rPr>
                <w:rFonts w:ascii="Times New Roman" w:hAnsi="Times New Roman"/>
                <w:sz w:val="20"/>
              </w:rPr>
              <w:t>Total expense from the amortization of definite-lived intangible assets</w:t>
            </w:r>
          </w:p>
        </w:tc>
        <w:tc>
          <w:tcPr>
            <w:tcW w:w="4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124"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4" w:type="dxa"/>
            <w:tcBorders/>
            <w:shd w:fill="auto" w:val="clear"/>
            <w:vAlign w:val="bottom"/>
          </w:tcPr>
          <w:p>
            <w:pPr>
              <w:pStyle w:val="TableContents"/>
              <w:spacing w:before="0" w:after="283"/>
              <w:rPr/>
            </w:pPr>
            <w:r>
              <w:rPr/>
              <w:t>  </w:t>
            </w:r>
          </w:p>
        </w:tc>
      </w:tr>
      <w:tr>
        <w:trPr/>
        <w:tc>
          <w:tcPr>
            <w:tcW w:w="6367"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350"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354"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following table presents our estimate of amortization expense for definite-lived intangible assets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3983"/>
        <w:gridCol w:w="519"/>
        <w:gridCol w:w="351"/>
        <w:gridCol w:w="971"/>
        <w:gridCol w:w="120"/>
        <w:gridCol w:w="519"/>
        <w:gridCol w:w="315"/>
        <w:gridCol w:w="877"/>
        <w:gridCol w:w="120"/>
        <w:gridCol w:w="518"/>
        <w:gridCol w:w="262"/>
        <w:gridCol w:w="705"/>
        <w:gridCol w:w="128"/>
      </w:tblGrid>
      <w:tr>
        <w:trPr/>
        <w:tc>
          <w:tcPr>
            <w:tcW w:w="398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398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Fiscal Years Ended September 30,</w:t>
            </w:r>
          </w:p>
        </w:tc>
        <w:tc>
          <w:tcPr>
            <w:tcW w:w="519"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Amortization Expense</w:t>
            </w:r>
          </w:p>
        </w:tc>
        <w:tc>
          <w:tcPr>
            <w:tcW w:w="12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1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Operations Expense</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9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Interest Expense</w:t>
            </w:r>
          </w:p>
        </w:tc>
        <w:tc>
          <w:tcPr>
            <w:tcW w:w="128" w:type="dxa"/>
            <w:tcBorders/>
            <w:shd w:fill="auto" w:val="clear"/>
            <w:vAlign w:val="bottom"/>
          </w:tcPr>
          <w:p>
            <w:pPr>
              <w:pStyle w:val="TableContents"/>
              <w:spacing w:before="0" w:after="283"/>
              <w:rPr/>
            </w:pPr>
            <w:r>
              <w:rPr/>
              <w:t> </w:t>
            </w:r>
          </w:p>
        </w:tc>
      </w:tr>
      <w:tr>
        <w:trPr/>
        <w:tc>
          <w:tcPr>
            <w:tcW w:w="3983" w:type="dxa"/>
            <w:tcBorders/>
            <w:shd w:fill="CCEEFF" w:val="clear"/>
          </w:tcPr>
          <w:p>
            <w:pPr>
              <w:pStyle w:val="TableContents"/>
              <w:spacing w:before="0" w:after="283"/>
              <w:rPr>
                <w:rFonts w:ascii="Times New Roman" w:hAnsi="Times New Roman"/>
                <w:sz w:val="20"/>
              </w:rPr>
            </w:pPr>
            <w:r>
              <w:rPr>
                <w:rFonts w:ascii="Times New Roman" w:hAnsi="Times New Roman"/>
                <w:sz w:val="20"/>
              </w:rPr>
              <w:t>2012</w:t>
            </w:r>
          </w:p>
        </w:tc>
        <w:tc>
          <w:tcPr>
            <w:tcW w:w="519"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w:t>
            </w:r>
          </w:p>
        </w:tc>
        <w:tc>
          <w:tcPr>
            <w:tcW w:w="120"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128" w:type="dxa"/>
            <w:tcBorders/>
            <w:shd w:fill="CCEEFF" w:val="clear"/>
            <w:vAlign w:val="bottom"/>
          </w:tcPr>
          <w:p>
            <w:pPr>
              <w:pStyle w:val="TableContents"/>
              <w:spacing w:before="0" w:after="283"/>
              <w:rPr/>
            </w:pPr>
            <w:r>
              <w:rPr/>
              <w:t>  </w:t>
            </w:r>
          </w:p>
        </w:tc>
      </w:tr>
      <w:tr>
        <w:trPr/>
        <w:tc>
          <w:tcPr>
            <w:tcW w:w="3983" w:type="dxa"/>
            <w:tcBorders/>
            <w:shd w:fill="auto" w:val="clear"/>
          </w:tcPr>
          <w:p>
            <w:pPr>
              <w:pStyle w:val="TableContents"/>
              <w:spacing w:before="0" w:after="283"/>
              <w:rPr>
                <w:rFonts w:ascii="Times New Roman" w:hAnsi="Times New Roman"/>
                <w:sz w:val="20"/>
              </w:rPr>
            </w:pPr>
            <w:r>
              <w:rPr>
                <w:rFonts w:ascii="Times New Roman" w:hAnsi="Times New Roman"/>
                <w:sz w:val="20"/>
              </w:rPr>
              <w:t>2013</w:t>
            </w:r>
          </w:p>
        </w:tc>
        <w:tc>
          <w:tcPr>
            <w:tcW w:w="51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w:t>
            </w:r>
          </w:p>
        </w:tc>
        <w:tc>
          <w:tcPr>
            <w:tcW w:w="12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128" w:type="dxa"/>
            <w:tcBorders/>
            <w:shd w:fill="auto" w:val="clear"/>
            <w:vAlign w:val="bottom"/>
          </w:tcPr>
          <w:p>
            <w:pPr>
              <w:pStyle w:val="TableContents"/>
              <w:spacing w:before="0" w:after="283"/>
              <w:rPr/>
            </w:pPr>
            <w:r>
              <w:rPr/>
              <w:t>  </w:t>
            </w:r>
          </w:p>
        </w:tc>
      </w:tr>
      <w:tr>
        <w:trPr/>
        <w:tc>
          <w:tcPr>
            <w:tcW w:w="3983" w:type="dxa"/>
            <w:tcBorders/>
            <w:shd w:fill="CCEEFF" w:val="clear"/>
          </w:tcPr>
          <w:p>
            <w:pPr>
              <w:pStyle w:val="TableContents"/>
              <w:spacing w:before="0" w:after="283"/>
              <w:rPr>
                <w:rFonts w:ascii="Times New Roman" w:hAnsi="Times New Roman"/>
                <w:sz w:val="20"/>
              </w:rPr>
            </w:pPr>
            <w:r>
              <w:rPr>
                <w:rFonts w:ascii="Times New Roman" w:hAnsi="Times New Roman"/>
                <w:sz w:val="20"/>
              </w:rPr>
              <w:t>2014</w:t>
            </w:r>
          </w:p>
        </w:tc>
        <w:tc>
          <w:tcPr>
            <w:tcW w:w="519"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120"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128" w:type="dxa"/>
            <w:tcBorders/>
            <w:shd w:fill="CCEEFF" w:val="clear"/>
            <w:vAlign w:val="bottom"/>
          </w:tcPr>
          <w:p>
            <w:pPr>
              <w:pStyle w:val="TableContents"/>
              <w:spacing w:before="0" w:after="283"/>
              <w:rPr/>
            </w:pPr>
            <w:r>
              <w:rPr/>
              <w:t>  </w:t>
            </w:r>
          </w:p>
        </w:tc>
      </w:tr>
      <w:tr>
        <w:trPr/>
        <w:tc>
          <w:tcPr>
            <w:tcW w:w="3983" w:type="dxa"/>
            <w:tcBorders/>
            <w:shd w:fill="auto" w:val="clear"/>
          </w:tcPr>
          <w:p>
            <w:pPr>
              <w:pStyle w:val="TableContents"/>
              <w:spacing w:before="0" w:after="283"/>
              <w:rPr>
                <w:rFonts w:ascii="Times New Roman" w:hAnsi="Times New Roman"/>
                <w:sz w:val="20"/>
              </w:rPr>
            </w:pPr>
            <w:r>
              <w:rPr>
                <w:rFonts w:ascii="Times New Roman" w:hAnsi="Times New Roman"/>
                <w:sz w:val="20"/>
              </w:rPr>
              <w:t>2015</w:t>
            </w:r>
          </w:p>
        </w:tc>
        <w:tc>
          <w:tcPr>
            <w:tcW w:w="519"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97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2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8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20"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8" w:type="dxa"/>
            <w:tcBorders/>
            <w:shd w:fill="auto" w:val="clear"/>
            <w:vAlign w:val="bottom"/>
          </w:tcPr>
          <w:p>
            <w:pPr>
              <w:pStyle w:val="TableContents"/>
              <w:spacing w:before="0" w:after="283"/>
              <w:rPr/>
            </w:pPr>
            <w:r>
              <w:rPr/>
              <w:t>  </w:t>
            </w:r>
          </w:p>
        </w:tc>
      </w:tr>
      <w:tr>
        <w:trPr/>
        <w:tc>
          <w:tcPr>
            <w:tcW w:w="3983" w:type="dxa"/>
            <w:tcBorders/>
            <w:shd w:fill="CCEEFF" w:val="clear"/>
          </w:tcPr>
          <w:p>
            <w:pPr>
              <w:pStyle w:val="TableContents"/>
              <w:spacing w:before="0" w:after="283"/>
              <w:rPr>
                <w:rFonts w:ascii="Times New Roman" w:hAnsi="Times New Roman"/>
                <w:sz w:val="20"/>
              </w:rPr>
            </w:pPr>
            <w:r>
              <w:rPr>
                <w:rFonts w:ascii="Times New Roman" w:hAnsi="Times New Roman"/>
                <w:sz w:val="20"/>
              </w:rPr>
              <w:t>2016</w:t>
            </w:r>
          </w:p>
        </w:tc>
        <w:tc>
          <w:tcPr>
            <w:tcW w:w="519"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97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20"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 </w:t>
            </w:r>
          </w:p>
        </w:tc>
        <w:tc>
          <w:tcPr>
            <w:tcW w:w="8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20" w:type="dxa"/>
            <w:tcBorders/>
            <w:shd w:fill="CCEEFF" w:val="clear"/>
            <w:vAlign w:val="bottom"/>
          </w:tcPr>
          <w:p>
            <w:pPr>
              <w:pStyle w:val="TableContents"/>
              <w:spacing w:before="0" w:after="283"/>
              <w:rPr/>
            </w:pPr>
            <w:r>
              <w:rPr/>
              <w:t>  </w:t>
            </w:r>
          </w:p>
        </w:tc>
        <w:tc>
          <w:tcPr>
            <w:tcW w:w="518"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sz w:val="20"/>
        </w:rPr>
      </w:pPr>
      <w:r>
        <w:rPr>
          <w:rFonts w:ascii="Times New Roman" w:hAnsi="Times New Roman"/>
          <w:sz w:val="20"/>
        </w:rPr>
        <w:t xml:space="preserve">As acquisitions and dispositions occur in the future, amortization expense may vary from these estimates. </w:t>
      </w:r>
    </w:p>
    <w:p>
      <w:pPr>
        <w:pStyle w:val="TextBody"/>
        <w:spacing w:before="90" w:after="0"/>
        <w:rPr>
          <w:rFonts w:ascii="Times New Roman" w:hAnsi="Times New Roman"/>
          <w:b/>
          <w:sz w:val="20"/>
        </w:rPr>
      </w:pPr>
      <w:r>
        <w:rPr>
          <w:rFonts w:ascii="Times New Roman" w:hAnsi="Times New Roman"/>
          <w:b/>
          <w:sz w:val="20"/>
        </w:rPr>
        <w:t xml:space="preserve">Note F: Long-term Debt </w:t>
      </w:r>
    </w:p>
    <w:p>
      <w:pPr>
        <w:pStyle w:val="TextBody"/>
        <w:spacing w:before="90" w:after="0"/>
        <w:rPr>
          <w:rFonts w:ascii="Times New Roman" w:hAnsi="Times New Roman"/>
          <w:sz w:val="20"/>
        </w:rPr>
      </w:pPr>
      <w:r>
        <w:rPr>
          <w:rFonts w:ascii="Times New Roman" w:hAnsi="Times New Roman"/>
          <w:sz w:val="20"/>
        </w:rPr>
        <w:t xml:space="preserve">On May 10, 2011, we entered into a new senior secured credit agreement with a syndicate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our $17.5 million outstanding debt. The new credit facility increases our available credit and provides greater flexibility to make investments and acquisitions both domestically and internationally. </w:t>
      </w:r>
    </w:p>
    <w:p>
      <w:pPr>
        <w:pStyle w:val="TextBody"/>
        <w:spacing w:before="180" w:after="0"/>
        <w:rPr>
          <w:rFonts w:ascii="Times New Roman" w:hAnsi="Times New Roman"/>
          <w:sz w:val="20"/>
        </w:rPr>
      </w:pPr>
      <w:r>
        <w:rPr>
          <w:rFonts w:ascii="Times New Roman" w:hAnsi="Times New Roman"/>
          <w:sz w:val="20"/>
        </w:rPr>
        <w:t xml:space="preserve">Pursuant to the credit agreement, we may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pay a commitment fee of 37.5 to 50 basis points depending on our leverage ratio calculated at the end of each quarter. From the closing date to approximately October 31, 2011, we paid a minimum interest rate of LIBOR plus 250 basis points or the banks base rate plus 150 basis points, at our option, and a commitment fee of 50 basis points on the unused portion of the credit line. Terms of the credit agreement require, among other things, that we meet certain financial covenants. At December 31, 2011, we were in compliance with all covenants.We expect the recorded value of our debt to approximate its fair value as it is all variable rate debt and carries no pre-payment penalty. </w:t>
      </w:r>
    </w:p>
    <w:p>
      <w:pPr>
        <w:pStyle w:val="TextBody"/>
        <w:spacing w:before="180" w:after="0"/>
        <w:rPr>
          <w:rFonts w:ascii="Times New Roman" w:hAnsi="Times New Roman"/>
          <w:sz w:val="20"/>
        </w:rPr>
      </w:pPr>
      <w:r>
        <w:rPr>
          <w:rFonts w:ascii="Times New Roman" w:hAnsi="Times New Roman"/>
          <w:sz w:val="20"/>
        </w:rPr>
        <w:t xml:space="preserve">At December 31, 2011, $40.5 million was outstanding under our revolving credit agreement. We also issued $5.0 million of bank letters of credit, leaving $129.5 million available on our revolving credit facility. The outstanding bank letters of credit secure our obligations under letters of credit we issue to unaffiliated lenders as part of our credit service operations. </w:t>
      </w:r>
    </w:p>
    <w:p>
      <w:pPr>
        <w:pStyle w:val="TextBody"/>
        <w:spacing w:before="180" w:after="0"/>
        <w:rPr>
          <w:rFonts w:ascii="Times New Roman" w:hAnsi="Times New Roman"/>
          <w:sz w:val="20"/>
        </w:rPr>
      </w:pPr>
      <w:r>
        <w:rPr>
          <w:rFonts w:ascii="Times New Roman" w:hAnsi="Times New Roman"/>
          <w:sz w:val="20"/>
        </w:rPr>
        <w:t xml:space="preserve">Deferred financing costs related to our credit agreement are included in intangible assets, net on the balance sheet and are being amortized to interest expense over their four-year estimated useful life. </w:t>
      </w:r>
    </w:p>
    <w:p>
      <w:pPr>
        <w:pStyle w:val="TextBody"/>
        <w:spacing w:before="270" w:after="0"/>
        <w:rPr>
          <w:rFonts w:ascii="Times New Roman" w:hAnsi="Times New Roman"/>
          <w:b/>
          <w:sz w:val="20"/>
        </w:rPr>
      </w:pPr>
      <w:r>
        <w:rPr>
          <w:rFonts w:ascii="Times New Roman" w:hAnsi="Times New Roman"/>
          <w:b/>
          <w:sz w:val="20"/>
        </w:rPr>
        <w:t xml:space="preserve">Note G: Stock Compensation </w:t>
      </w:r>
    </w:p>
    <w:p>
      <w:pPr>
        <w:pStyle w:val="TextBody"/>
        <w:spacing w:before="90" w:after="0"/>
        <w:rPr>
          <w:rFonts w:ascii="Times New Roman" w:hAnsi="Times New Roman"/>
          <w:sz w:val="20"/>
        </w:rPr>
      </w:pPr>
      <w:r>
        <w:rPr>
          <w:rFonts w:ascii="Times New Roman" w:hAnsi="Times New Roman"/>
          <w:sz w:val="20"/>
        </w:rPr>
        <w:t xml:space="preserve">Our net income includes the following compensation costs related to our stock compensation arrangements: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387"/>
        <w:gridCol w:w="430"/>
        <w:gridCol w:w="125"/>
        <w:gridCol w:w="502"/>
        <w:gridCol w:w="125"/>
        <w:gridCol w:w="382"/>
        <w:gridCol w:w="125"/>
        <w:gridCol w:w="550"/>
        <w:gridCol w:w="129"/>
      </w:tblGrid>
      <w:tr>
        <w:trPr/>
        <w:tc>
          <w:tcPr>
            <w:tcW w:w="5387"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387"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09" w:type="dxa"/>
            <w:gridSpan w:val="6"/>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Three Months Ended</w:t>
            </w:r>
          </w:p>
        </w:tc>
        <w:tc>
          <w:tcPr>
            <w:tcW w:w="129" w:type="dxa"/>
            <w:tcBorders/>
            <w:shd w:fill="auto" w:val="clear"/>
            <w:vAlign w:val="bottom"/>
          </w:tcPr>
          <w:p>
            <w:pPr>
              <w:pStyle w:val="TableContents"/>
              <w:spacing w:before="0" w:after="283"/>
              <w:rPr/>
            </w:pPr>
            <w:r>
              <w:rPr/>
              <w:t> </w:t>
            </w:r>
          </w:p>
        </w:tc>
      </w:tr>
      <w:tr>
        <w:trPr/>
        <w:tc>
          <w:tcPr>
            <w:tcW w:w="5387"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0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9" w:type="dxa"/>
            <w:tcBorders/>
            <w:shd w:fill="auto" w:val="clear"/>
            <w:vAlign w:val="bottom"/>
          </w:tcPr>
          <w:p>
            <w:pPr>
              <w:pStyle w:val="TableContents"/>
              <w:spacing w:before="0" w:after="283"/>
              <w:rPr/>
            </w:pPr>
            <w:r>
              <w:rPr/>
              <w:t> </w:t>
            </w:r>
          </w:p>
        </w:tc>
      </w:tr>
      <w:tr>
        <w:trPr/>
        <w:tc>
          <w:tcPr>
            <w:tcW w:w="5387"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6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6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5387" w:type="dxa"/>
            <w:tcBorders/>
            <w:shd w:fill="auto" w:val="clear"/>
            <w:vAlign w:val="bottom"/>
          </w:tcPr>
          <w:p>
            <w:pPr>
              <w:pStyle w:val="TableContents"/>
              <w:spacing w:before="0" w:after="283"/>
              <w:rPr/>
            </w:pPr>
            <w:r>
              <w:rPr/>
              <w:t> </w:t>
            </w:r>
          </w:p>
        </w:tc>
        <w:tc>
          <w:tcPr>
            <w:tcW w:w="430" w:type="dxa"/>
            <w:tcBorders/>
            <w:shd w:fill="auto" w:val="clear"/>
            <w:vAlign w:val="bottom"/>
          </w:tcPr>
          <w:p>
            <w:pPr>
              <w:pStyle w:val="TableContents"/>
              <w:spacing w:before="0" w:after="283"/>
              <w:rPr/>
            </w:pPr>
            <w:r>
              <w:rPr/>
              <w:t>  </w:t>
            </w:r>
          </w:p>
        </w:tc>
        <w:tc>
          <w:tcPr>
            <w:tcW w:w="1809"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5387" w:type="dxa"/>
            <w:tcBorders/>
            <w:shd w:fill="CCEEFF" w:val="clear"/>
          </w:tcPr>
          <w:p>
            <w:pPr>
              <w:pStyle w:val="TableContents"/>
              <w:spacing w:before="0" w:after="283"/>
              <w:rPr>
                <w:rFonts w:ascii="Times New Roman" w:hAnsi="Times New Roman"/>
                <w:sz w:val="20"/>
              </w:rPr>
            </w:pPr>
            <w:r>
              <w:rPr>
                <w:rFonts w:ascii="Times New Roman" w:hAnsi="Times New Roman"/>
                <w:sz w:val="20"/>
              </w:rPr>
              <w:t>Gross compensation costs</w:t>
            </w:r>
          </w:p>
        </w:tc>
        <w:tc>
          <w:tcPr>
            <w:tcW w:w="4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2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8,548</w:t>
            </w:r>
          </w:p>
        </w:tc>
        <w:tc>
          <w:tcPr>
            <w:tcW w:w="129" w:type="dxa"/>
            <w:tcBorders/>
            <w:shd w:fill="CCEEFF" w:val="clear"/>
            <w:vAlign w:val="bottom"/>
          </w:tcPr>
          <w:p>
            <w:pPr>
              <w:pStyle w:val="TableContents"/>
              <w:spacing w:before="0" w:after="283"/>
              <w:rPr/>
            </w:pPr>
            <w:r>
              <w:rPr/>
              <w:t>  </w:t>
            </w:r>
          </w:p>
        </w:tc>
      </w:tr>
      <w:tr>
        <w:trPr/>
        <w:tc>
          <w:tcPr>
            <w:tcW w:w="538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benefits</w:t>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87"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50"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387" w:type="dxa"/>
            <w:tcBorders/>
            <w:shd w:fill="CCEEFF" w:val="clear"/>
          </w:tcPr>
          <w:p>
            <w:pPr>
              <w:pStyle w:val="TableContents"/>
              <w:spacing w:before="0" w:after="283"/>
              <w:rPr>
                <w:rFonts w:ascii="Times New Roman" w:hAnsi="Times New Roman"/>
                <w:sz w:val="20"/>
              </w:rPr>
            </w:pPr>
            <w:r>
              <w:rPr>
                <w:rFonts w:ascii="Times New Roman" w:hAnsi="Times New Roman"/>
                <w:sz w:val="20"/>
              </w:rPr>
              <w:t>Net compensation expense</w:t>
            </w:r>
          </w:p>
        </w:tc>
        <w:tc>
          <w:tcPr>
            <w:tcW w:w="43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1,067</w:t>
            </w:r>
          </w:p>
        </w:tc>
        <w:tc>
          <w:tcPr>
            <w:tcW w:w="12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5,574</w:t>
            </w:r>
          </w:p>
        </w:tc>
        <w:tc>
          <w:tcPr>
            <w:tcW w:w="129" w:type="dxa"/>
            <w:tcBorders/>
            <w:shd w:fill="CCEEFF" w:val="clear"/>
            <w:vAlign w:val="bottom"/>
          </w:tcPr>
          <w:p>
            <w:pPr>
              <w:pStyle w:val="TableContents"/>
              <w:spacing w:before="0" w:after="283"/>
              <w:rPr/>
            </w:pPr>
            <w:r>
              <w:rPr/>
              <w:t>  </w:t>
            </w:r>
          </w:p>
        </w:tc>
      </w:tr>
      <w:tr>
        <w:trPr/>
        <w:tc>
          <w:tcPr>
            <w:tcW w:w="5387"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50"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Included in the compensation cost for the three months ended December 31, 2010 is $7.3 million for the accelerated vesting of restricted stock upon the retirement of our former Chief Executive Officer on October 31, 2010, and a related $2.5 million income tax benefit. In the three months ended December 31, 2011, no stock options were exercised.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Note H: Income Taxes </w:t>
      </w:r>
    </w:p>
    <w:p>
      <w:pPr>
        <w:pStyle w:val="TextBody"/>
        <w:spacing w:before="90" w:after="0"/>
        <w:rPr>
          <w:rFonts w:ascii="Times New Roman" w:hAnsi="Times New Roman"/>
          <w:sz w:val="20"/>
        </w:rPr>
      </w:pPr>
      <w:r>
        <w:rPr>
          <w:rFonts w:ascii="Times New Roman" w:hAnsi="Times New Roman"/>
          <w:sz w:val="20"/>
        </w:rPr>
        <w:t xml:space="preserve">The current quarters effective tax rate is 33.9% of pretax income compared to 35.5% for the prior year quarter. The decrease in effective tax rates is primarily due to the recognition of state net operating losses in the current quarter, as well as an increase in foreign tax credits on overseas earnings. </w:t>
      </w:r>
    </w:p>
    <w:p>
      <w:pPr>
        <w:pStyle w:val="TextBody"/>
        <w:spacing w:before="270" w:after="0"/>
        <w:rPr>
          <w:rFonts w:ascii="Times New Roman" w:hAnsi="Times New Roman"/>
          <w:b/>
          <w:sz w:val="20"/>
        </w:rPr>
      </w:pPr>
      <w:r>
        <w:rPr>
          <w:rFonts w:ascii="Times New Roman" w:hAnsi="Times New Roman"/>
          <w:b/>
          <w:sz w:val="20"/>
        </w:rPr>
        <w:t xml:space="preserve">Note I: Contingencies </w:t>
      </w:r>
    </w:p>
    <w:p>
      <w:pPr>
        <w:pStyle w:val="TextBody"/>
        <w:spacing w:before="90" w:after="0"/>
        <w:rPr>
          <w:rFonts w:ascii="Times New Roman" w:hAnsi="Times New Roman"/>
          <w:sz w:val="20"/>
        </w:rPr>
      </w:pPr>
      <w:r>
        <w:rPr>
          <w:rFonts w:ascii="Times New Roman" w:hAnsi="Times New Roman"/>
          <w:sz w:val="20"/>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70" w:after="0"/>
        <w:rPr>
          <w:rFonts w:ascii="Times New Roman" w:hAnsi="Times New Roman"/>
          <w:b/>
          <w:sz w:val="20"/>
        </w:rPr>
      </w:pPr>
      <w:r>
        <w:rPr>
          <w:rFonts w:ascii="Times New Roman" w:hAnsi="Times New Roman"/>
          <w:b/>
          <w:sz w:val="20"/>
        </w:rPr>
        <w:t xml:space="preserve">Note J: Operating Segment Information </w:t>
      </w:r>
    </w:p>
    <w:p>
      <w:pPr>
        <w:pStyle w:val="TextBody"/>
        <w:spacing w:before="90" w:after="0"/>
        <w:rPr>
          <w:rFonts w:ascii="Times New Roman" w:hAnsi="Times New Roman"/>
          <w:sz w:val="20"/>
        </w:rPr>
      </w:pPr>
      <w:r>
        <w:rPr>
          <w:rFonts w:ascii="Times New Roman" w:hAnsi="Times New Roman"/>
          <w:sz w:val="20"/>
        </w:rPr>
        <w:t xml:space="preserve">We manage our business and internal reporting as three reportable segments with operating results reported separately for each segment.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U.S. Pawn Operations segment offers pawn and retail activities in our 450 U.S. pawn stores and seven retail stores, offers signature loans in 43 pawn stores and six EZMONEY stores and offers auto title loans in 44 pawn stores.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Empeño Fácil segment offers pawn related activities in 192 Mexico pawn stores.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EZMONEY Operations segment offers signature loans in 422 U.S. financial services stores, 64 Canadian financial services stores and online in the U.K. The segment offers auto title loans in 396 of its U.S. stores and buys and sells second-hand goods in 24 of its Canadian stores. </w:t>
            </w:r>
          </w:p>
        </w:tc>
      </w:tr>
    </w:tbl>
    <w:p>
      <w:pPr>
        <w:pStyle w:val="TextBody"/>
        <w:spacing w:before="180" w:after="0"/>
        <w:rPr>
          <w:rFonts w:ascii="Times New Roman" w:hAnsi="Times New Roman"/>
          <w:sz w:val="20"/>
        </w:rPr>
      </w:pPr>
      <w:r>
        <w:rPr>
          <w:rFonts w:ascii="Times New Roman" w:hAnsi="Times New Roman"/>
          <w:sz w:val="20"/>
        </w:rPr>
        <w:t xml:space="preserve">There are no inter-segment revenues, and the amounts below were determined in accordance with the same accounting principles used in our consolidated financial statements. The following tables present operating segment information: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32"/>
        <w:gridCol w:w="192"/>
        <w:gridCol w:w="125"/>
        <w:gridCol w:w="696"/>
        <w:gridCol w:w="120"/>
        <w:gridCol w:w="192"/>
        <w:gridCol w:w="125"/>
        <w:gridCol w:w="696"/>
        <w:gridCol w:w="119"/>
        <w:gridCol w:w="192"/>
        <w:gridCol w:w="125"/>
        <w:gridCol w:w="613"/>
        <w:gridCol w:w="120"/>
        <w:gridCol w:w="192"/>
        <w:gridCol w:w="125"/>
        <w:gridCol w:w="613"/>
        <w:gridCol w:w="120"/>
        <w:gridCol w:w="191"/>
        <w:gridCol w:w="125"/>
        <w:gridCol w:w="613"/>
        <w:gridCol w:w="120"/>
        <w:gridCol w:w="192"/>
        <w:gridCol w:w="125"/>
        <w:gridCol w:w="613"/>
        <w:gridCol w:w="129"/>
      </w:tblGrid>
      <w:tr>
        <w:trPr/>
        <w:tc>
          <w:tcPr>
            <w:tcW w:w="373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373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152"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9" w:type="dxa"/>
            <w:tcBorders/>
            <w:shd w:fill="auto"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95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 Operations</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78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 Fácil</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78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 Operations</w:t>
            </w:r>
          </w:p>
        </w:tc>
        <w:tc>
          <w:tcPr>
            <w:tcW w:w="129" w:type="dxa"/>
            <w:tcBorders/>
            <w:shd w:fill="auto"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73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6152" w:type="dxa"/>
            <w:gridSpan w:val="22"/>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75,975</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66,305</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5,575</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52,516</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47,006</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3,462</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54,370</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46,436</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3,374</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38,701</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39,557</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5,851</w:t>
            </w:r>
          </w:p>
        </w:tc>
        <w:tc>
          <w:tcPr>
            <w:tcW w:w="129" w:type="dxa"/>
            <w:tcBorders/>
            <w:shd w:fill="auto" w:val="clear"/>
            <w:vAlign w:val="bottom"/>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184,479</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160,766</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19,421</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12,414</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44,973</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45,646</w:t>
            </w:r>
          </w:p>
        </w:tc>
        <w:tc>
          <w:tcPr>
            <w:tcW w:w="129" w:type="dxa"/>
            <w:tcBorders/>
            <w:shd w:fill="auto" w:val="clear"/>
            <w:vAlign w:val="bottom"/>
          </w:tcPr>
          <w:p>
            <w:pPr>
              <w:pStyle w:val="TableContents"/>
              <w:spacing w:before="0" w:after="283"/>
              <w:rPr/>
            </w:pPr>
            <w:r>
              <w:rPr/>
              <w:t>  </w:t>
            </w:r>
          </w:p>
        </w:tc>
      </w:tr>
      <w:tr>
        <w:trPr>
          <w:trHeight w:val="120" w:hRule="atLeast"/>
        </w:trPr>
        <w:tc>
          <w:tcPr>
            <w:tcW w:w="3732" w:type="dxa"/>
            <w:tcBorders/>
            <w:shd w:fill="auto" w:val="clear"/>
            <w:vAlign w:val="center"/>
          </w:tcPr>
          <w:p>
            <w:pPr>
              <w:pStyle w:val="TableContents"/>
              <w:spacing w:before="0" w:after="283"/>
              <w:rPr>
                <w:sz w:val="4"/>
                <w:szCs w:val="4"/>
              </w:rPr>
            </w:pPr>
            <w:r>
              <w:rPr>
                <w:sz w:val="4"/>
                <w:szCs w:val="4"/>
              </w:rPr>
            </w:r>
          </w:p>
        </w:tc>
        <w:tc>
          <w:tcPr>
            <w:tcW w:w="1133"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1059" w:type="dxa"/>
            <w:gridSpan w:val="4"/>
            <w:tcBorders/>
            <w:shd w:fill="auto" w:val="clear"/>
            <w:vAlign w:val="center"/>
          </w:tcPr>
          <w:p>
            <w:pPr>
              <w:pStyle w:val="TableContents"/>
              <w:spacing w:before="0" w:after="283"/>
              <w:rPr>
                <w:sz w:val="4"/>
                <w:szCs w:val="4"/>
              </w:rPr>
            </w:pPr>
            <w:r>
              <w:rPr>
                <w:sz w:val="4"/>
                <w:szCs w:val="4"/>
              </w:rPr>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43,116</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38,197</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4,945</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3,114</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32,973</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29,538</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2,274</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2,638</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9" w:type="dxa"/>
            <w:tcBorders/>
            <w:shd w:fill="auto" w:val="clear"/>
            <w:vAlign w:val="bottom"/>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9,749</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9,881</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29" w:type="dxa"/>
            <w:tcBorders/>
            <w:shd w:fill="auto"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107,924</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92,805</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12,202</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6,662</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33,902</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34,765</w:t>
            </w:r>
          </w:p>
        </w:tc>
        <w:tc>
          <w:tcPr>
            <w:tcW w:w="129" w:type="dxa"/>
            <w:tcBorders/>
            <w:shd w:fill="CCEEFF" w:val="clear"/>
            <w:vAlign w:val="bottom"/>
          </w:tcPr>
          <w:p>
            <w:pPr>
              <w:pStyle w:val="TableContents"/>
              <w:spacing w:before="0" w:after="283"/>
              <w:rPr/>
            </w:pPr>
            <w:r>
              <w:rPr/>
              <w:t>  </w:t>
            </w:r>
          </w:p>
        </w:tc>
      </w:tr>
      <w:tr>
        <w:trPr>
          <w:trHeight w:val="120" w:hRule="atLeast"/>
        </w:trPr>
        <w:tc>
          <w:tcPr>
            <w:tcW w:w="3732" w:type="dxa"/>
            <w:tcBorders/>
            <w:shd w:fill="auto" w:val="clear"/>
            <w:vAlign w:val="center"/>
          </w:tcPr>
          <w:p>
            <w:pPr>
              <w:pStyle w:val="TableContents"/>
              <w:spacing w:before="0" w:after="283"/>
              <w:rPr>
                <w:sz w:val="4"/>
                <w:szCs w:val="4"/>
              </w:rPr>
            </w:pPr>
            <w:r>
              <w:rPr>
                <w:sz w:val="4"/>
                <w:szCs w:val="4"/>
              </w:rPr>
            </w:r>
          </w:p>
        </w:tc>
        <w:tc>
          <w:tcPr>
            <w:tcW w:w="1133" w:type="dxa"/>
            <w:gridSpan w:val="4"/>
            <w:tcBorders/>
            <w:shd w:fill="auto" w:val="clear"/>
            <w:vAlign w:val="center"/>
          </w:tcPr>
          <w:p>
            <w:pPr>
              <w:pStyle w:val="TableContents"/>
              <w:spacing w:before="0" w:after="283"/>
              <w:rPr>
                <w:sz w:val="4"/>
                <w:szCs w:val="4"/>
              </w:rPr>
            </w:pPr>
            <w:r>
              <w:rPr>
                <w:sz w:val="4"/>
                <w:szCs w:val="4"/>
              </w:rPr>
            </w:r>
          </w:p>
        </w:tc>
        <w:tc>
          <w:tcPr>
            <w:tcW w:w="1132"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050" w:type="dxa"/>
            <w:gridSpan w:val="4"/>
            <w:tcBorders/>
            <w:shd w:fill="auto" w:val="clear"/>
            <w:vAlign w:val="center"/>
          </w:tcPr>
          <w:p>
            <w:pPr>
              <w:pStyle w:val="TableContents"/>
              <w:spacing w:before="0" w:after="283"/>
              <w:rPr>
                <w:sz w:val="4"/>
                <w:szCs w:val="4"/>
              </w:rPr>
            </w:pPr>
            <w:r>
              <w:rPr>
                <w:sz w:val="4"/>
                <w:szCs w:val="4"/>
              </w:rPr>
            </w:r>
          </w:p>
        </w:tc>
        <w:tc>
          <w:tcPr>
            <w:tcW w:w="1049" w:type="dxa"/>
            <w:gridSpan w:val="4"/>
            <w:tcBorders/>
            <w:shd w:fill="auto" w:val="clear"/>
            <w:vAlign w:val="center"/>
          </w:tcPr>
          <w:p>
            <w:pPr>
              <w:pStyle w:val="TableContents"/>
              <w:spacing w:before="0" w:after="283"/>
              <w:rPr>
                <w:sz w:val="4"/>
                <w:szCs w:val="4"/>
              </w:rPr>
            </w:pPr>
            <w:r>
              <w:rPr>
                <w:sz w:val="4"/>
                <w:szCs w:val="4"/>
              </w:rPr>
            </w:r>
          </w:p>
        </w:tc>
        <w:tc>
          <w:tcPr>
            <w:tcW w:w="1059" w:type="dxa"/>
            <w:gridSpan w:val="4"/>
            <w:tcBorders/>
            <w:shd w:fill="auto" w:val="clear"/>
            <w:vAlign w:val="center"/>
          </w:tcPr>
          <w:p>
            <w:pPr>
              <w:pStyle w:val="TableContents"/>
              <w:spacing w:before="0" w:after="283"/>
              <w:rPr>
                <w:sz w:val="4"/>
                <w:szCs w:val="4"/>
              </w:rPr>
            </w:pPr>
            <w:r>
              <w:rPr>
                <w:sz w:val="4"/>
                <w:szCs w:val="4"/>
              </w:rPr>
            </w:r>
          </w:p>
        </w:tc>
      </w:tr>
      <w:tr>
        <w:trPr/>
        <w:tc>
          <w:tcPr>
            <w:tcW w:w="3732"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50,073</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43,196</w:t>
            </w:r>
          </w:p>
        </w:tc>
        <w:tc>
          <w:tcPr>
            <w:tcW w:w="119"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5,998</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4,278</w:t>
            </w:r>
          </w:p>
        </w:tc>
        <w:tc>
          <w:tcPr>
            <w:tcW w:w="12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18,430</w:t>
            </w:r>
          </w:p>
        </w:tc>
        <w:tc>
          <w:tcPr>
            <w:tcW w:w="12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17,030</w:t>
            </w:r>
          </w:p>
        </w:tc>
        <w:tc>
          <w:tcPr>
            <w:tcW w:w="129" w:type="dxa"/>
            <w:tcBorders/>
            <w:shd w:fill="auto"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3732"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operating income</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57,851</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49,609</w:t>
            </w:r>
          </w:p>
        </w:tc>
        <w:tc>
          <w:tcPr>
            <w:tcW w:w="119"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6,204</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2,384</w:t>
            </w:r>
          </w:p>
        </w:tc>
        <w:tc>
          <w:tcPr>
            <w:tcW w:w="12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15,472</w:t>
            </w:r>
          </w:p>
        </w:tc>
        <w:tc>
          <w:tcPr>
            <w:tcW w:w="12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17,735</w:t>
            </w:r>
          </w:p>
        </w:tc>
        <w:tc>
          <w:tcPr>
            <w:tcW w:w="129" w:type="dxa"/>
            <w:tcBorders/>
            <w:shd w:fill="CCEEFF" w:val="clear"/>
            <w:vAlign w:val="bottom"/>
          </w:tcPr>
          <w:p>
            <w:pPr>
              <w:pStyle w:val="TableContents"/>
              <w:spacing w:before="0" w:after="283"/>
              <w:rPr/>
            </w:pPr>
            <w:r>
              <w:rPr/>
              <w:t>  </w:t>
            </w:r>
          </w:p>
        </w:tc>
      </w:tr>
      <w:tr>
        <w:trPr/>
        <w:tc>
          <w:tcPr>
            <w:tcW w:w="3732"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6"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following table reconciles store operating income, as shown above, to our consolidated income before income taxes: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061"/>
        <w:gridCol w:w="348"/>
        <w:gridCol w:w="152"/>
        <w:gridCol w:w="724"/>
        <w:gridCol w:w="152"/>
        <w:gridCol w:w="310"/>
        <w:gridCol w:w="152"/>
        <w:gridCol w:w="727"/>
        <w:gridCol w:w="129"/>
      </w:tblGrid>
      <w:tr>
        <w:trPr/>
        <w:tc>
          <w:tcPr>
            <w:tcW w:w="506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1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1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U.S. Pawn Operations store operating income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57,851</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49,609</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Empeño Fácil store operating income</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6,204</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2,384</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EZMONEY Operations store operating income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15,472</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17,735</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Consolidated store operating income</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79,527</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69,728</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Administrative expenses</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Consolidated income before income taxes</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724" w:type="dxa"/>
            <w:tcBorders/>
            <w:shd w:fill="auto" w:val="clear"/>
            <w:vAlign w:val="bottom"/>
          </w:tcPr>
          <w:p>
            <w:pPr>
              <w:pStyle w:val="TableContents"/>
              <w:pBdr>
                <w:top w:val="double" w:sz="6"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Note K: Allowance for Losses and Credit Quality of Financing Receivables </w:t>
      </w:r>
    </w:p>
    <w:p>
      <w:pPr>
        <w:pStyle w:val="TextBody"/>
        <w:spacing w:before="90" w:after="0"/>
        <w:rPr>
          <w:rFonts w:ascii="Times New Roman" w:hAnsi="Times New Roman"/>
          <w:sz w:val="20"/>
        </w:rPr>
      </w:pPr>
      <w:r>
        <w:rPr>
          <w:rFonts w:ascii="Times New Roman" w:hAnsi="Times New Roman"/>
          <w:sz w:val="20"/>
        </w:rPr>
        <w:t xml:space="preserve">We offer a variety of loan products and credit services to customers who do not have cash resources or access to credit to meet their short-term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 </w:t>
      </w:r>
    </w:p>
    <w:p>
      <w:pPr>
        <w:pStyle w:val="TextBody"/>
        <w:spacing w:before="180" w:after="0"/>
        <w:rPr>
          <w:rFonts w:ascii="Times New Roman" w:hAnsi="Times New Roman"/>
          <w:sz w:val="20"/>
        </w:rPr>
      </w:pPr>
      <w:r>
        <w:rPr>
          <w:rFonts w:ascii="Times New Roman" w:hAnsi="Times New Roman"/>
          <w:sz w:val="20"/>
        </w:rPr>
        <w:t xml:space="preserve">We consider a signature loan defaulted if it has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signature loan bad debt upon default, leaving only active loans in the reported balance. Accrued fees related to defaulted loans reduce fee revenue upon loan default, and increase fee revenue upon collection. Based on historical collection experience, the age of past-due loans and amounts we expect to receive through the sale of repossessed vehicles, we provide an allowance for losses on auto title loans. </w:t>
      </w:r>
    </w:p>
    <w:p>
      <w:pPr>
        <w:pStyle w:val="TextBody"/>
        <w:spacing w:before="180" w:after="0"/>
        <w:rPr>
          <w:rFonts w:ascii="Times New Roman" w:hAnsi="Times New Roman"/>
          <w:sz w:val="20"/>
        </w:rPr>
      </w:pPr>
      <w:r>
        <w:rPr>
          <w:rFonts w:ascii="Times New Roman" w:hAnsi="Times New Roman"/>
          <w:sz w:val="20"/>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following table presents changes in the allowance for credit losses as well as the recorded investment in our financing receivables by portfolio segment for the periods presented: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28"/>
        <w:gridCol w:w="204"/>
        <w:gridCol w:w="130"/>
        <w:gridCol w:w="534"/>
        <w:gridCol w:w="120"/>
        <w:gridCol w:w="204"/>
        <w:gridCol w:w="129"/>
        <w:gridCol w:w="577"/>
        <w:gridCol w:w="125"/>
        <w:gridCol w:w="162"/>
        <w:gridCol w:w="133"/>
        <w:gridCol w:w="543"/>
        <w:gridCol w:w="120"/>
        <w:gridCol w:w="204"/>
        <w:gridCol w:w="125"/>
        <w:gridCol w:w="520"/>
        <w:gridCol w:w="120"/>
        <w:gridCol w:w="204"/>
        <w:gridCol w:w="126"/>
        <w:gridCol w:w="526"/>
        <w:gridCol w:w="120"/>
        <w:gridCol w:w="204"/>
        <w:gridCol w:w="125"/>
        <w:gridCol w:w="594"/>
        <w:gridCol w:w="128"/>
      </w:tblGrid>
      <w:tr>
        <w:trPr/>
        <w:tc>
          <w:tcPr>
            <w:tcW w:w="422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22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Allowance</w:t>
              <w:br/>
              <w:t>Balance at</w:t>
              <w:br/>
              <w:t>Beginning</w:t>
              <w:br/>
              <w:t>of Period</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Charge-offs</w:t>
            </w:r>
          </w:p>
        </w:tc>
        <w:tc>
          <w:tcPr>
            <w:tcW w:w="125"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Recoveries</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4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Provision</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Allowance</w:t>
              <w:br/>
              <w:t>Balance at</w:t>
              <w:br/>
              <w:t>End of</w:t>
              <w:br/>
              <w:t>Period</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Financing</w:t>
              <w:br/>
              <w:t>Receivable</w:t>
              <w:br/>
              <w:t>at End of</w:t>
              <w:br/>
              <w:t>Period</w:t>
            </w:r>
          </w:p>
        </w:tc>
        <w:tc>
          <w:tcPr>
            <w:tcW w:w="128" w:type="dxa"/>
            <w:tcBorders/>
            <w:shd w:fill="auto" w:val="clear"/>
            <w:vAlign w:val="bottom"/>
          </w:tcPr>
          <w:p>
            <w:pPr>
              <w:pStyle w:val="TableContents"/>
              <w:spacing w:before="0" w:after="283"/>
              <w:rPr/>
            </w:pPr>
            <w:r>
              <w:rPr/>
              <w:t> </w:t>
            </w:r>
          </w:p>
        </w:tc>
      </w:tr>
      <w:tr>
        <w:trPr/>
        <w:tc>
          <w:tcPr>
            <w:tcW w:w="4228"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c>
          <w:tcPr>
            <w:tcW w:w="204" w:type="dxa"/>
            <w:tcBorders/>
            <w:shd w:fill="auto" w:val="clear"/>
            <w:vAlign w:val="bottom"/>
          </w:tcPr>
          <w:p>
            <w:pPr>
              <w:pStyle w:val="TableContents"/>
              <w:spacing w:before="0" w:after="283"/>
              <w:rPr/>
            </w:pPr>
            <w:r>
              <w:rPr/>
              <w:t>  </w:t>
            </w:r>
          </w:p>
        </w:tc>
        <w:tc>
          <w:tcPr>
            <w:tcW w:w="5645" w:type="dxa"/>
            <w:gridSpan w:val="22"/>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8" w:type="dxa"/>
            <w:tcBorders/>
            <w:shd w:fill="auto" w:val="clear"/>
            <w:vAlign w:val="bottom"/>
          </w:tcPr>
          <w:p>
            <w:pPr>
              <w:pStyle w:val="TableContents"/>
              <w:spacing w:before="0" w:after="283"/>
              <w:rPr/>
            </w:pPr>
            <w:r>
              <w:rPr/>
              <w:t> </w:t>
            </w:r>
          </w:p>
        </w:tc>
      </w:tr>
      <w:tr>
        <w:trPr/>
        <w:tc>
          <w:tcPr>
            <w:tcW w:w="4228" w:type="dxa"/>
            <w:tcBorders/>
            <w:shd w:fill="CCEEFF" w:val="clear"/>
          </w:tcPr>
          <w:p>
            <w:pPr>
              <w:pStyle w:val="TableContents"/>
              <w:spacing w:before="0" w:after="283"/>
              <w:rPr>
                <w:rFonts w:ascii="Times New Roman" w:hAnsi="Times New Roman"/>
                <w:b/>
                <w:sz w:val="20"/>
              </w:rPr>
            </w:pPr>
            <w:r>
              <w:rPr>
                <w:rFonts w:ascii="Times New Roman" w:hAnsi="Times New Roman"/>
                <w:b/>
                <w:sz w:val="20"/>
              </w:rPr>
              <w:t>Allowance for losses on signature loans:</w:t>
            </w:r>
          </w:p>
        </w:tc>
        <w:tc>
          <w:tcPr>
            <w:tcW w:w="20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53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57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4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2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4228" w:type="dxa"/>
            <w:tcBorders/>
            <w:shd w:fill="auto" w:val="clear"/>
          </w:tcPr>
          <w:p>
            <w:pPr>
              <w:pStyle w:val="TableContents"/>
              <w:spacing w:before="0" w:after="283"/>
              <w:rPr>
                <w:rFonts w:ascii="Times New Roman" w:hAnsi="Times New Roman"/>
                <w:sz w:val="20"/>
              </w:rPr>
            </w:pPr>
            <w:r>
              <w:rPr>
                <w:rFonts w:ascii="Times New Roman" w:hAnsi="Times New Roman"/>
                <w:sz w:val="20"/>
              </w:rPr>
              <w:t>Three-months ended December 31, 2011</w:t>
            </w:r>
          </w:p>
        </w:tc>
        <w:tc>
          <w:tcPr>
            <w:tcW w:w="20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1,727</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1,458</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3,224</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1,730</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14,406</w:t>
            </w:r>
          </w:p>
        </w:tc>
        <w:tc>
          <w:tcPr>
            <w:tcW w:w="128" w:type="dxa"/>
            <w:tcBorders/>
            <w:shd w:fill="auto" w:val="clear"/>
            <w:vAlign w:val="bottom"/>
          </w:tcPr>
          <w:p>
            <w:pPr>
              <w:pStyle w:val="TableContents"/>
              <w:spacing w:before="0" w:after="283"/>
              <w:rPr/>
            </w:pPr>
            <w:r>
              <w:rPr/>
              <w:t>  </w:t>
            </w:r>
          </w:p>
        </w:tc>
      </w:tr>
      <w:tr>
        <w:trPr/>
        <w:tc>
          <w:tcPr>
            <w:tcW w:w="4228" w:type="dxa"/>
            <w:tcBorders/>
            <w:shd w:fill="CCEEFF" w:val="clear"/>
          </w:tcPr>
          <w:p>
            <w:pPr>
              <w:pStyle w:val="TableContents"/>
              <w:spacing w:before="0" w:after="283"/>
              <w:rPr>
                <w:rFonts w:ascii="Times New Roman" w:hAnsi="Times New Roman"/>
                <w:sz w:val="20"/>
              </w:rPr>
            </w:pPr>
            <w:r>
              <w:rPr>
                <w:rFonts w:ascii="Times New Roman" w:hAnsi="Times New Roman"/>
                <w:sz w:val="20"/>
              </w:rPr>
              <w:t>Three-months ended December 31, 2010</w:t>
            </w:r>
          </w:p>
        </w:tc>
        <w:tc>
          <w:tcPr>
            <w:tcW w:w="20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1,496</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3,224</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1,210</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13,163</w:t>
            </w:r>
          </w:p>
        </w:tc>
        <w:tc>
          <w:tcPr>
            <w:tcW w:w="128" w:type="dxa"/>
            <w:tcBorders/>
            <w:shd w:fill="CCEEFF" w:val="clear"/>
            <w:vAlign w:val="bottom"/>
          </w:tcPr>
          <w:p>
            <w:pPr>
              <w:pStyle w:val="TableContents"/>
              <w:spacing w:before="0" w:after="283"/>
              <w:rPr/>
            </w:pPr>
            <w:r>
              <w:rPr/>
              <w:t>  </w:t>
            </w:r>
          </w:p>
        </w:tc>
      </w:tr>
      <w:tr>
        <w:trPr>
          <w:trHeight w:val="120" w:hRule="atLeast"/>
        </w:trPr>
        <w:tc>
          <w:tcPr>
            <w:tcW w:w="4228" w:type="dxa"/>
            <w:tcBorders/>
            <w:shd w:fill="auto" w:val="clear"/>
            <w:vAlign w:val="center"/>
          </w:tcPr>
          <w:p>
            <w:pPr>
              <w:pStyle w:val="TableContents"/>
              <w:spacing w:before="0" w:after="283"/>
              <w:rPr>
                <w:sz w:val="4"/>
                <w:szCs w:val="4"/>
              </w:rPr>
            </w:pPr>
            <w:r>
              <w:rPr>
                <w:sz w:val="4"/>
                <w:szCs w:val="4"/>
              </w:rPr>
            </w:r>
          </w:p>
        </w:tc>
        <w:tc>
          <w:tcPr>
            <w:tcW w:w="988"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969" w:type="dxa"/>
            <w:gridSpan w:val="4"/>
            <w:tcBorders/>
            <w:shd w:fill="auto" w:val="clear"/>
            <w:vAlign w:val="center"/>
          </w:tcPr>
          <w:p>
            <w:pPr>
              <w:pStyle w:val="TableContents"/>
              <w:spacing w:before="0" w:after="283"/>
              <w:rPr>
                <w:sz w:val="4"/>
                <w:szCs w:val="4"/>
              </w:rPr>
            </w:pPr>
            <w:r>
              <w:rPr>
                <w:sz w:val="4"/>
                <w:szCs w:val="4"/>
              </w:rPr>
            </w:r>
          </w:p>
        </w:tc>
        <w:tc>
          <w:tcPr>
            <w:tcW w:w="976" w:type="dxa"/>
            <w:gridSpan w:val="4"/>
            <w:tcBorders/>
            <w:shd w:fill="auto" w:val="clear"/>
            <w:vAlign w:val="center"/>
          </w:tcPr>
          <w:p>
            <w:pPr>
              <w:pStyle w:val="TableContents"/>
              <w:spacing w:before="0" w:after="283"/>
              <w:rPr>
                <w:sz w:val="4"/>
                <w:szCs w:val="4"/>
              </w:rPr>
            </w:pPr>
            <w:r>
              <w:rPr>
                <w:sz w:val="4"/>
                <w:szCs w:val="4"/>
              </w:rPr>
            </w:r>
          </w:p>
        </w:tc>
        <w:tc>
          <w:tcPr>
            <w:tcW w:w="1051" w:type="dxa"/>
            <w:gridSpan w:val="4"/>
            <w:tcBorders/>
            <w:shd w:fill="auto" w:val="clear"/>
            <w:vAlign w:val="center"/>
          </w:tcPr>
          <w:p>
            <w:pPr>
              <w:pStyle w:val="TableContents"/>
              <w:spacing w:before="0" w:after="283"/>
              <w:rPr>
                <w:sz w:val="4"/>
                <w:szCs w:val="4"/>
              </w:rPr>
            </w:pPr>
            <w:r>
              <w:rPr>
                <w:sz w:val="4"/>
                <w:szCs w:val="4"/>
              </w:rPr>
            </w:r>
          </w:p>
        </w:tc>
      </w:tr>
      <w:tr>
        <w:trPr/>
        <w:tc>
          <w:tcPr>
            <w:tcW w:w="4228" w:type="dxa"/>
            <w:tcBorders/>
            <w:shd w:fill="auto" w:val="clear"/>
          </w:tcPr>
          <w:p>
            <w:pPr>
              <w:pStyle w:val="TableContents"/>
              <w:spacing w:before="0" w:after="283"/>
              <w:rPr>
                <w:rFonts w:ascii="Times New Roman" w:hAnsi="Times New Roman"/>
                <w:b/>
                <w:sz w:val="20"/>
              </w:rPr>
            </w:pPr>
            <w:r>
              <w:rPr>
                <w:rFonts w:ascii="Times New Roman" w:hAnsi="Times New Roman"/>
                <w:b/>
                <w:sz w:val="20"/>
              </w:rPr>
              <w:t>Allowance for losses on auto title loans:</w:t>
            </w:r>
          </w:p>
        </w:tc>
        <w:tc>
          <w:tcPr>
            <w:tcW w:w="20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5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sz w:val="4"/>
                <w:szCs w:val="4"/>
              </w:rPr>
            </w:pPr>
            <w:r>
              <w:rPr>
                <w:sz w:val="4"/>
                <w:szCs w:val="4"/>
              </w:rPr>
            </w:r>
          </w:p>
        </w:tc>
        <w:tc>
          <w:tcPr>
            <w:tcW w:w="54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4"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4228" w:type="dxa"/>
            <w:tcBorders/>
            <w:shd w:fill="CCEEFF" w:val="clear"/>
          </w:tcPr>
          <w:p>
            <w:pPr>
              <w:pStyle w:val="TableContents"/>
              <w:spacing w:before="0" w:after="283"/>
              <w:rPr>
                <w:rFonts w:ascii="Times New Roman" w:hAnsi="Times New Roman"/>
                <w:sz w:val="20"/>
              </w:rPr>
            </w:pPr>
            <w:r>
              <w:rPr>
                <w:rFonts w:ascii="Times New Roman" w:hAnsi="Times New Roman"/>
                <w:sz w:val="20"/>
              </w:rPr>
              <w:t>Three-months ended December 31, 2011</w:t>
            </w:r>
          </w:p>
        </w:tc>
        <w:tc>
          <w:tcPr>
            <w:tcW w:w="20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2,160</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4,494</w:t>
            </w:r>
          </w:p>
        </w:tc>
        <w:tc>
          <w:tcPr>
            <w:tcW w:w="128" w:type="dxa"/>
            <w:tcBorders/>
            <w:shd w:fill="CCEEFF" w:val="clear"/>
            <w:vAlign w:val="bottom"/>
          </w:tcPr>
          <w:p>
            <w:pPr>
              <w:pStyle w:val="TableContents"/>
              <w:spacing w:before="0" w:after="283"/>
              <w:rPr/>
            </w:pPr>
            <w:r>
              <w:rPr/>
              <w:t>  </w:t>
            </w:r>
          </w:p>
        </w:tc>
      </w:tr>
      <w:tr>
        <w:trPr/>
        <w:tc>
          <w:tcPr>
            <w:tcW w:w="4228" w:type="dxa"/>
            <w:tcBorders/>
            <w:shd w:fill="auto" w:val="clear"/>
          </w:tcPr>
          <w:p>
            <w:pPr>
              <w:pStyle w:val="TableContents"/>
              <w:spacing w:before="0" w:after="283"/>
              <w:rPr>
                <w:rFonts w:ascii="Times New Roman" w:hAnsi="Times New Roman"/>
                <w:sz w:val="20"/>
              </w:rPr>
            </w:pPr>
            <w:r>
              <w:rPr>
                <w:rFonts w:ascii="Times New Roman" w:hAnsi="Times New Roman"/>
                <w:sz w:val="20"/>
              </w:rPr>
              <w:t>Three-months ended December 31, 2010</w:t>
            </w:r>
          </w:p>
        </w:tc>
        <w:tc>
          <w:tcPr>
            <w:tcW w:w="20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1,137</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7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2"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4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2,715</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4,623</w:t>
            </w:r>
          </w:p>
        </w:tc>
        <w:tc>
          <w:tcPr>
            <w:tcW w:w="128"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provision presented in the table above includes only principal and excludes items such as non-sufficient funds fees, late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 Expected losses on credit services are accrued and reported in Accounts payable and other accrued expenses on our balance sheets. </w:t>
      </w:r>
    </w:p>
    <w:p>
      <w:pPr>
        <w:pStyle w:val="TextBody"/>
        <w:spacing w:before="180" w:after="0"/>
        <w:rPr>
          <w:rFonts w:ascii="Times New Roman" w:hAnsi="Times New Roman"/>
          <w:sz w:val="20"/>
        </w:rPr>
      </w:pPr>
      <w:r>
        <w:rPr>
          <w:rFonts w:ascii="Times New Roman" w:hAnsi="Times New Roman"/>
          <w:sz w:val="20"/>
        </w:rPr>
        <w:t xml:space="preserve">Auto title loans are our only loans that remain as recorded investments when in delinquent/nonaccrual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 </w:t>
      </w:r>
    </w:p>
    <w:p>
      <w:pPr>
        <w:pStyle w:val="TextBody"/>
        <w:spacing w:before="180" w:after="0"/>
        <w:rPr>
          <w:rFonts w:ascii="Times New Roman" w:hAnsi="Times New Roman"/>
          <w:sz w:val="20"/>
        </w:rPr>
      </w:pPr>
      <w:r>
        <w:rPr>
          <w:rFonts w:ascii="Times New Roman" w:hAnsi="Times New Roman"/>
          <w:sz w:val="20"/>
        </w:rPr>
        <w:t xml:space="preserve">The following table presents an aging analysis of past due financing receivables by portfolio segment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30"/>
        <w:gridCol w:w="177"/>
        <w:gridCol w:w="125"/>
        <w:gridCol w:w="335"/>
        <w:gridCol w:w="230"/>
        <w:gridCol w:w="124"/>
        <w:gridCol w:w="125"/>
        <w:gridCol w:w="335"/>
        <w:gridCol w:w="230"/>
        <w:gridCol w:w="124"/>
        <w:gridCol w:w="125"/>
        <w:gridCol w:w="335"/>
        <w:gridCol w:w="230"/>
        <w:gridCol w:w="124"/>
        <w:gridCol w:w="125"/>
        <w:gridCol w:w="335"/>
        <w:gridCol w:w="230"/>
        <w:gridCol w:w="123"/>
        <w:gridCol w:w="125"/>
        <w:gridCol w:w="504"/>
        <w:gridCol w:w="230"/>
        <w:gridCol w:w="124"/>
        <w:gridCol w:w="133"/>
        <w:gridCol w:w="533"/>
        <w:gridCol w:w="230"/>
        <w:gridCol w:w="124"/>
        <w:gridCol w:w="133"/>
        <w:gridCol w:w="533"/>
        <w:gridCol w:w="230"/>
        <w:gridCol w:w="124"/>
        <w:gridCol w:w="258"/>
        <w:gridCol w:w="535"/>
        <w:gridCol w:w="127"/>
      </w:tblGrid>
      <w:tr>
        <w:trPr/>
        <w:tc>
          <w:tcPr>
            <w:tcW w:w="283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83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2902"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Days Past Due</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6"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Current</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6"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br/>
              <w:t>Financing</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93"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Recorded</w:t>
              <w:br/>
              <w:t>Investment &gt;</w:t>
              <w:br/>
              <w:t>90 Days &amp;</w:t>
            </w:r>
          </w:p>
        </w:tc>
        <w:tc>
          <w:tcPr>
            <w:tcW w:w="127" w:type="dxa"/>
            <w:tcBorders/>
            <w:shd w:fill="auto" w:val="clear"/>
            <w:vAlign w:val="bottom"/>
          </w:tcPr>
          <w:p>
            <w:pPr>
              <w:pStyle w:val="TableContents"/>
              <w:spacing w:before="0" w:after="283"/>
              <w:rPr/>
            </w:pPr>
            <w:r>
              <w:rPr/>
              <w:t> </w:t>
            </w:r>
          </w:p>
        </w:tc>
      </w:tr>
      <w:tr>
        <w:trPr/>
        <w:tc>
          <w:tcPr>
            <w:tcW w:w="2830"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1-30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31-60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61-90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6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&gt;90</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62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Past Due</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Receivable</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Receivable</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9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Accruing</w:t>
            </w:r>
          </w:p>
        </w:tc>
        <w:tc>
          <w:tcPr>
            <w:tcW w:w="127" w:type="dxa"/>
            <w:tcBorders/>
            <w:shd w:fill="auto" w:val="clear"/>
            <w:vAlign w:val="bottom"/>
          </w:tcPr>
          <w:p>
            <w:pPr>
              <w:pStyle w:val="TableContents"/>
              <w:spacing w:before="0" w:after="283"/>
              <w:rPr/>
            </w:pPr>
            <w:r>
              <w:rPr/>
              <w:t> </w:t>
            </w:r>
          </w:p>
        </w:tc>
      </w:tr>
      <w:tr>
        <w:trPr/>
        <w:tc>
          <w:tcPr>
            <w:tcW w:w="3467" w:type="dxa"/>
            <w:gridSpan w:val="4"/>
            <w:tcBorders/>
            <w:shd w:fill="CCEEFF" w:val="clear"/>
          </w:tcPr>
          <w:p>
            <w:pPr>
              <w:pStyle w:val="TableContents"/>
              <w:spacing w:before="0" w:after="283"/>
              <w:rPr>
                <w:rFonts w:ascii="Times New Roman" w:hAnsi="Times New Roman"/>
                <w:b/>
                <w:sz w:val="20"/>
              </w:rPr>
            </w:pPr>
            <w:r>
              <w:rPr>
                <w:rFonts w:ascii="Times New Roman" w:hAnsi="Times New Roman"/>
                <w:b/>
                <w:sz w:val="20"/>
              </w:rPr>
              <w:t>December 31, 2011</w:t>
            </w:r>
          </w:p>
        </w:tc>
        <w:tc>
          <w:tcPr>
            <w:tcW w:w="23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sz w:val="4"/>
                <w:szCs w:val="4"/>
              </w:rPr>
            </w:pPr>
            <w:r>
              <w:rPr>
                <w:sz w:val="4"/>
                <w:szCs w:val="4"/>
              </w:rPr>
            </w:r>
          </w:p>
        </w:tc>
        <w:tc>
          <w:tcPr>
            <w:tcW w:w="53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659</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424</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2,374</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4,494</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2830" w:type="dxa"/>
            <w:tcBorders/>
            <w:shd w:fill="CCEEFF" w:val="clear"/>
          </w:tcPr>
          <w:p>
            <w:pPr>
              <w:pStyle w:val="TableContents"/>
              <w:spacing w:before="0" w:after="283"/>
              <w:rPr>
                <w:rFonts w:ascii="Times New Roman" w:hAnsi="Times New Roman"/>
                <w:sz w:val="20"/>
              </w:rPr>
            </w:pPr>
            <w:r>
              <w:rPr>
                <w:rFonts w:ascii="Times New Roman" w:hAnsi="Times New Roman"/>
                <w:sz w:val="20"/>
              </w:rPr>
              <w:t>Reserve</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w:t>
            </w:r>
          </w:p>
        </w:tc>
        <w:tc>
          <w:tcPr>
            <w:tcW w:w="23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911</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Reserve %</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830" w:type="dxa"/>
            <w:tcBorders/>
            <w:shd w:fill="auto" w:val="clear"/>
            <w:vAlign w:val="center"/>
          </w:tcPr>
          <w:p>
            <w:pPr>
              <w:pStyle w:val="TableContents"/>
              <w:spacing w:before="0" w:after="283"/>
              <w:rPr>
                <w:sz w:val="4"/>
                <w:szCs w:val="4"/>
              </w:rPr>
            </w:pPr>
            <w:r>
              <w:rPr>
                <w:sz w:val="4"/>
                <w:szCs w:val="4"/>
              </w:rPr>
            </w:r>
          </w:p>
        </w:tc>
        <w:tc>
          <w:tcPr>
            <w:tcW w:w="867"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982"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c>
          <w:tcPr>
            <w:tcW w:w="1044" w:type="dxa"/>
            <w:gridSpan w:val="4"/>
            <w:tcBorders/>
            <w:shd w:fill="auto" w:val="clear"/>
            <w:vAlign w:val="center"/>
          </w:tcPr>
          <w:p>
            <w:pPr>
              <w:pStyle w:val="TableContents"/>
              <w:spacing w:before="0" w:after="283"/>
              <w:rPr>
                <w:sz w:val="4"/>
                <w:szCs w:val="4"/>
              </w:rPr>
            </w:pPr>
            <w:r>
              <w:rPr>
                <w:sz w:val="4"/>
                <w:szCs w:val="4"/>
              </w:rPr>
            </w:r>
          </w:p>
        </w:tc>
      </w:tr>
      <w:tr>
        <w:trPr/>
        <w:tc>
          <w:tcPr>
            <w:tcW w:w="2830" w:type="dxa"/>
            <w:tcBorders/>
            <w:shd w:fill="CCEEFF" w:val="clear"/>
          </w:tcPr>
          <w:p>
            <w:pPr>
              <w:pStyle w:val="TableContents"/>
              <w:spacing w:before="0" w:after="283"/>
              <w:rPr>
                <w:rFonts w:ascii="Times New Roman" w:hAnsi="Times New Roman"/>
                <w:b/>
                <w:sz w:val="20"/>
              </w:rPr>
            </w:pPr>
            <w:r>
              <w:rPr>
                <w:rFonts w:ascii="Times New Roman" w:hAnsi="Times New Roman"/>
                <w:b/>
                <w:sz w:val="20"/>
              </w:rPr>
              <w:t>December 31, 2010</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sz w:val="4"/>
                <w:szCs w:val="4"/>
              </w:rPr>
            </w:pPr>
            <w:r>
              <w:rPr>
                <w:sz w:val="4"/>
                <w:szCs w:val="4"/>
              </w:rPr>
            </w:r>
          </w:p>
        </w:tc>
        <w:tc>
          <w:tcPr>
            <w:tcW w:w="53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609</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2,173</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4,623</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2830" w:type="dxa"/>
            <w:tcBorders/>
            <w:shd w:fill="CCEEFF" w:val="clear"/>
          </w:tcPr>
          <w:p>
            <w:pPr>
              <w:pStyle w:val="TableContents"/>
              <w:spacing w:before="0" w:after="283"/>
              <w:rPr>
                <w:rFonts w:ascii="Times New Roman" w:hAnsi="Times New Roman"/>
                <w:sz w:val="20"/>
              </w:rPr>
            </w:pPr>
            <w:r>
              <w:rPr>
                <w:rFonts w:ascii="Times New Roman" w:hAnsi="Times New Roman"/>
                <w:sz w:val="20"/>
              </w:rPr>
              <w:t>Reserve</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23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1,316</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Reserve %</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2830" w:type="dxa"/>
            <w:tcBorders/>
            <w:shd w:fill="auto" w:val="clear"/>
            <w:vAlign w:val="center"/>
          </w:tcPr>
          <w:p>
            <w:pPr>
              <w:pStyle w:val="TableContents"/>
              <w:spacing w:before="0" w:after="283"/>
              <w:rPr>
                <w:sz w:val="4"/>
                <w:szCs w:val="4"/>
              </w:rPr>
            </w:pPr>
            <w:r>
              <w:rPr>
                <w:sz w:val="4"/>
                <w:szCs w:val="4"/>
              </w:rPr>
            </w:r>
          </w:p>
        </w:tc>
        <w:tc>
          <w:tcPr>
            <w:tcW w:w="867"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814" w:type="dxa"/>
            <w:gridSpan w:val="4"/>
            <w:tcBorders/>
            <w:shd w:fill="auto" w:val="clear"/>
            <w:vAlign w:val="center"/>
          </w:tcPr>
          <w:p>
            <w:pPr>
              <w:pStyle w:val="TableContents"/>
              <w:spacing w:before="0" w:after="283"/>
              <w:rPr>
                <w:sz w:val="4"/>
                <w:szCs w:val="4"/>
              </w:rPr>
            </w:pPr>
            <w:r>
              <w:rPr>
                <w:sz w:val="4"/>
                <w:szCs w:val="4"/>
              </w:rPr>
            </w:r>
          </w:p>
        </w:tc>
        <w:tc>
          <w:tcPr>
            <w:tcW w:w="982"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c>
          <w:tcPr>
            <w:tcW w:w="1020" w:type="dxa"/>
            <w:gridSpan w:val="4"/>
            <w:tcBorders/>
            <w:shd w:fill="auto" w:val="clear"/>
            <w:vAlign w:val="center"/>
          </w:tcPr>
          <w:p>
            <w:pPr>
              <w:pStyle w:val="TableContents"/>
              <w:spacing w:before="0" w:after="283"/>
              <w:rPr>
                <w:sz w:val="4"/>
                <w:szCs w:val="4"/>
              </w:rPr>
            </w:pPr>
            <w:r>
              <w:rPr>
                <w:sz w:val="4"/>
                <w:szCs w:val="4"/>
              </w:rPr>
            </w:r>
          </w:p>
        </w:tc>
        <w:tc>
          <w:tcPr>
            <w:tcW w:w="1044" w:type="dxa"/>
            <w:gridSpan w:val="4"/>
            <w:tcBorders/>
            <w:shd w:fill="auto" w:val="clear"/>
            <w:vAlign w:val="center"/>
          </w:tcPr>
          <w:p>
            <w:pPr>
              <w:pStyle w:val="TableContents"/>
              <w:spacing w:before="0" w:after="283"/>
              <w:rPr>
                <w:sz w:val="4"/>
                <w:szCs w:val="4"/>
              </w:rPr>
            </w:pPr>
            <w:r>
              <w:rPr>
                <w:sz w:val="4"/>
                <w:szCs w:val="4"/>
              </w:rPr>
            </w:r>
          </w:p>
        </w:tc>
      </w:tr>
      <w:tr>
        <w:trPr/>
        <w:tc>
          <w:tcPr>
            <w:tcW w:w="2830" w:type="dxa"/>
            <w:tcBorders/>
            <w:shd w:fill="CCEEFF" w:val="clear"/>
          </w:tcPr>
          <w:p>
            <w:pPr>
              <w:pStyle w:val="TableContents"/>
              <w:spacing w:before="0" w:after="283"/>
              <w:rPr>
                <w:rFonts w:ascii="Times New Roman" w:hAnsi="Times New Roman"/>
                <w:b/>
                <w:sz w:val="20"/>
              </w:rPr>
            </w:pPr>
            <w:r>
              <w:rPr>
                <w:rFonts w:ascii="Times New Roman" w:hAnsi="Times New Roman"/>
                <w:b/>
                <w:sz w:val="20"/>
              </w:rPr>
              <w:t>September 30, 2011</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5"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sz w:val="4"/>
                <w:szCs w:val="4"/>
              </w:rPr>
            </w:pPr>
            <w:r>
              <w:rPr>
                <w:sz w:val="4"/>
                <w:szCs w:val="4"/>
              </w:rPr>
            </w:r>
          </w:p>
        </w:tc>
        <w:tc>
          <w:tcPr>
            <w:tcW w:w="533" w:type="dxa"/>
            <w:tcBorders/>
            <w:shd w:fill="CCEEFF" w:val="clear"/>
            <w:vAlign w:val="bottom"/>
          </w:tcPr>
          <w:p>
            <w:pPr>
              <w:pStyle w:val="TableContents"/>
              <w:spacing w:before="0" w:after="283"/>
              <w:rPr>
                <w:sz w:val="4"/>
                <w:szCs w:val="4"/>
              </w:rPr>
            </w:pPr>
            <w:r>
              <w:rPr>
                <w:sz w:val="4"/>
                <w:szCs w:val="4"/>
              </w:rPr>
            </w:r>
          </w:p>
        </w:tc>
        <w:tc>
          <w:tcPr>
            <w:tcW w:w="230"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sz w:val="4"/>
                <w:szCs w:val="4"/>
              </w:rPr>
            </w:pPr>
            <w:r>
              <w:rPr>
                <w:sz w:val="4"/>
                <w:szCs w:val="4"/>
              </w:rPr>
            </w:r>
          </w:p>
        </w:tc>
        <w:tc>
          <w:tcPr>
            <w:tcW w:w="535" w:type="dxa"/>
            <w:tcBorders/>
            <w:shd w:fill="CCEEFF" w:val="clear"/>
            <w:vAlign w:val="bottom"/>
          </w:tcPr>
          <w:p>
            <w:pPr>
              <w:pStyle w:val="TableContents"/>
              <w:spacing w:before="0" w:after="283"/>
              <w:rPr>
                <w:sz w:val="4"/>
                <w:szCs w:val="4"/>
              </w:rPr>
            </w:pPr>
            <w:r>
              <w:rPr>
                <w:sz w:val="4"/>
                <w:szCs w:val="4"/>
              </w:rPr>
            </w:r>
          </w:p>
        </w:tc>
        <w:tc>
          <w:tcPr>
            <w:tcW w:w="127" w:type="dxa"/>
            <w:tcBorders/>
            <w:shd w:fill="CCEEFF" w:val="clear"/>
            <w:vAlign w:val="bottom"/>
          </w:tcPr>
          <w:p>
            <w:pPr>
              <w:pStyle w:val="TableContents"/>
              <w:spacing w:before="0" w:after="283"/>
              <w:rPr>
                <w:sz w:val="4"/>
                <w:szCs w:val="4"/>
              </w:rPr>
            </w:pPr>
            <w:r>
              <w:rPr>
                <w:sz w:val="4"/>
                <w:szCs w:val="4"/>
              </w:rPr>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23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1,821</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1,939</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3,760</w:t>
            </w:r>
          </w:p>
        </w:tc>
        <w:tc>
          <w:tcPr>
            <w:tcW w:w="23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2830" w:type="dxa"/>
            <w:tcBorders/>
            <w:shd w:fill="CCEEFF" w:val="clear"/>
          </w:tcPr>
          <w:p>
            <w:pPr>
              <w:pStyle w:val="TableContents"/>
              <w:spacing w:before="0" w:after="283"/>
              <w:rPr>
                <w:rFonts w:ascii="Times New Roman" w:hAnsi="Times New Roman"/>
                <w:sz w:val="20"/>
              </w:rPr>
            </w:pPr>
            <w:r>
              <w:rPr>
                <w:rFonts w:ascii="Times New Roman" w:hAnsi="Times New Roman"/>
                <w:sz w:val="20"/>
              </w:rPr>
              <w:t>Reserve</w:t>
            </w:r>
          </w:p>
        </w:tc>
        <w:tc>
          <w:tcPr>
            <w:tcW w:w="17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23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23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2830" w:type="dxa"/>
            <w:tcBorders/>
            <w:shd w:fill="auto" w:val="clear"/>
          </w:tcPr>
          <w:p>
            <w:pPr>
              <w:pStyle w:val="TableContents"/>
              <w:spacing w:before="0" w:after="283"/>
              <w:rPr>
                <w:rFonts w:ascii="Times New Roman" w:hAnsi="Times New Roman"/>
                <w:sz w:val="20"/>
              </w:rPr>
            </w:pPr>
            <w:r>
              <w:rPr>
                <w:rFonts w:ascii="Times New Roman" w:hAnsi="Times New Roman"/>
                <w:sz w:val="20"/>
              </w:rPr>
              <w:t>Reserve %</w:t>
            </w:r>
          </w:p>
        </w:tc>
        <w:tc>
          <w:tcPr>
            <w:tcW w:w="17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Note L: Fair Value Measurements </w:t>
      </w:r>
    </w:p>
    <w:p>
      <w:pPr>
        <w:pStyle w:val="TextBody"/>
        <w:spacing w:before="90" w:after="0"/>
        <w:rPr>
          <w:rFonts w:ascii="Times New Roman" w:hAnsi="Times New Roman"/>
          <w:sz w:val="20"/>
        </w:rPr>
      </w:pPr>
      <w:r>
        <w:rPr>
          <w:rFonts w:ascii="Times New Roman" w:hAnsi="Times New Roman"/>
          <w:sz w:val="20"/>
        </w:rPr>
        <w:t xml:space="preserve">In accordance with FASB ASC 820-10, Fair Value Measurements and Disclosures, our assets and liabilities, which are carried at fair value, are classified in one of the following three categories: </w:t>
      </w:r>
    </w:p>
    <w:p>
      <w:pPr>
        <w:pStyle w:val="TextBody"/>
        <w:spacing w:before="180" w:after="0"/>
        <w:rPr>
          <w:rFonts w:ascii="Times New Roman" w:hAnsi="Times New Roman"/>
          <w:sz w:val="20"/>
        </w:rPr>
      </w:pPr>
      <w:r>
        <w:rPr>
          <w:rFonts w:ascii="Times New Roman" w:hAnsi="Times New Roman"/>
          <w:sz w:val="20"/>
        </w:rPr>
        <w:t xml:space="preserve">Level 1: Quoted market prices in active markets for identical assets or liabilities. </w:t>
      </w:r>
    </w:p>
    <w:p>
      <w:pPr>
        <w:pStyle w:val="TextBody"/>
        <w:spacing w:before="90" w:after="0"/>
        <w:rPr>
          <w:rFonts w:ascii="Times New Roman" w:hAnsi="Times New Roman"/>
          <w:sz w:val="20"/>
        </w:rPr>
      </w:pPr>
      <w:r>
        <w:rPr>
          <w:rFonts w:ascii="Times New Roman" w:hAnsi="Times New Roman"/>
          <w:sz w:val="20"/>
        </w:rPr>
        <w:t xml:space="preserve">Level 2: Other observable inputs other than quoted market prices. </w:t>
      </w:r>
    </w:p>
    <w:p>
      <w:pPr>
        <w:pStyle w:val="TextBody"/>
        <w:spacing w:before="90" w:after="0"/>
        <w:rPr>
          <w:rFonts w:ascii="Times New Roman" w:hAnsi="Times New Roman"/>
          <w:sz w:val="20"/>
        </w:rPr>
      </w:pPr>
      <w:r>
        <w:rPr>
          <w:rFonts w:ascii="Times New Roman" w:hAnsi="Times New Roman"/>
          <w:sz w:val="20"/>
        </w:rPr>
        <w:t xml:space="preserve">Level 3: Unobservable inputs that are not corroborated by market data. </w:t>
      </w:r>
    </w:p>
    <w:p>
      <w:pPr>
        <w:pStyle w:val="TextBody"/>
        <w:spacing w:before="180" w:after="0"/>
        <w:rPr>
          <w:rFonts w:ascii="Times New Roman" w:hAnsi="Times New Roman"/>
          <w:sz w:val="20"/>
        </w:rPr>
      </w:pPr>
      <w:r>
        <w:rPr>
          <w:rFonts w:ascii="Times New Roman" w:hAnsi="Times New Roman"/>
          <w:sz w:val="20"/>
        </w:rPr>
        <w:t xml:space="preserve">The tables below present our financial assets that are measured at fair value on a recurring basis as of December 31, 2011 and 2010 and September 30, 2011 (in thousands):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473"/>
        <w:gridCol w:w="380"/>
        <w:gridCol w:w="243"/>
        <w:gridCol w:w="953"/>
        <w:gridCol w:w="120"/>
        <w:gridCol w:w="380"/>
        <w:gridCol w:w="125"/>
        <w:gridCol w:w="510"/>
        <w:gridCol w:w="120"/>
        <w:gridCol w:w="380"/>
        <w:gridCol w:w="125"/>
        <w:gridCol w:w="510"/>
        <w:gridCol w:w="120"/>
        <w:gridCol w:w="380"/>
        <w:gridCol w:w="141"/>
        <w:gridCol w:w="300"/>
        <w:gridCol w:w="128"/>
      </w:tblGrid>
      <w:tr>
        <w:trPr/>
        <w:tc>
          <w:tcPr>
            <w:tcW w:w="4473"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473"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196"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 2011</w:t>
            </w:r>
          </w:p>
        </w:tc>
        <w:tc>
          <w:tcPr>
            <w:tcW w:w="120" w:type="dxa"/>
            <w:vMerge w:val="restart"/>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2711"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8" w:type="dxa"/>
            <w:tcBorders/>
            <w:shd w:fill="auto" w:val="clear"/>
            <w:vAlign w:val="bottom"/>
          </w:tcPr>
          <w:p>
            <w:pPr>
              <w:pStyle w:val="TableContents"/>
              <w:spacing w:before="0" w:after="283"/>
              <w:rPr/>
            </w:pPr>
            <w:r>
              <w:rPr/>
              <w:t> </w:t>
            </w:r>
          </w:p>
        </w:tc>
      </w:tr>
      <w:tr>
        <w:trPr/>
        <w:tc>
          <w:tcPr>
            <w:tcW w:w="447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380" w:type="dxa"/>
            <w:tcBorders/>
            <w:shd w:fill="auto" w:val="clear"/>
            <w:vAlign w:val="bottom"/>
          </w:tcPr>
          <w:p>
            <w:pPr>
              <w:pStyle w:val="TableContents"/>
              <w:spacing w:before="0" w:after="283"/>
              <w:rPr/>
            </w:pPr>
            <w:r>
              <w:rPr/>
              <w:t>  </w:t>
            </w:r>
          </w:p>
        </w:tc>
        <w:tc>
          <w:tcPr>
            <w:tcW w:w="1196"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380" w:type="dxa"/>
            <w:tcBorders/>
            <w:shd w:fill="auto" w:val="clear"/>
            <w:vAlign w:val="bottom"/>
          </w:tcPr>
          <w:p>
            <w:pPr>
              <w:pStyle w:val="TableContents"/>
              <w:spacing w:before="0" w:after="283"/>
              <w:rPr/>
            </w:pPr>
            <w:r>
              <w:rPr/>
              <w:t>  </w:t>
            </w:r>
          </w:p>
        </w:tc>
        <w:tc>
          <w:tcPr>
            <w:tcW w:w="6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63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4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8" w:type="dxa"/>
            <w:tcBorders/>
            <w:shd w:fill="auto" w:val="clear"/>
            <w:vAlign w:val="bottom"/>
          </w:tcPr>
          <w:p>
            <w:pPr>
              <w:pStyle w:val="TableContents"/>
              <w:spacing w:before="0" w:after="283"/>
              <w:rPr/>
            </w:pPr>
            <w:r>
              <w:rPr/>
              <w:t> </w:t>
            </w:r>
          </w:p>
        </w:tc>
      </w:tr>
      <w:tr>
        <w:trPr/>
        <w:tc>
          <w:tcPr>
            <w:tcW w:w="4473" w:type="dxa"/>
            <w:tcBorders/>
            <w:shd w:fill="CCEEFF" w:val="clear"/>
          </w:tcPr>
          <w:p>
            <w:pPr>
              <w:pStyle w:val="TableContents"/>
              <w:spacing w:before="0" w:after="283"/>
              <w:rPr>
                <w:rFonts w:ascii="Times New Roman" w:hAnsi="Times New Roman"/>
                <w:sz w:val="20"/>
              </w:rPr>
            </w:pPr>
            <w:r>
              <w:rPr>
                <w:rFonts w:ascii="Times New Roman" w:hAnsi="Times New Roman"/>
                <w:sz w:val="20"/>
              </w:rPr>
              <w:t>Gold collar</w:t>
            </w:r>
          </w:p>
        </w:tc>
        <w:tc>
          <w:tcPr>
            <w:tcW w:w="38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473" w:type="dxa"/>
            <w:tcBorders/>
            <w:shd w:fill="auto"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38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4,807</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4,807</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4473"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283"/>
              <w:rPr/>
            </w:pPr>
            <w:r>
              <w:rPr/>
              <w:t> </w:t>
            </w:r>
          </w:p>
        </w:tc>
        <w:tc>
          <w:tcPr>
            <w:tcW w:w="95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1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300"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47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80"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5,880</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4,807</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4473"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pBdr>
                <w:top w:val="double" w:sz="6" w:space="1" w:color="000000"/>
              </w:pBdr>
              <w:spacing w:before="0" w:after="283"/>
              <w:rPr/>
            </w:pPr>
            <w:r>
              <w:rPr/>
              <w:t> </w:t>
            </w:r>
          </w:p>
        </w:tc>
        <w:tc>
          <w:tcPr>
            <w:tcW w:w="95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1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1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300"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644"/>
        <w:gridCol w:w="388"/>
        <w:gridCol w:w="242"/>
        <w:gridCol w:w="949"/>
        <w:gridCol w:w="120"/>
        <w:gridCol w:w="388"/>
        <w:gridCol w:w="125"/>
        <w:gridCol w:w="508"/>
        <w:gridCol w:w="120"/>
        <w:gridCol w:w="388"/>
        <w:gridCol w:w="142"/>
        <w:gridCol w:w="297"/>
        <w:gridCol w:w="120"/>
        <w:gridCol w:w="388"/>
        <w:gridCol w:w="142"/>
        <w:gridCol w:w="298"/>
        <w:gridCol w:w="129"/>
      </w:tblGrid>
      <w:tr>
        <w:trPr/>
        <w:tc>
          <w:tcPr>
            <w:tcW w:w="464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6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191"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 2010</w:t>
            </w:r>
          </w:p>
        </w:tc>
        <w:tc>
          <w:tcPr>
            <w:tcW w:w="120" w:type="dxa"/>
            <w:vMerge w:val="restart"/>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528"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9" w:type="dxa"/>
            <w:tcBorders/>
            <w:shd w:fill="auto" w:val="clear"/>
            <w:vAlign w:val="bottom"/>
          </w:tcPr>
          <w:p>
            <w:pPr>
              <w:pStyle w:val="TableContents"/>
              <w:spacing w:before="0" w:after="283"/>
              <w:rPr/>
            </w:pPr>
            <w:r>
              <w:rPr/>
              <w:t> </w:t>
            </w:r>
          </w:p>
        </w:tc>
      </w:tr>
      <w:tr>
        <w:trPr/>
        <w:tc>
          <w:tcPr>
            <w:tcW w:w="464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388" w:type="dxa"/>
            <w:tcBorders/>
            <w:shd w:fill="auto" w:val="clear"/>
            <w:vAlign w:val="bottom"/>
          </w:tcPr>
          <w:p>
            <w:pPr>
              <w:pStyle w:val="TableContents"/>
              <w:spacing w:before="0" w:after="283"/>
              <w:rPr/>
            </w:pPr>
            <w:r>
              <w:rPr/>
              <w:t>  </w:t>
            </w:r>
          </w:p>
        </w:tc>
        <w:tc>
          <w:tcPr>
            <w:tcW w:w="1191"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388" w:type="dxa"/>
            <w:tcBorders/>
            <w:shd w:fill="auto" w:val="clear"/>
            <w:vAlign w:val="bottom"/>
          </w:tcPr>
          <w:p>
            <w:pPr>
              <w:pStyle w:val="TableContents"/>
              <w:spacing w:before="0" w:after="283"/>
              <w:rPr/>
            </w:pPr>
            <w:r>
              <w:rPr/>
              <w:t>  </w:t>
            </w:r>
          </w:p>
        </w:tc>
        <w:tc>
          <w:tcPr>
            <w:tcW w:w="6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9" w:type="dxa"/>
            <w:tcBorders/>
            <w:shd w:fill="auto" w:val="clear"/>
            <w:vAlign w:val="bottom"/>
          </w:tcPr>
          <w:p>
            <w:pPr>
              <w:pStyle w:val="TableContents"/>
              <w:spacing w:before="0" w:after="283"/>
              <w:rPr/>
            </w:pPr>
            <w:r>
              <w:rPr/>
              <w:t> </w:t>
            </w:r>
          </w:p>
        </w:tc>
      </w:tr>
      <w:tr>
        <w:trPr/>
        <w:tc>
          <w:tcPr>
            <w:tcW w:w="4644" w:type="dxa"/>
            <w:tcBorders/>
            <w:shd w:fill="CCEEFF" w:val="clear"/>
          </w:tcPr>
          <w:p>
            <w:pPr>
              <w:pStyle w:val="TableContents"/>
              <w:spacing w:before="0" w:after="283"/>
              <w:rPr>
                <w:rFonts w:ascii="Times New Roman" w:hAnsi="Times New Roman"/>
                <w:sz w:val="20"/>
              </w:rPr>
            </w:pPr>
            <w:r>
              <w:rPr>
                <w:rFonts w:ascii="Times New Roman" w:hAnsi="Times New Roman"/>
                <w:sz w:val="20"/>
              </w:rPr>
              <w:t>Gold collar</w:t>
            </w:r>
          </w:p>
        </w:tc>
        <w:tc>
          <w:tcPr>
            <w:tcW w:w="3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4644" w:type="dxa"/>
            <w:tcBorders/>
            <w:shd w:fill="auto"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38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5,192</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5,192</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auto" w:val="clear"/>
            <w:vAlign w:val="bottom"/>
          </w:tcPr>
          <w:p>
            <w:pPr>
              <w:pStyle w:val="TableContents"/>
              <w:spacing w:before="0" w:after="283"/>
              <w:rPr/>
            </w:pPr>
            <w:r>
              <w:rPr/>
              <w:t>  </w:t>
            </w:r>
          </w:p>
        </w:tc>
      </w:tr>
      <w:tr>
        <w:trPr/>
        <w:tc>
          <w:tcPr>
            <w:tcW w:w="4644"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pBdr>
                <w:top w:val="single" w:sz="2" w:space="1" w:color="000000"/>
              </w:pBdr>
              <w:spacing w:before="0" w:after="283"/>
              <w:rPr/>
            </w:pPr>
            <w:r>
              <w:rPr/>
              <w:t> </w:t>
            </w:r>
          </w:p>
        </w:tc>
        <w:tc>
          <w:tcPr>
            <w:tcW w:w="94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29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298"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64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88"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5,192</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5,192</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9" w:type="dxa"/>
            <w:tcBorders/>
            <w:shd w:fill="CCEEFF" w:val="clear"/>
            <w:vAlign w:val="bottom"/>
          </w:tcPr>
          <w:p>
            <w:pPr>
              <w:pStyle w:val="TableContents"/>
              <w:spacing w:before="0" w:after="283"/>
              <w:rPr/>
            </w:pPr>
            <w:r>
              <w:rPr/>
              <w:t>  </w:t>
            </w:r>
          </w:p>
        </w:tc>
      </w:tr>
      <w:tr>
        <w:trPr/>
        <w:tc>
          <w:tcPr>
            <w:tcW w:w="4644" w:type="dxa"/>
            <w:tcBorders/>
            <w:shd w:fill="auto" w:val="clear"/>
            <w:vAlign w:val="bottom"/>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pBdr>
                <w:top w:val="double" w:sz="6" w:space="1" w:color="000000"/>
              </w:pBdr>
              <w:spacing w:before="0" w:after="283"/>
              <w:rPr/>
            </w:pPr>
            <w:r>
              <w:rPr/>
              <w:t> </w:t>
            </w:r>
          </w:p>
        </w:tc>
        <w:tc>
          <w:tcPr>
            <w:tcW w:w="94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297"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298"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4613"/>
        <w:gridCol w:w="386"/>
        <w:gridCol w:w="250"/>
        <w:gridCol w:w="979"/>
        <w:gridCol w:w="120"/>
        <w:gridCol w:w="386"/>
        <w:gridCol w:w="125"/>
        <w:gridCol w:w="509"/>
        <w:gridCol w:w="120"/>
        <w:gridCol w:w="385"/>
        <w:gridCol w:w="142"/>
        <w:gridCol w:w="299"/>
        <w:gridCol w:w="120"/>
        <w:gridCol w:w="386"/>
        <w:gridCol w:w="142"/>
        <w:gridCol w:w="299"/>
        <w:gridCol w:w="127"/>
      </w:tblGrid>
      <w:tr>
        <w:trPr/>
        <w:tc>
          <w:tcPr>
            <w:tcW w:w="4613"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4613"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29" w:type="dxa"/>
            <w:gridSpan w:val="2"/>
            <w:vMerge w:val="restart"/>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 2011</w:t>
            </w:r>
          </w:p>
        </w:tc>
        <w:tc>
          <w:tcPr>
            <w:tcW w:w="120" w:type="dxa"/>
            <w:vMerge w:val="restart"/>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527"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Measurements Using</w:t>
            </w:r>
          </w:p>
        </w:tc>
        <w:tc>
          <w:tcPr>
            <w:tcW w:w="127" w:type="dxa"/>
            <w:tcBorders/>
            <w:shd w:fill="auto" w:val="clear"/>
            <w:vAlign w:val="bottom"/>
          </w:tcPr>
          <w:p>
            <w:pPr>
              <w:pStyle w:val="TableContents"/>
              <w:spacing w:before="0" w:after="283"/>
              <w:rPr/>
            </w:pPr>
            <w:r>
              <w:rPr/>
              <w:t> </w:t>
            </w:r>
          </w:p>
        </w:tc>
      </w:tr>
      <w:tr>
        <w:trPr/>
        <w:tc>
          <w:tcPr>
            <w:tcW w:w="461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Financial assets:</w:t>
            </w:r>
          </w:p>
        </w:tc>
        <w:tc>
          <w:tcPr>
            <w:tcW w:w="386" w:type="dxa"/>
            <w:tcBorders/>
            <w:shd w:fill="auto" w:val="clear"/>
            <w:vAlign w:val="bottom"/>
          </w:tcPr>
          <w:p>
            <w:pPr>
              <w:pStyle w:val="TableContents"/>
              <w:spacing w:before="0" w:after="283"/>
              <w:rPr/>
            </w:pPr>
            <w:r>
              <w:rPr/>
              <w:t>  </w:t>
            </w:r>
          </w:p>
        </w:tc>
        <w:tc>
          <w:tcPr>
            <w:tcW w:w="1229" w:type="dxa"/>
            <w:gridSpan w:val="2"/>
            <w:vMerge w:val="continue"/>
            <w:tcBorders>
              <w:bottom w:val="single" w:sz="2" w:space="0" w:color="000000"/>
            </w:tcBorders>
            <w:shd w:fill="auto" w:val="clear"/>
            <w:tcMar>
              <w:bottom w:w="28" w:type="dxa"/>
            </w:tcMar>
            <w:vAlign w:val="bottom"/>
          </w:tcPr>
          <w:p>
            <w:pPr>
              <w:pStyle w:val="Normal"/>
              <w:rPr/>
            </w:pPr>
            <w:r>
              <w:rPr/>
            </w:r>
          </w:p>
        </w:tc>
        <w:tc>
          <w:tcPr>
            <w:tcW w:w="120" w:type="dxa"/>
            <w:vMerge w:val="continue"/>
            <w:tcBorders/>
            <w:shd w:fill="auto" w:val="clear"/>
            <w:vAlign w:val="bottom"/>
          </w:tcPr>
          <w:p>
            <w:pPr>
              <w:pStyle w:val="Normal"/>
              <w:rPr/>
            </w:pPr>
            <w:r>
              <w:rPr/>
            </w:r>
          </w:p>
        </w:tc>
        <w:tc>
          <w:tcPr>
            <w:tcW w:w="386" w:type="dxa"/>
            <w:tcBorders/>
            <w:shd w:fill="auto" w:val="clear"/>
            <w:vAlign w:val="bottom"/>
          </w:tcPr>
          <w:p>
            <w:pPr>
              <w:pStyle w:val="TableContents"/>
              <w:spacing w:before="0" w:after="283"/>
              <w:rPr/>
            </w:pPr>
            <w:r>
              <w:rPr/>
              <w:t>  </w:t>
            </w:r>
          </w:p>
        </w:tc>
        <w:tc>
          <w:tcPr>
            <w:tcW w:w="6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1</w:t>
            </w:r>
          </w:p>
        </w:tc>
        <w:tc>
          <w:tcPr>
            <w:tcW w:w="12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4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2</w:t>
            </w:r>
          </w:p>
        </w:tc>
        <w:tc>
          <w:tcPr>
            <w:tcW w:w="12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4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Level 3</w:t>
            </w:r>
          </w:p>
        </w:tc>
        <w:tc>
          <w:tcPr>
            <w:tcW w:w="127" w:type="dxa"/>
            <w:tcBorders/>
            <w:shd w:fill="auto" w:val="clear"/>
            <w:vAlign w:val="bottom"/>
          </w:tcPr>
          <w:p>
            <w:pPr>
              <w:pStyle w:val="TableContents"/>
              <w:spacing w:before="0" w:after="283"/>
              <w:rPr/>
            </w:pPr>
            <w:r>
              <w:rPr/>
              <w:t> </w:t>
            </w:r>
          </w:p>
        </w:tc>
      </w:tr>
      <w:tr>
        <w:trPr/>
        <w:tc>
          <w:tcPr>
            <w:tcW w:w="4613" w:type="dxa"/>
            <w:tcBorders/>
            <w:shd w:fill="CCEEFF" w:val="clear"/>
          </w:tcPr>
          <w:p>
            <w:pPr>
              <w:pStyle w:val="TableContents"/>
              <w:spacing w:before="0" w:after="283"/>
              <w:rPr>
                <w:rFonts w:ascii="Times New Roman" w:hAnsi="Times New Roman"/>
                <w:sz w:val="20"/>
              </w:rPr>
            </w:pPr>
            <w:r>
              <w:rPr>
                <w:rFonts w:ascii="Times New Roman" w:hAnsi="Times New Roman"/>
                <w:sz w:val="20"/>
              </w:rPr>
              <w:t>Gold collar</w:t>
            </w:r>
          </w:p>
        </w:tc>
        <w:tc>
          <w:tcPr>
            <w:tcW w:w="3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613" w:type="dxa"/>
            <w:tcBorders/>
            <w:shd w:fill="auto" w:val="clear"/>
          </w:tcPr>
          <w:p>
            <w:pPr>
              <w:pStyle w:val="TableContents"/>
              <w:spacing w:before="0" w:after="283"/>
              <w:rPr>
                <w:rFonts w:ascii="Times New Roman" w:hAnsi="Times New Roman"/>
                <w:sz w:val="20"/>
              </w:rPr>
            </w:pPr>
            <w:r>
              <w:rPr>
                <w:rFonts w:ascii="Times New Roman" w:hAnsi="Times New Roman"/>
                <w:sz w:val="20"/>
              </w:rPr>
              <w:t>Marketable equity securities</w:t>
            </w:r>
          </w:p>
        </w:tc>
        <w:tc>
          <w:tcPr>
            <w:tcW w:w="38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9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4613"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pBdr>
                <w:top w:val="single" w:sz="2" w:space="1" w:color="000000"/>
              </w:pBdr>
              <w:spacing w:before="0" w:after="283"/>
              <w:rPr/>
            </w:pPr>
            <w:r>
              <w:rPr/>
              <w:t> </w:t>
            </w:r>
          </w:p>
        </w:tc>
        <w:tc>
          <w:tcPr>
            <w:tcW w:w="97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29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single" w:sz="2" w:space="1" w:color="000000"/>
              </w:pBdr>
              <w:spacing w:before="0" w:after="283"/>
              <w:rPr/>
            </w:pPr>
            <w:r>
              <w:rPr/>
              <w:t> </w:t>
            </w:r>
          </w:p>
        </w:tc>
        <w:tc>
          <w:tcPr>
            <w:tcW w:w="299" w:type="dxa"/>
            <w:tcBorders/>
            <w:shd w:fill="auto" w:val="clear"/>
            <w:vAlign w:val="bottom"/>
          </w:tcPr>
          <w:p>
            <w:pPr>
              <w:pStyle w:val="TableContents"/>
              <w:pBdr>
                <w:top w:val="single" w:sz="2"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r>
        <w:trPr/>
        <w:tc>
          <w:tcPr>
            <w:tcW w:w="461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86"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5,366</w:t>
            </w:r>
          </w:p>
        </w:tc>
        <w:tc>
          <w:tcPr>
            <w:tcW w:w="120"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r>
      <w:tr>
        <w:trPr/>
        <w:tc>
          <w:tcPr>
            <w:tcW w:w="4613" w:type="dxa"/>
            <w:tcBorders/>
            <w:shd w:fill="auto" w:val="clear"/>
            <w:vAlign w:val="bottom"/>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pBdr>
                <w:top w:val="double" w:sz="6" w:space="1" w:color="000000"/>
              </w:pBdr>
              <w:spacing w:before="0" w:after="283"/>
              <w:rPr/>
            </w:pPr>
            <w:r>
              <w:rPr/>
              <w:t> </w:t>
            </w:r>
          </w:p>
        </w:tc>
        <w:tc>
          <w:tcPr>
            <w:tcW w:w="97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29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pBdr>
                <w:top w:val="double" w:sz="6" w:space="1" w:color="000000"/>
              </w:pBdr>
              <w:spacing w:before="0" w:after="283"/>
              <w:rPr/>
            </w:pPr>
            <w:r>
              <w:rPr/>
              <w:t> </w:t>
            </w:r>
          </w:p>
        </w:tc>
        <w:tc>
          <w:tcPr>
            <w:tcW w:w="299" w:type="dxa"/>
            <w:tcBorders/>
            <w:shd w:fill="auto" w:val="clear"/>
            <w:vAlign w:val="bottom"/>
          </w:tcPr>
          <w:p>
            <w:pPr>
              <w:pStyle w:val="TableContents"/>
              <w:pBdr>
                <w:top w:val="double" w:sz="6" w:space="1" w:color="000000"/>
              </w:pBdr>
              <w:spacing w:before="0" w:after="283"/>
              <w:rPr/>
            </w:pPr>
            <w:r>
              <w:rPr/>
              <w:t> </w:t>
            </w:r>
          </w:p>
        </w:tc>
        <w:tc>
          <w:tcPr>
            <w:tcW w:w="127"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We measure the value of our gold collar under Level 2 inputs as defined by FASB ASC 820-10. The valuation is determined using widely accepted valuation techniques which reflect the contractual terms of the transaction, including the period to maturity and uses observable market-based inputs including gold forward curves and implied volatilities. We measure the value of our marketable equity securities under a Level 1 input. These assets are publicly traded equity securities for which market prices are readily available. There were no transfers of assets in or out of Level 1 or Level 2 fair value measurements in the periods presented. </w:t>
      </w:r>
    </w:p>
    <w:p>
      <w:pPr>
        <w:pStyle w:val="TextBody"/>
        <w:spacing w:before="270" w:after="0"/>
        <w:rPr>
          <w:rFonts w:ascii="Times New Roman" w:hAnsi="Times New Roman"/>
          <w:b/>
          <w:sz w:val="20"/>
        </w:rPr>
      </w:pPr>
      <w:r>
        <w:rPr>
          <w:rFonts w:ascii="Times New Roman" w:hAnsi="Times New Roman"/>
          <w:b/>
          <w:sz w:val="20"/>
        </w:rPr>
        <w:t xml:space="preserve">Note M: 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Our earnings and financial position are affected by changes in gold values. In the current quarter,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December 31, 2011, the notional amount of the gold collars recorded on our balance sheet was 19,000 ounces of gold.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table below presents the fair value of our derivative financial instruments on the Condensed Consolidated Balance Sheet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2338"/>
        <w:gridCol w:w="137"/>
        <w:gridCol w:w="60"/>
        <w:gridCol w:w="2735"/>
        <w:gridCol w:w="120"/>
        <w:gridCol w:w="137"/>
        <w:gridCol w:w="431"/>
        <w:gridCol w:w="1674"/>
        <w:gridCol w:w="123"/>
      </w:tblGrid>
      <w:tr>
        <w:trPr/>
        <w:tc>
          <w:tcPr>
            <w:tcW w:w="23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67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233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795"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1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Fair Value of Derivative Instruments</w:t>
            </w:r>
          </w:p>
        </w:tc>
        <w:tc>
          <w:tcPr>
            <w:tcW w:w="123" w:type="dxa"/>
            <w:tcBorders/>
            <w:shd w:fill="auto" w:val="clear"/>
            <w:vAlign w:val="bottom"/>
          </w:tcPr>
          <w:p>
            <w:pPr>
              <w:pStyle w:val="TableContents"/>
              <w:spacing w:before="0" w:after="283"/>
              <w:rPr/>
            </w:pPr>
            <w:r>
              <w:rPr/>
              <w:t> </w:t>
            </w:r>
          </w:p>
        </w:tc>
      </w:tr>
      <w:tr>
        <w:trPr/>
        <w:tc>
          <w:tcPr>
            <w:tcW w:w="2338"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Derivative Instrument</w:t>
            </w:r>
          </w:p>
        </w:tc>
        <w:tc>
          <w:tcPr>
            <w:tcW w:w="137" w:type="dxa"/>
            <w:tcBorders/>
            <w:shd w:fill="auto" w:val="clear"/>
            <w:vAlign w:val="bottom"/>
          </w:tcPr>
          <w:p>
            <w:pPr>
              <w:pStyle w:val="TableContents"/>
              <w:spacing w:before="0" w:after="283"/>
              <w:rPr/>
            </w:pPr>
            <w:r>
              <w:rPr/>
              <w:t>  </w:t>
            </w:r>
          </w:p>
        </w:tc>
        <w:tc>
          <w:tcPr>
            <w:tcW w:w="2795" w:type="dxa"/>
            <w:gridSpan w:val="2"/>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Balance Sheet Location</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10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 2011</w:t>
            </w:r>
          </w:p>
        </w:tc>
        <w:tc>
          <w:tcPr>
            <w:tcW w:w="123" w:type="dxa"/>
            <w:tcBorders/>
            <w:shd w:fill="auto" w:val="clear"/>
            <w:vAlign w:val="bottom"/>
          </w:tcPr>
          <w:p>
            <w:pPr>
              <w:pStyle w:val="TableContents"/>
              <w:spacing w:before="0" w:after="283"/>
              <w:rPr/>
            </w:pPr>
            <w:r>
              <w:rPr/>
              <w:t> </w:t>
            </w:r>
          </w:p>
        </w:tc>
      </w:tr>
      <w:tr>
        <w:trPr/>
        <w:tc>
          <w:tcPr>
            <w:tcW w:w="2338" w:type="dxa"/>
            <w:tcBorders/>
            <w:shd w:fill="CCEEFF" w:val="clear"/>
          </w:tcPr>
          <w:p>
            <w:pPr>
              <w:pStyle w:val="TableContents"/>
              <w:spacing w:before="0" w:after="283"/>
              <w:rPr>
                <w:rFonts w:ascii="Times New Roman" w:hAnsi="Times New Roman"/>
                <w:sz w:val="20"/>
              </w:rPr>
            </w:pPr>
            <w:r>
              <w:rPr>
                <w:rFonts w:ascii="Times New Roman" w:hAnsi="Times New Roman"/>
                <w:sz w:val="20"/>
              </w:rPr>
              <w:t>Non-designated derivatives:</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3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sz w:val="4"/>
                <w:szCs w:val="4"/>
              </w:rPr>
            </w:pPr>
            <w:r>
              <w:rPr>
                <w:sz w:val="4"/>
                <w:szCs w:val="4"/>
              </w:rPr>
            </w:r>
          </w:p>
        </w:tc>
        <w:tc>
          <w:tcPr>
            <w:tcW w:w="1674"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2338" w:type="dxa"/>
            <w:tcBorders/>
            <w:shd w:fill="auto" w:val="clear"/>
          </w:tcPr>
          <w:p>
            <w:pPr>
              <w:pStyle w:val="TableContents"/>
              <w:spacing w:before="0" w:after="283"/>
              <w:rPr>
                <w:rFonts w:ascii="Times New Roman" w:hAnsi="Times New Roman"/>
                <w:sz w:val="20"/>
              </w:rPr>
            </w:pPr>
            <w:r>
              <w:rPr>
                <w:rFonts w:ascii="Times New Roman" w:hAnsi="Times New Roman"/>
                <w:sz w:val="20"/>
              </w:rPr>
              <w:t>Gold Collar</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Prepaid expenses and other assets</w:t>
            </w:r>
          </w:p>
        </w:tc>
        <w:tc>
          <w:tcPr>
            <w:tcW w:w="12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table below presents the effect of our derivative financial instruments on the Condensed Consolidated Statement of Operations for the period ended December 31, 2011 (in thousands):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2939"/>
        <w:gridCol w:w="394"/>
        <w:gridCol w:w="77"/>
        <w:gridCol w:w="1480"/>
        <w:gridCol w:w="120"/>
        <w:gridCol w:w="394"/>
        <w:gridCol w:w="403"/>
        <w:gridCol w:w="1818"/>
        <w:gridCol w:w="130"/>
      </w:tblGrid>
      <w:tr>
        <w:trPr/>
        <w:tc>
          <w:tcPr>
            <w:tcW w:w="293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293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557"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2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(Gains) Losses Recognized in Income</w:t>
            </w:r>
          </w:p>
        </w:tc>
        <w:tc>
          <w:tcPr>
            <w:tcW w:w="130" w:type="dxa"/>
            <w:tcBorders/>
            <w:shd w:fill="auto" w:val="clear"/>
            <w:vAlign w:val="bottom"/>
          </w:tcPr>
          <w:p>
            <w:pPr>
              <w:pStyle w:val="TableContents"/>
              <w:spacing w:before="0" w:after="283"/>
              <w:rPr/>
            </w:pPr>
            <w:r>
              <w:rPr/>
              <w:t> </w:t>
            </w:r>
          </w:p>
        </w:tc>
      </w:tr>
      <w:tr>
        <w:trPr/>
        <w:tc>
          <w:tcPr>
            <w:tcW w:w="2939"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Derivative Instrument</w:t>
            </w:r>
          </w:p>
        </w:tc>
        <w:tc>
          <w:tcPr>
            <w:tcW w:w="394" w:type="dxa"/>
            <w:tcBorders/>
            <w:shd w:fill="auto" w:val="clear"/>
            <w:vAlign w:val="bottom"/>
          </w:tcPr>
          <w:p>
            <w:pPr>
              <w:pStyle w:val="TableContents"/>
              <w:spacing w:before="0" w:after="283"/>
              <w:rPr/>
            </w:pPr>
            <w:r>
              <w:rPr/>
              <w:t>  </w:t>
            </w:r>
          </w:p>
        </w:tc>
        <w:tc>
          <w:tcPr>
            <w:tcW w:w="15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Location of (Gain) or Loss</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22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30" w:type="dxa"/>
            <w:tcBorders/>
            <w:shd w:fill="auto" w:val="clear"/>
            <w:vAlign w:val="bottom"/>
          </w:tcPr>
          <w:p>
            <w:pPr>
              <w:pStyle w:val="TableContents"/>
              <w:spacing w:before="0" w:after="283"/>
              <w:rPr/>
            </w:pPr>
            <w:r>
              <w:rPr/>
              <w:t> </w:t>
            </w:r>
          </w:p>
        </w:tc>
      </w:tr>
      <w:tr>
        <w:trPr/>
        <w:tc>
          <w:tcPr>
            <w:tcW w:w="2939" w:type="dxa"/>
            <w:tcBorders/>
            <w:shd w:fill="CCEEFF" w:val="clear"/>
          </w:tcPr>
          <w:p>
            <w:pPr>
              <w:pStyle w:val="TableContents"/>
              <w:spacing w:before="0" w:after="283"/>
              <w:rPr>
                <w:rFonts w:ascii="Times New Roman" w:hAnsi="Times New Roman"/>
                <w:sz w:val="20"/>
              </w:rPr>
            </w:pPr>
            <w:r>
              <w:rPr>
                <w:rFonts w:ascii="Times New Roman" w:hAnsi="Times New Roman"/>
                <w:sz w:val="20"/>
              </w:rPr>
              <w:t>Non-designated derivatives:</w:t>
            </w:r>
          </w:p>
        </w:tc>
        <w:tc>
          <w:tcPr>
            <w:tcW w:w="394"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8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4"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sz w:val="4"/>
                <w:szCs w:val="4"/>
              </w:rPr>
            </w:pPr>
            <w:r>
              <w:rPr>
                <w:sz w:val="4"/>
                <w:szCs w:val="4"/>
              </w:rPr>
            </w:r>
          </w:p>
        </w:tc>
        <w:tc>
          <w:tcPr>
            <w:tcW w:w="1818"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2939" w:type="dxa"/>
            <w:tcBorders/>
            <w:shd w:fill="auto" w:val="clear"/>
          </w:tcPr>
          <w:p>
            <w:pPr>
              <w:pStyle w:val="TableContents"/>
              <w:spacing w:before="0" w:after="283"/>
              <w:rPr>
                <w:rFonts w:ascii="Times New Roman" w:hAnsi="Times New Roman"/>
                <w:sz w:val="20"/>
              </w:rPr>
            </w:pPr>
            <w:r>
              <w:rPr>
                <w:rFonts w:ascii="Times New Roman" w:hAnsi="Times New Roman"/>
                <w:sz w:val="20"/>
              </w:rPr>
              <w:t>Gold Collar</w:t>
            </w:r>
          </w:p>
        </w:tc>
        <w:tc>
          <w:tcPr>
            <w:tcW w:w="394"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Other income</w:t>
            </w:r>
          </w:p>
        </w:tc>
        <w:tc>
          <w:tcPr>
            <w:tcW w:w="120"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8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(1,073</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270" w:after="0"/>
        <w:rPr>
          <w:rFonts w:ascii="Times New Roman" w:hAnsi="Times New Roman"/>
          <w:b/>
          <w:sz w:val="20"/>
        </w:rPr>
      </w:pPr>
      <w:r>
        <w:rPr>
          <w:rFonts w:ascii="Times New Roman" w:hAnsi="Times New Roman"/>
          <w:b/>
          <w:sz w:val="20"/>
        </w:rPr>
        <w:t xml:space="preserve">Note N: Condensed Consolidating Financial Information </w:t>
      </w:r>
    </w:p>
    <w:p>
      <w:pPr>
        <w:pStyle w:val="TextBody"/>
        <w:spacing w:before="90" w:after="0"/>
        <w:rPr>
          <w:rFonts w:ascii="Times New Roman" w:hAnsi="Times New Roman"/>
          <w:sz w:val="20"/>
        </w:rPr>
      </w:pPr>
      <w:r>
        <w:rPr>
          <w:rFonts w:ascii="Times New Roman" w:hAnsi="Times New Roman"/>
          <w:sz w:val="20"/>
        </w:rPr>
        <w:t xml:space="preserve">On February 3, 2012,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 </w:t>
      </w:r>
    </w:p>
    <w:p>
      <w:pPr>
        <w:pStyle w:val="TextBody"/>
        <w:spacing w:before="180" w:after="0"/>
        <w:rPr>
          <w:rFonts w:ascii="Times New Roman" w:hAnsi="Times New Roman"/>
          <w:sz w:val="20"/>
        </w:rPr>
      </w:pPr>
      <w:r>
        <w:rPr>
          <w:rFonts w:ascii="Times New Roman" w:hAnsi="Times New Roman"/>
          <w:sz w:val="20"/>
        </w:rPr>
        <w:t xml:space="preserve">In accordance with Rule 3-10(d) of Regulation S-X, the following presents condensed consolidating financial information as of December 31, 2011 and 2010, and September 30, 2011 and for current and prior year fiscal quarters for EZCORP, Inc. (the Parent), each of the Parents domestic subsidiaries (the Guarantor Subsidiaries) on a combined basis and each of the Parents other subsidiaries (the Non-Guarantor Subsidiaries) on a combined basis. Eliminating entries presented are necessary to combine the groups of entities.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80"/>
        <w:gridCol w:w="202"/>
        <w:gridCol w:w="125"/>
        <w:gridCol w:w="775"/>
        <w:gridCol w:w="125"/>
        <w:gridCol w:w="159"/>
        <w:gridCol w:w="125"/>
        <w:gridCol w:w="732"/>
        <w:gridCol w:w="125"/>
        <w:gridCol w:w="159"/>
        <w:gridCol w:w="129"/>
        <w:gridCol w:w="613"/>
        <w:gridCol w:w="124"/>
        <w:gridCol w:w="159"/>
        <w:gridCol w:w="125"/>
        <w:gridCol w:w="775"/>
        <w:gridCol w:w="125"/>
        <w:gridCol w:w="159"/>
        <w:gridCol w:w="125"/>
        <w:gridCol w:w="732"/>
        <w:gridCol w:w="132"/>
      </w:tblGrid>
      <w:tr>
        <w:trPr/>
        <w:tc>
          <w:tcPr>
            <w:tcW w:w="448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 2011</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Subsidiary</w:t>
            </w:r>
            <w:r>
              <w:rPr/>
              <w:br/>
            </w:r>
            <w:r>
              <w:rPr>
                <w:rFonts w:ascii="Times New Roman" w:hAnsi="Times New Roman"/>
                <w:sz w:val="14"/>
              </w:rPr>
              <w:t xml:space="preserve">Guarantors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6,416</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22,868</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140,386</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9,674</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150,060</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10,386</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2,290</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12,676</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3,512</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27,061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1,532</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28,593</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6,206</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90,175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10,144</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100,319</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12,747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18,169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86,590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(86,590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35,777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3,120</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38,914</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100,057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249,285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33,380</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382,722</w:t>
            </w:r>
          </w:p>
        </w:tc>
        <w:tc>
          <w:tcPr>
            <w:tcW w:w="132" w:type="dxa"/>
            <w:tcBorders/>
            <w:shd w:fill="auto"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49,616</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117,820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84,303</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44,573</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62,009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22,504</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84,513</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203,507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8,968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212,475</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3,827</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28,349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254,602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631,474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68,679</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49,700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7,705</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57,451</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5,845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6,152</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(219,474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193,339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26,145</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21,667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12,672</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(197,761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243,728</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30,318</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76,275</w:t>
            </w:r>
          </w:p>
        </w:tc>
        <w:tc>
          <w:tcPr>
            <w:tcW w:w="132" w:type="dxa"/>
            <w:tcBorders/>
            <w:shd w:fill="CCEEFF"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8,724</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1,998</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(150,780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247,097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31,189</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127,496</w:t>
            </w:r>
          </w:p>
        </w:tc>
        <w:tc>
          <w:tcPr>
            <w:tcW w:w="132" w:type="dxa"/>
            <w:tcBorders/>
            <w:shd w:fill="CCEEFF"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221,534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100,431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50,818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(128,864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243,919</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180,299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285,039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(3,891</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461,447</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(9,438</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(7,487</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405,382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384,377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37,490</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698,383</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254,602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631,474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68,679</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(128,876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825,879</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4565"/>
        <w:gridCol w:w="204"/>
        <w:gridCol w:w="125"/>
        <w:gridCol w:w="785"/>
        <w:gridCol w:w="125"/>
        <w:gridCol w:w="160"/>
        <w:gridCol w:w="125"/>
        <w:gridCol w:w="741"/>
        <w:gridCol w:w="125"/>
        <w:gridCol w:w="160"/>
        <w:gridCol w:w="129"/>
        <w:gridCol w:w="621"/>
        <w:gridCol w:w="124"/>
        <w:gridCol w:w="160"/>
        <w:gridCol w:w="125"/>
        <w:gridCol w:w="650"/>
        <w:gridCol w:w="125"/>
        <w:gridCol w:w="160"/>
        <w:gridCol w:w="125"/>
        <w:gridCol w:w="741"/>
        <w:gridCol w:w="130"/>
      </w:tblGrid>
      <w:tr>
        <w:trPr/>
        <w:tc>
          <w:tcPr>
            <w:tcW w:w="45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 2010</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06"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1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 xml:space="preserve">Guarantors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86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3,497</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23,908</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117,583</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6,805</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124,388</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10,451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11,953</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23,045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24,068</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6,026</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6,141</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71,874</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5,803</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77,677</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23,248</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receivable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17,680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3,019</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20,724</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36,568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258,682</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21,764</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317,014</w:t>
            </w:r>
          </w:p>
        </w:tc>
        <w:tc>
          <w:tcPr>
            <w:tcW w:w="130" w:type="dxa"/>
            <w:tcBorders/>
            <w:shd w:fill="CCEEFF" w:val="clear"/>
            <w:vAlign w:val="bottom"/>
          </w:tcPr>
          <w:p>
            <w:pPr>
              <w:pStyle w:val="TableContents"/>
              <w:spacing w:before="0" w:after="283"/>
              <w:rPr/>
            </w:pPr>
            <w:r>
              <w:rPr/>
              <w:t>  </w:t>
            </w:r>
          </w:p>
        </w:tc>
      </w:tr>
      <w:tr>
        <w:trPr>
          <w:trHeight w:val="120" w:hRule="atLeast"/>
        </w:trPr>
        <w:tc>
          <w:tcPr>
            <w:tcW w:w="4565" w:type="dxa"/>
            <w:tcBorders/>
            <w:shd w:fill="auto" w:val="clear"/>
            <w:vAlign w:val="center"/>
          </w:tcPr>
          <w:p>
            <w:pPr>
              <w:pStyle w:val="TableContents"/>
              <w:spacing w:before="0" w:after="283"/>
              <w:rPr>
                <w:sz w:val="4"/>
                <w:szCs w:val="4"/>
              </w:rPr>
            </w:pPr>
            <w:r>
              <w:rPr>
                <w:sz w:val="4"/>
                <w:szCs w:val="4"/>
              </w:rPr>
            </w:r>
          </w:p>
        </w:tc>
        <w:tc>
          <w:tcPr>
            <w:tcW w:w="1239" w:type="dxa"/>
            <w:gridSpan w:val="4"/>
            <w:tcBorders/>
            <w:shd w:fill="auto" w:val="clear"/>
            <w:vAlign w:val="center"/>
          </w:tcPr>
          <w:p>
            <w:pPr>
              <w:pStyle w:val="TableContents"/>
              <w:spacing w:before="0" w:after="283"/>
              <w:rPr>
                <w:sz w:val="4"/>
                <w:szCs w:val="4"/>
              </w:rPr>
            </w:pPr>
            <w:r>
              <w:rPr>
                <w:sz w:val="4"/>
                <w:szCs w:val="4"/>
              </w:rPr>
            </w:r>
          </w:p>
        </w:tc>
        <w:tc>
          <w:tcPr>
            <w:tcW w:w="1151" w:type="dxa"/>
            <w:gridSpan w:val="4"/>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63,275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45,684</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108,959</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76,999</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52,042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14,599</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66,641</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 non-current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121,048</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7,133</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128,181</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21,985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2,149</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24,252</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178,081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507,415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45,645</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(86,094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645,047</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8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2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stockholders equity:</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44,651</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4,228</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48,986</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(237,528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203,963</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33,515</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13,107</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5,267</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(214,314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249,246</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35,221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70,203</w:t>
            </w:r>
          </w:p>
        </w:tc>
        <w:tc>
          <w:tcPr>
            <w:tcW w:w="130" w:type="dxa"/>
            <w:tcBorders/>
            <w:shd w:fill="auto" w:val="clear"/>
            <w:vAlign w:val="bottom"/>
          </w:tcPr>
          <w:p>
            <w:pPr>
              <w:pStyle w:val="TableContents"/>
              <w:spacing w:before="0" w:after="283"/>
              <w:rPr/>
            </w:pPr>
            <w:r>
              <w:rPr/>
              <w:t>  </w:t>
            </w:r>
          </w:p>
        </w:tc>
      </w:tr>
      <w:tr>
        <w:trPr>
          <w:trHeight w:val="120" w:hRule="atLeast"/>
        </w:trPr>
        <w:tc>
          <w:tcPr>
            <w:tcW w:w="4565" w:type="dxa"/>
            <w:tcBorders/>
            <w:shd w:fill="auto" w:val="clear"/>
            <w:vAlign w:val="center"/>
          </w:tcPr>
          <w:p>
            <w:pPr>
              <w:pStyle w:val="TableContents"/>
              <w:spacing w:before="0" w:after="283"/>
              <w:rPr>
                <w:sz w:val="4"/>
                <w:szCs w:val="4"/>
              </w:rPr>
            </w:pPr>
            <w:r>
              <w:rPr>
                <w:sz w:val="4"/>
                <w:szCs w:val="4"/>
              </w:rPr>
            </w:r>
          </w:p>
        </w:tc>
        <w:tc>
          <w:tcPr>
            <w:tcW w:w="1239" w:type="dxa"/>
            <w:gridSpan w:val="4"/>
            <w:tcBorders/>
            <w:shd w:fill="auto" w:val="clear"/>
            <w:vAlign w:val="center"/>
          </w:tcPr>
          <w:p>
            <w:pPr>
              <w:pStyle w:val="TableContents"/>
              <w:spacing w:before="0" w:after="283"/>
              <w:rPr>
                <w:sz w:val="4"/>
                <w:szCs w:val="4"/>
              </w:rPr>
            </w:pPr>
            <w:r>
              <w:rPr>
                <w:sz w:val="4"/>
                <w:szCs w:val="4"/>
              </w:rPr>
            </w:r>
          </w:p>
        </w:tc>
        <w:tc>
          <w:tcPr>
            <w:tcW w:w="1151" w:type="dxa"/>
            <w:gridSpan w:val="4"/>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2,419</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(200,224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251,682</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35,233</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86,741</w:t>
            </w:r>
          </w:p>
        </w:tc>
        <w:tc>
          <w:tcPr>
            <w:tcW w:w="130" w:type="dxa"/>
            <w:tcBorders/>
            <w:shd w:fill="auto" w:val="clear"/>
            <w:vAlign w:val="bottom"/>
          </w:tcPr>
          <w:p>
            <w:pPr>
              <w:pStyle w:val="TableContents"/>
              <w:spacing w:before="0" w:after="283"/>
              <w:rPr/>
            </w:pPr>
            <w:r>
              <w:rPr/>
              <w:t>  </w:t>
            </w:r>
          </w:p>
        </w:tc>
      </w:tr>
      <w:tr>
        <w:trPr>
          <w:trHeight w:val="120" w:hRule="atLeast"/>
        </w:trPr>
        <w:tc>
          <w:tcPr>
            <w:tcW w:w="4565" w:type="dxa"/>
            <w:tcBorders/>
            <w:shd w:fill="auto" w:val="clear"/>
            <w:vAlign w:val="center"/>
          </w:tcPr>
          <w:p>
            <w:pPr>
              <w:pStyle w:val="TableContents"/>
              <w:spacing w:before="0" w:after="283"/>
              <w:rPr>
                <w:sz w:val="4"/>
                <w:szCs w:val="4"/>
              </w:rPr>
            </w:pPr>
            <w:r>
              <w:rPr>
                <w:sz w:val="4"/>
                <w:szCs w:val="4"/>
              </w:rPr>
            </w:r>
          </w:p>
        </w:tc>
        <w:tc>
          <w:tcPr>
            <w:tcW w:w="1239" w:type="dxa"/>
            <w:gridSpan w:val="4"/>
            <w:tcBorders/>
            <w:shd w:fill="auto" w:val="clear"/>
            <w:vAlign w:val="center"/>
          </w:tcPr>
          <w:p>
            <w:pPr>
              <w:pStyle w:val="TableContents"/>
              <w:spacing w:before="0" w:after="283"/>
              <w:rPr>
                <w:sz w:val="4"/>
                <w:szCs w:val="4"/>
              </w:rPr>
            </w:pPr>
            <w:r>
              <w:rPr>
                <w:sz w:val="4"/>
                <w:szCs w:val="4"/>
              </w:rPr>
            </w:r>
          </w:p>
        </w:tc>
        <w:tc>
          <w:tcPr>
            <w:tcW w:w="1151" w:type="dxa"/>
            <w:gridSpan w:val="4"/>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8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2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41"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4565" w:type="dxa"/>
            <w:tcBorders/>
            <w:shd w:fill="auto" w:val="clear"/>
            <w:vAlign w:val="center"/>
          </w:tcPr>
          <w:p>
            <w:pPr>
              <w:pStyle w:val="TableContents"/>
              <w:spacing w:before="0" w:after="283"/>
              <w:rPr>
                <w:sz w:val="4"/>
                <w:szCs w:val="4"/>
              </w:rPr>
            </w:pPr>
            <w:r>
              <w:rPr>
                <w:sz w:val="4"/>
                <w:szCs w:val="4"/>
              </w:rPr>
            </w:r>
          </w:p>
        </w:tc>
        <w:tc>
          <w:tcPr>
            <w:tcW w:w="1239" w:type="dxa"/>
            <w:gridSpan w:val="4"/>
            <w:tcBorders/>
            <w:shd w:fill="auto" w:val="clear"/>
            <w:vAlign w:val="center"/>
          </w:tcPr>
          <w:p>
            <w:pPr>
              <w:pStyle w:val="TableContents"/>
              <w:spacing w:before="0" w:after="283"/>
              <w:rPr>
                <w:sz w:val="4"/>
                <w:szCs w:val="4"/>
              </w:rPr>
            </w:pPr>
            <w:r>
              <w:rPr>
                <w:sz w:val="4"/>
                <w:szCs w:val="4"/>
              </w:rPr>
            </w:r>
          </w:p>
        </w:tc>
        <w:tc>
          <w:tcPr>
            <w:tcW w:w="1151" w:type="dxa"/>
            <w:gridSpan w:val="4"/>
            <w:tcBorders/>
            <w:shd w:fill="auto" w:val="clear"/>
            <w:vAlign w:val="center"/>
          </w:tcPr>
          <w:p>
            <w:pPr>
              <w:pStyle w:val="TableContents"/>
              <w:spacing w:before="0" w:after="283"/>
              <w:rPr>
                <w:sz w:val="4"/>
                <w:szCs w:val="4"/>
              </w:rPr>
            </w:pPr>
            <w:r>
              <w:rPr>
                <w:sz w:val="4"/>
                <w:szCs w:val="4"/>
              </w:rPr>
            </w:r>
          </w:p>
        </w:tc>
        <w:tc>
          <w:tcPr>
            <w:tcW w:w="1034" w:type="dxa"/>
            <w:gridSpan w:val="4"/>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2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41"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213,952</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86,641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15,340</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229,789</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160,665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169,597</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(2,897</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327,365</w:t>
            </w:r>
          </w:p>
        </w:tc>
        <w:tc>
          <w:tcPr>
            <w:tcW w:w="130" w:type="dxa"/>
            <w:tcBorders/>
            <w:shd w:fill="auto" w:val="clear"/>
            <w:vAlign w:val="bottom"/>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378,305</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255,733</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10,412</w:t>
            </w:r>
          </w:p>
        </w:tc>
        <w:tc>
          <w:tcPr>
            <w:tcW w:w="124"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(86,144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558,306</w:t>
            </w:r>
          </w:p>
        </w:tc>
        <w:tc>
          <w:tcPr>
            <w:tcW w:w="130" w:type="dxa"/>
            <w:tcBorders/>
            <w:shd w:fill="auto"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8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2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41"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65"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178,081</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507,415</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45,645</w:t>
            </w:r>
          </w:p>
        </w:tc>
        <w:tc>
          <w:tcPr>
            <w:tcW w:w="124"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(86,094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645,047</w:t>
            </w:r>
          </w:p>
        </w:tc>
        <w:tc>
          <w:tcPr>
            <w:tcW w:w="130" w:type="dxa"/>
            <w:tcBorders/>
            <w:shd w:fill="CCEEFF" w:val="clear"/>
            <w:vAlign w:val="bottom"/>
          </w:tcPr>
          <w:p>
            <w:pPr>
              <w:pStyle w:val="TableContents"/>
              <w:spacing w:before="0" w:after="283"/>
              <w:rPr/>
            </w:pPr>
            <w:r>
              <w:rPr/>
              <w:t>  </w:t>
            </w:r>
          </w:p>
        </w:tc>
      </w:tr>
      <w:tr>
        <w:trPr/>
        <w:tc>
          <w:tcPr>
            <w:tcW w:w="4565"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8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2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41"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4480"/>
        <w:gridCol w:w="202"/>
        <w:gridCol w:w="125"/>
        <w:gridCol w:w="775"/>
        <w:gridCol w:w="125"/>
        <w:gridCol w:w="159"/>
        <w:gridCol w:w="125"/>
        <w:gridCol w:w="732"/>
        <w:gridCol w:w="125"/>
        <w:gridCol w:w="159"/>
        <w:gridCol w:w="129"/>
        <w:gridCol w:w="613"/>
        <w:gridCol w:w="124"/>
        <w:gridCol w:w="159"/>
        <w:gridCol w:w="125"/>
        <w:gridCol w:w="775"/>
        <w:gridCol w:w="125"/>
        <w:gridCol w:w="159"/>
        <w:gridCol w:w="125"/>
        <w:gridCol w:w="732"/>
        <w:gridCol w:w="132"/>
      </w:tblGrid>
      <w:tr>
        <w:trPr/>
        <w:tc>
          <w:tcPr>
            <w:tcW w:w="448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 2011</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39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4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90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8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Current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20,860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3,109</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Pawn loans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134,457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10,861</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145,318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9,304</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11,389</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3,222</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24,792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1,663</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81,277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9,096</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12,728</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18,125</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Receivable from affiliates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66,450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receivable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25,976</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4,606</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30,611</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245,477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31,553</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356,237</w:t>
            </w:r>
          </w:p>
        </w:tc>
        <w:tc>
          <w:tcPr>
            <w:tcW w:w="132" w:type="dxa"/>
            <w:tcBorders/>
            <w:shd w:fill="CCEEFF"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Investments in unconsolidated affiliates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71,958</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48,361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120,319</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Investments in subsidiaries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84,303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44,323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(128,626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59,434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19,064</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 non-current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163,897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9,309</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173,206</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 net</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2,147</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22,219</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3,822</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28,190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237,615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583,711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63,748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(128,624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other accrued expenses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50,871</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6,516</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57,400</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5,711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6,176</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payables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(199,190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178,375</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20,761</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payable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9,552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(3,709</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(189,625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229,807</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24,033</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64,269</w:t>
            </w:r>
          </w:p>
        </w:tc>
        <w:tc>
          <w:tcPr>
            <w:tcW w:w="132" w:type="dxa"/>
            <w:tcBorders/>
            <w:shd w:fill="auto"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liability</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5,940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1,563</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828</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8,331</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2,102</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(166,185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233,472</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24,861</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92,202</w:t>
            </w:r>
          </w:p>
        </w:tc>
        <w:tc>
          <w:tcPr>
            <w:tcW w:w="132" w:type="dxa"/>
            <w:tcBorders/>
            <w:shd w:fill="auto" w:val="clear"/>
            <w:vAlign w:val="bottom"/>
          </w:tcPr>
          <w:p>
            <w:pPr>
              <w:pStyle w:val="TableContents"/>
              <w:spacing w:before="0" w:after="283"/>
              <w:rPr/>
            </w:pPr>
            <w:r>
              <w:rPr/>
              <w:t>  </w:t>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7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2"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4480" w:type="dxa"/>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141" w:type="dxa"/>
            <w:gridSpan w:val="4"/>
            <w:tcBorders/>
            <w:shd w:fill="auto" w:val="clear"/>
            <w:vAlign w:val="center"/>
          </w:tcPr>
          <w:p>
            <w:pPr>
              <w:pStyle w:val="TableContents"/>
              <w:spacing w:before="0" w:after="283"/>
              <w:rPr>
                <w:sz w:val="4"/>
                <w:szCs w:val="4"/>
              </w:rPr>
            </w:pPr>
            <w:r>
              <w:rPr>
                <w:sz w:val="4"/>
                <w:szCs w:val="4"/>
              </w:rPr>
            </w:r>
          </w:p>
        </w:tc>
        <w:tc>
          <w:tcPr>
            <w:tcW w:w="1025" w:type="dxa"/>
            <w:gridSpan w:val="4"/>
            <w:tcBorders/>
            <w:shd w:fill="auto" w:val="clear"/>
            <w:vAlign w:val="center"/>
          </w:tcPr>
          <w:p>
            <w:pPr>
              <w:pStyle w:val="TableContents"/>
              <w:spacing w:before="0" w:after="283"/>
              <w:rPr>
                <w:sz w:val="4"/>
                <w:szCs w:val="4"/>
              </w:rPr>
            </w:pPr>
            <w:r>
              <w:rPr>
                <w:sz w:val="4"/>
                <w:szCs w:val="4"/>
              </w:rPr>
            </w:r>
          </w:p>
        </w:tc>
        <w:tc>
          <w:tcPr>
            <w:tcW w:w="1184" w:type="dxa"/>
            <w:gridSpan w:val="4"/>
            <w:tcBorders/>
            <w:shd w:fill="auto" w:val="clear"/>
            <w:vAlign w:val="center"/>
          </w:tcPr>
          <w:p>
            <w:pPr>
              <w:pStyle w:val="TableContents"/>
              <w:spacing w:before="0" w:after="283"/>
              <w:rPr>
                <w:sz w:val="4"/>
                <w:szCs w:val="4"/>
              </w:rPr>
            </w:pPr>
            <w:r>
              <w:rPr>
                <w:sz w:val="4"/>
                <w:szCs w:val="4"/>
              </w:rPr>
            </w:r>
          </w:p>
        </w:tc>
        <w:tc>
          <w:tcPr>
            <w:tcW w:w="1148" w:type="dxa"/>
            <w:gridSpan w:val="4"/>
            <w:tcBorders/>
            <w:shd w:fill="auto" w:val="clear"/>
            <w:vAlign w:val="center"/>
          </w:tcPr>
          <w:p>
            <w:pPr>
              <w:pStyle w:val="TableContents"/>
              <w:spacing w:before="0" w:after="283"/>
              <w:rPr>
                <w:sz w:val="4"/>
                <w:szCs w:val="4"/>
              </w:rPr>
            </w:pPr>
            <w:r>
              <w:rPr>
                <w:sz w:val="4"/>
                <w:szCs w:val="4"/>
              </w:rPr>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equity:</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7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Class A Non-voting Common Stock, par value $.01 per share;</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Class B Voting Common Stock; convertible, par value $.01 per share;</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paid-in capital</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221,526</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98,980</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50,568</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(128,676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242,398</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Retained earnings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174,860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251,418</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422,095</w:t>
            </w:r>
          </w:p>
        </w:tc>
        <w:tc>
          <w:tcPr>
            <w:tcW w:w="132" w:type="dxa"/>
            <w:tcBorders/>
            <w:shd w:fill="auto" w:val="clear"/>
            <w:vAlign w:val="bottom"/>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other comprehensive income (loss)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6,923</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(7,499</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auto" w:val="clear"/>
          </w:tcPr>
          <w:p>
            <w:pPr>
              <w:pStyle w:val="TableContents"/>
              <w:spacing w:before="0" w:after="283"/>
              <w:rPr>
                <w:rFonts w:ascii="Times New Roman" w:hAnsi="Times New Roman"/>
                <w:sz w:val="20"/>
              </w:rPr>
            </w:pPr>
            <w:r>
              <w:rPr>
                <w:rFonts w:ascii="Times New Roman" w:hAnsi="Times New Roman"/>
                <w:sz w:val="20"/>
              </w:rPr>
              <w:t>Total stockholders equity</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403,800</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350,239</w:t>
            </w:r>
          </w:p>
        </w:tc>
        <w:tc>
          <w:tcPr>
            <w:tcW w:w="125"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38,887</w:t>
            </w:r>
          </w:p>
        </w:tc>
        <w:tc>
          <w:tcPr>
            <w:tcW w:w="124"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(128,678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664,248</w:t>
            </w:r>
          </w:p>
        </w:tc>
        <w:tc>
          <w:tcPr>
            <w:tcW w:w="132" w:type="dxa"/>
            <w:tcBorders/>
            <w:shd w:fill="auto"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7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2"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44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 and stockholders equity</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237,615</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583,711</w:t>
            </w:r>
          </w:p>
        </w:tc>
        <w:tc>
          <w:tcPr>
            <w:tcW w:w="125"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63,748</w:t>
            </w:r>
          </w:p>
        </w:tc>
        <w:tc>
          <w:tcPr>
            <w:tcW w:w="124"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(128,624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756,450</w:t>
            </w:r>
          </w:p>
        </w:tc>
        <w:tc>
          <w:tcPr>
            <w:tcW w:w="132" w:type="dxa"/>
            <w:tcBorders/>
            <w:shd w:fill="CCEEFF" w:val="clear"/>
            <w:vAlign w:val="bottom"/>
          </w:tcPr>
          <w:p>
            <w:pPr>
              <w:pStyle w:val="TableContents"/>
              <w:spacing w:before="0" w:after="283"/>
              <w:rPr/>
            </w:pPr>
            <w:r>
              <w:rPr/>
              <w:t>  </w:t>
            </w:r>
          </w:p>
        </w:tc>
      </w:tr>
      <w:tr>
        <w:trPr/>
        <w:tc>
          <w:tcPr>
            <w:tcW w:w="448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7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2"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09"/>
        <w:gridCol w:w="262"/>
        <w:gridCol w:w="125"/>
        <w:gridCol w:w="618"/>
        <w:gridCol w:w="125"/>
        <w:gridCol w:w="216"/>
        <w:gridCol w:w="125"/>
        <w:gridCol w:w="697"/>
        <w:gridCol w:w="125"/>
        <w:gridCol w:w="216"/>
        <w:gridCol w:w="129"/>
        <w:gridCol w:w="634"/>
        <w:gridCol w:w="124"/>
        <w:gridCol w:w="216"/>
        <w:gridCol w:w="125"/>
        <w:gridCol w:w="663"/>
        <w:gridCol w:w="125"/>
        <w:gridCol w:w="216"/>
        <w:gridCol w:w="125"/>
        <w:gridCol w:w="697"/>
        <w:gridCol w:w="133"/>
      </w:tblGrid>
      <w:tr>
        <w:trPr/>
        <w:tc>
          <w:tcPr>
            <w:tcW w:w="45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2011</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5301"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7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6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7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34"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128,546</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14,751</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143,297</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54,370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59,792</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36,950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2,671</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39,621</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5,467</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318</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226,183</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23,162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248,873</w:t>
            </w:r>
          </w:p>
        </w:tc>
        <w:tc>
          <w:tcPr>
            <w:tcW w:w="133" w:type="dxa"/>
            <w:tcBorders/>
            <w:shd w:fill="CCEEFF"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76,121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7,699</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83,820</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9,267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834</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10,101</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139,871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14,629</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33" w:type="dxa"/>
            <w:tcBorders/>
            <w:shd w:fill="CCEEFF"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34"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74,501</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17,688</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2,495</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4,147</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1,108</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86,620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13,118</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99,266</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53,251</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1,511</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54,762</w:t>
            </w:r>
          </w:p>
        </w:tc>
        <w:tc>
          <w:tcPr>
            <w:tcW w:w="133" w:type="dxa"/>
            <w:tcBorders/>
            <w:shd w:fill="auto" w:val="clear"/>
            <w:vAlign w:val="bottom"/>
          </w:tcPr>
          <w:p>
            <w:pPr>
              <w:pStyle w:val="TableContents"/>
              <w:spacing w:before="0" w:after="283"/>
              <w:rPr/>
            </w:pPr>
            <w:r>
              <w:rPr/>
              <w:t>  </w:t>
            </w:r>
          </w:p>
        </w:tc>
      </w:tr>
      <w:tr>
        <w:trPr>
          <w:trHeight w:val="120" w:hRule="atLeast"/>
        </w:trPr>
        <w:tc>
          <w:tcPr>
            <w:tcW w:w="4509" w:type="dxa"/>
            <w:tcBorders/>
            <w:shd w:fill="auto" w:val="clear"/>
            <w:vAlign w:val="center"/>
          </w:tcPr>
          <w:p>
            <w:pPr>
              <w:pStyle w:val="TableContents"/>
              <w:spacing w:before="0" w:after="283"/>
              <w:rPr>
                <w:sz w:val="4"/>
                <w:szCs w:val="4"/>
              </w:rPr>
            </w:pPr>
            <w:r>
              <w:rPr>
                <w:sz w:val="4"/>
                <w:szCs w:val="4"/>
              </w:rPr>
            </w:r>
          </w:p>
        </w:tc>
        <w:tc>
          <w:tcPr>
            <w:tcW w:w="1130" w:type="dxa"/>
            <w:gridSpan w:val="4"/>
            <w:tcBorders/>
            <w:shd w:fill="auto" w:val="clear"/>
            <w:vAlign w:val="center"/>
          </w:tcPr>
          <w:p>
            <w:pPr>
              <w:pStyle w:val="TableContents"/>
              <w:spacing w:before="0" w:after="283"/>
              <w:rPr>
                <w:sz w:val="4"/>
                <w:szCs w:val="4"/>
              </w:rPr>
            </w:pPr>
            <w:r>
              <w:rPr>
                <w:sz w:val="4"/>
                <w:szCs w:val="4"/>
              </w:rPr>
            </w:r>
          </w:p>
        </w:tc>
        <w:tc>
          <w:tcPr>
            <w:tcW w:w="1163" w:type="dxa"/>
            <w:gridSpan w:val="4"/>
            <w:tcBorders/>
            <w:shd w:fill="auto" w:val="clear"/>
            <w:vAlign w:val="center"/>
          </w:tcPr>
          <w:p>
            <w:pPr>
              <w:pStyle w:val="TableContents"/>
              <w:spacing w:before="0" w:after="283"/>
              <w:rPr>
                <w:sz w:val="4"/>
                <w:szCs w:val="4"/>
              </w:rPr>
            </w:pPr>
            <w:r>
              <w:rPr>
                <w:sz w:val="4"/>
                <w:szCs w:val="4"/>
              </w:rPr>
            </w:r>
          </w:p>
        </w:tc>
        <w:tc>
          <w:tcPr>
            <w:tcW w:w="1103" w:type="dxa"/>
            <w:gridSpan w:val="4"/>
            <w:tcBorders/>
            <w:shd w:fill="auto" w:val="clear"/>
            <w:vAlign w:val="center"/>
          </w:tcPr>
          <w:p>
            <w:pPr>
              <w:pStyle w:val="TableContents"/>
              <w:spacing w:before="0" w:after="283"/>
              <w:rPr>
                <w:sz w:val="4"/>
                <w:szCs w:val="4"/>
              </w:rPr>
            </w:pPr>
            <w:r>
              <w:rPr>
                <w:sz w:val="4"/>
                <w:szCs w:val="4"/>
              </w:rPr>
            </w:r>
          </w:p>
        </w:tc>
        <w:tc>
          <w:tcPr>
            <w:tcW w:w="1129" w:type="dxa"/>
            <w:gridSpan w:val="4"/>
            <w:tcBorders/>
            <w:shd w:fill="auto" w:val="clear"/>
            <w:vAlign w:val="center"/>
          </w:tcPr>
          <w:p>
            <w:pPr>
              <w:pStyle w:val="TableContents"/>
              <w:spacing w:before="0" w:after="283"/>
              <w:rPr>
                <w:sz w:val="4"/>
                <w:szCs w:val="4"/>
              </w:rPr>
            </w:pPr>
            <w:r>
              <w:rPr>
                <w:sz w:val="4"/>
                <w:szCs w:val="4"/>
              </w:rPr>
            </w:r>
          </w:p>
        </w:tc>
        <w:tc>
          <w:tcPr>
            <w:tcW w:w="1171" w:type="dxa"/>
            <w:gridSpan w:val="4"/>
            <w:tcBorders/>
            <w:shd w:fill="auto" w:val="clear"/>
            <w:vAlign w:val="center"/>
          </w:tcPr>
          <w:p>
            <w:pPr>
              <w:pStyle w:val="TableContents"/>
              <w:spacing w:before="0" w:after="283"/>
              <w:rPr>
                <w:sz w:val="4"/>
                <w:szCs w:val="4"/>
              </w:rPr>
            </w:pPr>
            <w:r>
              <w:rPr>
                <w:sz w:val="4"/>
                <w:szCs w:val="4"/>
              </w:rPr>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2,462</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33" w:type="dxa"/>
            <w:tcBorders/>
            <w:shd w:fill="auto" w:val="clear"/>
            <w:vAlign w:val="bottom"/>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24,348</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53,760</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18,909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1,230</w:t>
            </w:r>
          </w:p>
        </w:tc>
        <w:tc>
          <w:tcPr>
            <w:tcW w:w="124"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33" w:type="dxa"/>
            <w:tcBorders/>
            <w:shd w:fill="auto"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1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34"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6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509"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5,439</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33,621</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124"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33" w:type="dxa"/>
            <w:tcBorders/>
            <w:shd w:fill="CCEEFF" w:val="clear"/>
            <w:vAlign w:val="bottom"/>
          </w:tcPr>
          <w:p>
            <w:pPr>
              <w:pStyle w:val="TableContents"/>
              <w:spacing w:before="0" w:after="283"/>
              <w:rPr/>
            </w:pPr>
            <w:r>
              <w:rPr/>
              <w:t>  </w:t>
            </w:r>
          </w:p>
        </w:tc>
      </w:tr>
      <w:tr>
        <w:trPr/>
        <w:tc>
          <w:tcPr>
            <w:tcW w:w="450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1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34"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6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4468"/>
        <w:gridCol w:w="261"/>
        <w:gridCol w:w="125"/>
        <w:gridCol w:w="594"/>
        <w:gridCol w:w="125"/>
        <w:gridCol w:w="211"/>
        <w:gridCol w:w="125"/>
        <w:gridCol w:w="734"/>
        <w:gridCol w:w="125"/>
        <w:gridCol w:w="211"/>
        <w:gridCol w:w="129"/>
        <w:gridCol w:w="611"/>
        <w:gridCol w:w="124"/>
        <w:gridCol w:w="211"/>
        <w:gridCol w:w="125"/>
        <w:gridCol w:w="697"/>
        <w:gridCol w:w="125"/>
        <w:gridCol w:w="211"/>
        <w:gridCol w:w="125"/>
        <w:gridCol w:w="734"/>
        <w:gridCol w:w="134"/>
      </w:tblGrid>
      <w:tr>
        <w:trPr/>
        <w:tc>
          <w:tcPr>
            <w:tcW w:w="446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2010</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(Unaudited)</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534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71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7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Eliminations</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5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4" w:type="dxa"/>
            <w:tcBorders/>
            <w:shd w:fill="CCEEFF" w:val="clear"/>
            <w:vAlign w:val="bottom"/>
          </w:tcPr>
          <w:p>
            <w:pPr>
              <w:pStyle w:val="TableContents"/>
              <w:spacing w:before="0" w:after="283"/>
              <w:rPr>
                <w:sz w:val="4"/>
                <w:szCs w:val="4"/>
              </w:rPr>
            </w:pPr>
            <w:r>
              <w:rPr>
                <w:sz w:val="4"/>
                <w:szCs w:val="4"/>
              </w:rPr>
            </w:r>
          </w:p>
        </w:tc>
        <w:tc>
          <w:tcPr>
            <w:tcW w:w="134" w:type="dxa"/>
            <w:tcBorders/>
            <w:shd w:fill="CCEEFF" w:val="clear"/>
            <w:vAlign w:val="bottom"/>
          </w:tcPr>
          <w:p>
            <w:pPr>
              <w:pStyle w:val="TableContents"/>
              <w:spacing w:before="0" w:after="283"/>
              <w:rPr>
                <w:sz w:val="4"/>
                <w:szCs w:val="4"/>
              </w:rPr>
            </w:pPr>
            <w:r>
              <w:rPr>
                <w:sz w:val="4"/>
                <w:szCs w:val="4"/>
              </w:rPr>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113,353</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9,192</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122,545</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46,436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3,374</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38,468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1,598</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40,066</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204,649</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14,177</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218,826</w:t>
            </w:r>
          </w:p>
        </w:tc>
        <w:tc>
          <w:tcPr>
            <w:tcW w:w="134" w:type="dxa"/>
            <w:tcBorders/>
            <w:shd w:fill="CCEEFF"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67,752</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5,814</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73,566</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9,484</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10,046</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126,431</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7,801</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34" w:type="dxa"/>
            <w:tcBorders/>
            <w:shd w:fill="CCEEFF"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Expenses: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58,260</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64,504</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25,203</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3,427</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expenses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86,884</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7,944</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94,828</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39,547</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39,404</w:t>
            </w:r>
          </w:p>
        </w:tc>
        <w:tc>
          <w:tcPr>
            <w:tcW w:w="134" w:type="dxa"/>
            <w:tcBorders/>
            <w:shd w:fill="auto" w:val="clear"/>
            <w:vAlign w:val="bottom"/>
          </w:tcPr>
          <w:p>
            <w:pPr>
              <w:pStyle w:val="TableContents"/>
              <w:spacing w:before="0" w:after="283"/>
              <w:rPr/>
            </w:pPr>
            <w:r>
              <w:rPr/>
              <w:t>  </w:t>
            </w:r>
          </w:p>
        </w:tc>
      </w:tr>
      <w:tr>
        <w:trPr>
          <w:trHeight w:val="120" w:hRule="atLeast"/>
        </w:trPr>
        <w:tc>
          <w:tcPr>
            <w:tcW w:w="4468" w:type="dxa"/>
            <w:tcBorders/>
            <w:shd w:fill="auto" w:val="clear"/>
            <w:vAlign w:val="center"/>
          </w:tcPr>
          <w:p>
            <w:pPr>
              <w:pStyle w:val="TableContents"/>
              <w:spacing w:before="0" w:after="283"/>
              <w:rPr>
                <w:sz w:val="4"/>
                <w:szCs w:val="4"/>
              </w:rPr>
            </w:pPr>
            <w:r>
              <w:rPr>
                <w:sz w:val="4"/>
                <w:szCs w:val="4"/>
              </w:rPr>
            </w:r>
          </w:p>
        </w:tc>
        <w:tc>
          <w:tcPr>
            <w:tcW w:w="1105" w:type="dxa"/>
            <w:gridSpan w:val="4"/>
            <w:tcBorders/>
            <w:shd w:fill="auto" w:val="clear"/>
            <w:vAlign w:val="center"/>
          </w:tcPr>
          <w:p>
            <w:pPr>
              <w:pStyle w:val="TableContents"/>
              <w:spacing w:before="0" w:after="283"/>
              <w:rPr>
                <w:sz w:val="4"/>
                <w:szCs w:val="4"/>
              </w:rPr>
            </w:pPr>
            <w:r>
              <w:rPr>
                <w:sz w:val="4"/>
                <w:szCs w:val="4"/>
              </w:rPr>
            </w:r>
          </w:p>
        </w:tc>
        <w:tc>
          <w:tcPr>
            <w:tcW w:w="1195" w:type="dxa"/>
            <w:gridSpan w:val="4"/>
            <w:tcBorders/>
            <w:shd w:fill="auto" w:val="clear"/>
            <w:vAlign w:val="center"/>
          </w:tcPr>
          <w:p>
            <w:pPr>
              <w:pStyle w:val="TableContents"/>
              <w:spacing w:before="0" w:after="283"/>
              <w:rPr>
                <w:sz w:val="4"/>
                <w:szCs w:val="4"/>
              </w:rPr>
            </w:pPr>
            <w:r>
              <w:rPr>
                <w:sz w:val="4"/>
                <w:szCs w:val="4"/>
              </w:rPr>
            </w:r>
          </w:p>
        </w:tc>
        <w:tc>
          <w:tcPr>
            <w:tcW w:w="1075" w:type="dxa"/>
            <w:gridSpan w:val="4"/>
            <w:tcBorders/>
            <w:shd w:fill="auto" w:val="clear"/>
            <w:vAlign w:val="center"/>
          </w:tcPr>
          <w:p>
            <w:pPr>
              <w:pStyle w:val="TableContents"/>
              <w:spacing w:before="0" w:after="283"/>
              <w:rPr>
                <w:sz w:val="4"/>
                <w:szCs w:val="4"/>
              </w:rPr>
            </w:pPr>
            <w:r>
              <w:rPr>
                <w:sz w:val="4"/>
                <w:szCs w:val="4"/>
              </w:rPr>
            </w:r>
          </w:p>
        </w:tc>
        <w:tc>
          <w:tcPr>
            <w:tcW w:w="1158" w:type="dxa"/>
            <w:gridSpan w:val="4"/>
            <w:tcBorders/>
            <w:shd w:fill="auto" w:val="clear"/>
            <w:vAlign w:val="center"/>
          </w:tcPr>
          <w:p>
            <w:pPr>
              <w:pStyle w:val="TableContents"/>
              <w:spacing w:before="0" w:after="283"/>
              <w:rPr>
                <w:sz w:val="4"/>
                <w:szCs w:val="4"/>
              </w:rPr>
            </w:pPr>
            <w:r>
              <w:rPr>
                <w:sz w:val="4"/>
                <w:szCs w:val="4"/>
              </w:rPr>
            </w:r>
          </w:p>
        </w:tc>
        <w:tc>
          <w:tcPr>
            <w:tcW w:w="1204" w:type="dxa"/>
            <w:gridSpan w:val="4"/>
            <w:tcBorders/>
            <w:shd w:fill="auto" w:val="clear"/>
            <w:vAlign w:val="center"/>
          </w:tcPr>
          <w:p>
            <w:pPr>
              <w:pStyle w:val="TableContents"/>
              <w:spacing w:before="0" w:after="283"/>
              <w:rPr>
                <w:sz w:val="4"/>
                <w:szCs w:val="4"/>
              </w:rPr>
            </w:pPr>
            <w:r>
              <w:rPr>
                <w:sz w:val="4"/>
                <w:szCs w:val="4"/>
              </w:rPr>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2,610</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34" w:type="dxa"/>
            <w:tcBorders/>
            <w:shd w:fill="auto" w:val="clear"/>
            <w:vAlign w:val="bottom"/>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19,089</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38,749</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14,753</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25"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24"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34" w:type="dxa"/>
            <w:tcBorders/>
            <w:shd w:fill="auto"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single" w:sz="2" w:space="1" w:color="000000"/>
              </w:pBdr>
              <w:spacing w:before="0" w:after="283"/>
              <w:rPr/>
            </w:pPr>
            <w:r>
              <w:rPr/>
              <w:t> </w:t>
            </w:r>
          </w:p>
        </w:tc>
        <w:tc>
          <w:tcPr>
            <w:tcW w:w="611"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34" w:type="dxa"/>
            <w:tcBorders/>
            <w:shd w:fill="auto" w:val="clear"/>
            <w:vAlign w:val="bottom"/>
          </w:tcPr>
          <w:p>
            <w:pPr>
              <w:pStyle w:val="TableContents"/>
              <w:pBdr>
                <w:top w:val="single" w:sz="2"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r>
        <w:trPr/>
        <w:tc>
          <w:tcPr>
            <w:tcW w:w="4468"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2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4,336</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23,643</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34" w:type="dxa"/>
            <w:tcBorders/>
            <w:shd w:fill="CCEEFF" w:val="clear"/>
            <w:vAlign w:val="bottom"/>
          </w:tcPr>
          <w:p>
            <w:pPr>
              <w:pStyle w:val="TableContents"/>
              <w:spacing w:before="0" w:after="283"/>
              <w:rPr/>
            </w:pPr>
            <w:r>
              <w:rPr/>
              <w:t>  </w:t>
            </w:r>
          </w:p>
        </w:tc>
      </w:tr>
      <w:tr>
        <w:trPr/>
        <w:tc>
          <w:tcPr>
            <w:tcW w:w="4468"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pBdr>
                <w:top w:val="double" w:sz="6" w:space="1" w:color="000000"/>
              </w:pBdr>
              <w:spacing w:before="0" w:after="283"/>
              <w:rPr/>
            </w:pPr>
            <w:r>
              <w:rPr/>
              <w:t> </w:t>
            </w:r>
          </w:p>
        </w:tc>
        <w:tc>
          <w:tcPr>
            <w:tcW w:w="611"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34" w:type="dxa"/>
            <w:tcBorders/>
            <w:shd w:fill="auto" w:val="clear"/>
            <w:vAlign w:val="bottom"/>
          </w:tcPr>
          <w:p>
            <w:pPr>
              <w:pStyle w:val="TableContents"/>
              <w:pBdr>
                <w:top w:val="double" w:sz="6" w:space="1" w:color="000000"/>
              </w:pBdr>
              <w:spacing w:before="0" w:after="283"/>
              <w:rPr/>
            </w:pPr>
            <w:r>
              <w:rPr/>
              <w:t> </w:t>
            </w:r>
          </w:p>
        </w:tc>
        <w:tc>
          <w:tcPr>
            <w:tcW w:w="13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u w:val="single"/>
        </w:rPr>
      </w:pPr>
      <w:r>
        <w:rPr>
          <w:rFonts w:ascii="Times New Roman" w:hAnsi="Times New Roman"/>
          <w:sz w:val="20"/>
          <w:u w:val="single"/>
        </w:rPr>
        <w:t xml:space="preserve">Condensed Consolidating Statement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07"/>
        <w:gridCol w:w="279"/>
        <w:gridCol w:w="125"/>
        <w:gridCol w:w="714"/>
        <w:gridCol w:w="125"/>
        <w:gridCol w:w="233"/>
        <w:gridCol w:w="125"/>
        <w:gridCol w:w="760"/>
        <w:gridCol w:w="125"/>
        <w:gridCol w:w="233"/>
        <w:gridCol w:w="125"/>
        <w:gridCol w:w="679"/>
        <w:gridCol w:w="125"/>
        <w:gridCol w:w="233"/>
        <w:gridCol w:w="125"/>
        <w:gridCol w:w="760"/>
        <w:gridCol w:w="132"/>
      </w:tblGrid>
      <w:tr>
        <w:trPr/>
        <w:tc>
          <w:tcPr>
            <w:tcW w:w="530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48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2011</w:t>
            </w:r>
          </w:p>
        </w:tc>
        <w:tc>
          <w:tcPr>
            <w:tcW w:w="132" w:type="dxa"/>
            <w:tcBorders/>
            <w:shd w:fill="auto"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48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2" w:type="dxa"/>
            <w:tcBorders/>
            <w:shd w:fill="auto"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8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33,621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0" w:type="dxa"/>
            <w:tcBorders/>
            <w:shd w:fill="CCEEFF" w:val="clear"/>
            <w:vAlign w:val="bottom"/>
          </w:tcPr>
          <w:p>
            <w:pPr>
              <w:pStyle w:val="TableContents"/>
              <w:spacing w:before="0" w:after="283"/>
              <w:rPr>
                <w:sz w:val="4"/>
                <w:szCs w:val="4"/>
              </w:rPr>
            </w:pPr>
            <w:r>
              <w:rPr>
                <w:sz w:val="4"/>
                <w:szCs w:val="4"/>
              </w:rPr>
            </w:r>
          </w:p>
        </w:tc>
        <w:tc>
          <w:tcPr>
            <w:tcW w:w="132" w:type="dxa"/>
            <w:tcBorders/>
            <w:shd w:fill="CCEEFF" w:val="clear"/>
            <w:vAlign w:val="bottom"/>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and auto title loan loss provisions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4,035</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loss/(gain) on sale or disposal of assets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1,513</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(2,392</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11,722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(3,693</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1,865</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12,115</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12,284</w:t>
            </w:r>
          </w:p>
        </w:tc>
        <w:tc>
          <w:tcPr>
            <w:tcW w:w="132" w:type="dxa"/>
            <w:tcBorders/>
            <w:shd w:fill="auto"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by/(used in) operating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57,970</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43,742</w:t>
            </w:r>
          </w:p>
        </w:tc>
        <w:tc>
          <w:tcPr>
            <w:tcW w:w="132" w:type="dxa"/>
            <w:tcBorders/>
            <w:shd w:fill="CCEEFF" w:val="clear"/>
            <w:vAlign w:val="bottom"/>
          </w:tcPr>
          <w:p>
            <w:pPr>
              <w:pStyle w:val="TableContents"/>
              <w:spacing w:before="0" w:after="283"/>
              <w:rPr/>
            </w:pPr>
            <w:r>
              <w:rPr/>
              <w:t>  </w:t>
            </w:r>
          </w:p>
        </w:tc>
      </w:tr>
      <w:tr>
        <w:trPr>
          <w:trHeight w:val="120" w:hRule="atLeast"/>
        </w:trPr>
        <w:tc>
          <w:tcPr>
            <w:tcW w:w="5307" w:type="dxa"/>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(154,584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(28,173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(182,757</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89,880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110,988</w:t>
            </w:r>
          </w:p>
        </w:tc>
        <w:tc>
          <w:tcPr>
            <w:tcW w:w="132" w:type="dxa"/>
            <w:tcBorders/>
            <w:shd w:fill="auto" w:val="clear"/>
            <w:vAlign w:val="bottom"/>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55,885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5,816</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61,701</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(9,948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(49,399</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32" w:type="dxa"/>
            <w:tcBorders/>
            <w:shd w:fill="auto"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(63,081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(6,334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(67,193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307" w:type="dxa"/>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243" w:type="dxa"/>
            <w:gridSpan w:val="4"/>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c>
          <w:tcPr>
            <w:tcW w:w="1250" w:type="dxa"/>
            <w:gridSpan w:val="4"/>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Stock issuance costs related to acquisitions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on revolving line of credit</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116,500</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116,500</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(93,500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(93,500</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22,472</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07"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20,860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23,969</w:t>
            </w:r>
          </w:p>
        </w:tc>
        <w:tc>
          <w:tcPr>
            <w:tcW w:w="132" w:type="dxa"/>
            <w:tcBorders/>
            <w:shd w:fill="auto"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60" w:type="dxa"/>
            <w:tcBorders/>
            <w:shd w:fill="auto" w:val="clear"/>
            <w:vAlign w:val="bottom"/>
          </w:tcPr>
          <w:p>
            <w:pPr>
              <w:pStyle w:val="TableContents"/>
              <w:pBdr>
                <w:top w:val="single" w:sz="2"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r>
        <w:trPr/>
        <w:tc>
          <w:tcPr>
            <w:tcW w:w="5307"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15,749</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6,416</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22,868</w:t>
            </w:r>
          </w:p>
        </w:tc>
        <w:tc>
          <w:tcPr>
            <w:tcW w:w="132" w:type="dxa"/>
            <w:tcBorders/>
            <w:shd w:fill="CCEEFF" w:val="clear"/>
            <w:vAlign w:val="bottom"/>
          </w:tcPr>
          <w:p>
            <w:pPr>
              <w:pStyle w:val="TableContents"/>
              <w:spacing w:before="0" w:after="283"/>
              <w:rPr/>
            </w:pPr>
            <w:r>
              <w:rPr/>
              <w:t>  </w:t>
            </w:r>
          </w:p>
        </w:tc>
      </w:tr>
      <w:tr>
        <w:trPr/>
        <w:tc>
          <w:tcPr>
            <w:tcW w:w="5307"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60" w:type="dxa"/>
            <w:tcBorders/>
            <w:shd w:fill="auto" w:val="clear"/>
            <w:vAlign w:val="bottom"/>
          </w:tcPr>
          <w:p>
            <w:pPr>
              <w:pStyle w:val="TableContents"/>
              <w:pBdr>
                <w:top w:val="double" w:sz="6" w:space="1" w:color="000000"/>
              </w:pBdr>
              <w:spacing w:before="0" w:after="283"/>
              <w:rPr/>
            </w:pPr>
            <w:r>
              <w:rPr/>
              <w:t> </w:t>
            </w:r>
          </w:p>
        </w:tc>
        <w:tc>
          <w:tcPr>
            <w:tcW w:w="132"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rPr/>
      </w:pPr>
      <w:r>
        <w:rPr/>
        <w:t> </w:t>
      </w:r>
    </w:p>
    <w:tbl>
      <w:tblPr>
        <w:tblW w:w="5000" w:type="pct"/>
        <w:jc w:val="center"/>
        <w:tblInd w:w="0" w:type="dxa"/>
        <w:tblCellMar>
          <w:top w:w="0" w:type="dxa"/>
          <w:left w:w="0" w:type="dxa"/>
          <w:bottom w:w="0" w:type="dxa"/>
          <w:right w:w="0" w:type="dxa"/>
        </w:tblCellMar>
      </w:tblPr>
      <w:tblGrid>
        <w:gridCol w:w="5349"/>
        <w:gridCol w:w="278"/>
        <w:gridCol w:w="125"/>
        <w:gridCol w:w="679"/>
        <w:gridCol w:w="125"/>
        <w:gridCol w:w="233"/>
        <w:gridCol w:w="125"/>
        <w:gridCol w:w="758"/>
        <w:gridCol w:w="125"/>
        <w:gridCol w:w="233"/>
        <w:gridCol w:w="124"/>
        <w:gridCol w:w="679"/>
        <w:gridCol w:w="125"/>
        <w:gridCol w:w="233"/>
        <w:gridCol w:w="125"/>
        <w:gridCol w:w="758"/>
        <w:gridCol w:w="131"/>
      </w:tblGrid>
      <w:tr>
        <w:trPr/>
        <w:tc>
          <w:tcPr>
            <w:tcW w:w="534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44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2010</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447"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8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Parent</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Subsidiary</w:t>
              <w:br/>
              <w:t>Guarantors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0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Other</w:t>
              <w:br/>
              <w:t>Subsidiaries</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23,643</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to net cash provided by 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67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8"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3,427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and auto title loan loss provisions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3,643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4,134</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Stock compensation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8,548</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8,548</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investments in unconsolidated affiliates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operating assets and liabilities, net of business acquisitions: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charges and fees receivable,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(2,421</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(1,680</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 other current assets, and other assets,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13,461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(18,852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layaway deposits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Deferred gains and other long-term liabilities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2,076</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3,059</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4,672</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provided by operating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4,816</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25,995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35,122</w:t>
            </w:r>
          </w:p>
        </w:tc>
        <w:tc>
          <w:tcPr>
            <w:tcW w:w="131" w:type="dxa"/>
            <w:tcBorders/>
            <w:shd w:fill="CCEEFF" w:val="clear"/>
            <w:vAlign w:val="bottom"/>
          </w:tcPr>
          <w:p>
            <w:pPr>
              <w:pStyle w:val="TableContents"/>
              <w:spacing w:before="0" w:after="283"/>
              <w:rPr/>
            </w:pPr>
            <w:r>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Investing Activities: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Loans made</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(133,938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(18,825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(152,763</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Loans repaid</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78,297</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13,043</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91,340</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Recovery of pawn loan principal through sale of forfeited collateral</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46,072</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4,678</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50,750</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property and equipment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Acquisitions, net of cash acquired</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(13,700</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Dividends from unconsolidated affiliates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investing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(30,495</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Financing Activities: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6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58"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exercise of stock options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Excess tax benefit from stock compensation</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3,065</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Taxes paid related to net share settlement of equity awards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(7,396</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Proceeds on revolving line of credit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31"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revolving line of credit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bank borrowings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cash used in financing activities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(6,627</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349" w:type="dxa"/>
            <w:tcBorders/>
            <w:shd w:fill="auto" w:val="clear"/>
            <w:vAlign w:val="center"/>
          </w:tcPr>
          <w:p>
            <w:pPr>
              <w:pStyle w:val="TableContents"/>
              <w:spacing w:before="0" w:after="283"/>
              <w:rPr>
                <w:sz w:val="4"/>
                <w:szCs w:val="4"/>
              </w:rPr>
            </w:pPr>
            <w:r>
              <w:rPr>
                <w:sz w:val="4"/>
                <w:szCs w:val="4"/>
              </w:rPr>
            </w:r>
          </w:p>
        </w:tc>
        <w:tc>
          <w:tcPr>
            <w:tcW w:w="1207" w:type="dxa"/>
            <w:gridSpan w:val="4"/>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vAlign w:val="center"/>
          </w:tcPr>
          <w:p>
            <w:pPr>
              <w:pStyle w:val="TableContents"/>
              <w:spacing w:before="0" w:after="283"/>
              <w:rPr>
                <w:sz w:val="4"/>
                <w:szCs w:val="4"/>
              </w:rPr>
            </w:pPr>
            <w:r>
              <w:rPr>
                <w:sz w:val="4"/>
                <w:szCs w:val="4"/>
              </w:rPr>
            </w:r>
          </w:p>
        </w:tc>
        <w:tc>
          <w:tcPr>
            <w:tcW w:w="1161" w:type="dxa"/>
            <w:gridSpan w:val="4"/>
            <w:tcBorders/>
            <w:shd w:fill="auto" w:val="clear"/>
            <w:vAlign w:val="center"/>
          </w:tcPr>
          <w:p>
            <w:pPr>
              <w:pStyle w:val="TableContents"/>
              <w:spacing w:before="0" w:after="283"/>
              <w:rPr>
                <w:sz w:val="4"/>
                <w:szCs w:val="4"/>
              </w:rPr>
            </w:pPr>
            <w:r>
              <w:rPr>
                <w:sz w:val="4"/>
                <w:szCs w:val="4"/>
              </w:rPr>
            </w:r>
          </w:p>
        </w:tc>
        <w:tc>
          <w:tcPr>
            <w:tcW w:w="1247" w:type="dxa"/>
            <w:gridSpan w:val="4"/>
            <w:tcBorders/>
            <w:shd w:fill="auto" w:val="clear"/>
            <w:vAlign w:val="center"/>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exchange rate changes on cash and cash equivalents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Net (decrease) increase in cash and cash equivalents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1,505</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 at beginning of period</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23,862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1,992</w:t>
            </w:r>
          </w:p>
        </w:tc>
        <w:tc>
          <w:tcPr>
            <w:tcW w:w="125" w:type="dxa"/>
            <w:tcBorders/>
            <w:shd w:fill="auto" w:val="clear"/>
            <w:vAlign w:val="bottom"/>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25,854</w:t>
            </w:r>
          </w:p>
        </w:tc>
        <w:tc>
          <w:tcPr>
            <w:tcW w:w="131"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67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8"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 at end of period</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20,411</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3,497</w:t>
            </w:r>
          </w:p>
        </w:tc>
        <w:tc>
          <w:tcPr>
            <w:tcW w:w="125"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23,908</w:t>
            </w:r>
          </w:p>
        </w:tc>
        <w:tc>
          <w:tcPr>
            <w:tcW w:w="131" w:type="dxa"/>
            <w:tcBorders/>
            <w:shd w:fill="CCEEFF"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67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3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8"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Note O. Supplemental Consolidated Financial Information </w:t>
      </w:r>
    </w:p>
    <w:p>
      <w:pPr>
        <w:pStyle w:val="TextBody"/>
        <w:spacing w:before="90" w:after="0"/>
        <w:rPr>
          <w:rFonts w:ascii="Times New Roman" w:hAnsi="Times New Roman"/>
          <w:sz w:val="20"/>
          <w:u w:val="single"/>
        </w:rPr>
      </w:pPr>
      <w:r>
        <w:rPr>
          <w:rFonts w:ascii="Times New Roman" w:hAnsi="Times New Roman"/>
          <w:sz w:val="20"/>
          <w:u w:val="single"/>
        </w:rPr>
        <w:t xml:space="preserve">Supplemental Consolidated Statements of Financial Position Information: </w:t>
      </w:r>
    </w:p>
    <w:p>
      <w:pPr>
        <w:pStyle w:val="TextBody"/>
        <w:spacing w:before="90" w:after="0"/>
        <w:rPr>
          <w:rFonts w:ascii="Times New Roman" w:hAnsi="Times New Roman"/>
          <w:sz w:val="20"/>
        </w:rPr>
      </w:pPr>
      <w:r>
        <w:rPr>
          <w:rFonts w:ascii="Times New Roman" w:hAnsi="Times New Roman"/>
          <w:sz w:val="20"/>
        </w:rPr>
        <w:t xml:space="preserve">The following table provides information on amounts included in pawn service charges receivable, net, signature loan fees receivable, net, inventories, net and property and equipment, net: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42"/>
        <w:gridCol w:w="365"/>
        <w:gridCol w:w="125"/>
        <w:gridCol w:w="755"/>
        <w:gridCol w:w="125"/>
        <w:gridCol w:w="323"/>
        <w:gridCol w:w="125"/>
        <w:gridCol w:w="755"/>
        <w:gridCol w:w="125"/>
        <w:gridCol w:w="323"/>
        <w:gridCol w:w="124"/>
        <w:gridCol w:w="755"/>
        <w:gridCol w:w="130"/>
      </w:tblGrid>
      <w:tr>
        <w:trPr/>
        <w:tc>
          <w:tcPr>
            <w:tcW w:w="4542"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454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220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535"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Gross pawn service charges receivable</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38,201</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32,125</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37,175</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uncollectible pawn service charges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(10,720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Pawn service charges receivable, net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28,593</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24,068</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26,455</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fees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Gross signature loan fees receivable</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6,817</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6,657</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5,839</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uncollectible signature loan fees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 receivable, net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6,206</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6,141</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5,348</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Gross auto title loan fees receivable</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1,472</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1,685</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1,507</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uncollectible auto title loan fees receivable</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fees receivable, net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1,405</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1,427</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gross</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108,329</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84,096</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99,854</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reserves</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(6,419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(9,481</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Inventory, net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100,319</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77,677</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90,373</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30" w:type="dxa"/>
            <w:tcBorders/>
            <w:shd w:fill="CCEEFF" w:val="clear"/>
            <w:vAlign w:val="bottom"/>
          </w:tcPr>
          <w:p>
            <w:pPr>
              <w:pStyle w:val="TableContents"/>
              <w:spacing w:before="0" w:after="283"/>
              <w:rPr>
                <w:sz w:val="4"/>
                <w:szCs w:val="4"/>
              </w:rPr>
            </w:pPr>
            <w:r>
              <w:rPr>
                <w:sz w:val="4"/>
                <w:szCs w:val="4"/>
              </w:rPr>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gross</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217,914</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183,984</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207,392</w:t>
            </w:r>
          </w:p>
        </w:tc>
        <w:tc>
          <w:tcPr>
            <w:tcW w:w="130" w:type="dxa"/>
            <w:tcBorders/>
            <w:shd w:fill="auto" w:val="clear"/>
            <w:vAlign w:val="bottom"/>
          </w:tcPr>
          <w:p>
            <w:pPr>
              <w:pStyle w:val="TableContents"/>
              <w:spacing w:before="0" w:after="283"/>
              <w:rPr/>
            </w:pPr>
            <w:r>
              <w:rPr/>
              <w:t>  </w:t>
            </w:r>
          </w:p>
        </w:tc>
      </w:tr>
      <w:tr>
        <w:trPr/>
        <w:tc>
          <w:tcPr>
            <w:tcW w:w="454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Depreciation</w:t>
            </w:r>
          </w:p>
        </w:tc>
        <w:tc>
          <w:tcPr>
            <w:tcW w:w="36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(133,401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(117,343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(128,894</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r>
        <w:trPr/>
        <w:tc>
          <w:tcPr>
            <w:tcW w:w="4542"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84,513</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66,641</w:t>
            </w:r>
          </w:p>
        </w:tc>
        <w:tc>
          <w:tcPr>
            <w:tcW w:w="125"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78,498</w:t>
            </w:r>
          </w:p>
        </w:tc>
        <w:tc>
          <w:tcPr>
            <w:tcW w:w="130" w:type="dxa"/>
            <w:tcBorders/>
            <w:shd w:fill="auto" w:val="clear"/>
            <w:vAlign w:val="bottom"/>
          </w:tcPr>
          <w:p>
            <w:pPr>
              <w:pStyle w:val="TableContents"/>
              <w:spacing w:before="0" w:after="283"/>
              <w:rPr/>
            </w:pPr>
            <w:r>
              <w:rPr/>
              <w:t>  </w:t>
            </w:r>
          </w:p>
        </w:tc>
      </w:tr>
      <w:tr>
        <w:trPr/>
        <w:tc>
          <w:tcPr>
            <w:tcW w:w="4542"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30"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sz w:val="20"/>
          <w:u w:val="single"/>
        </w:rPr>
      </w:pPr>
      <w:r>
        <w:rPr>
          <w:rFonts w:ascii="Times New Roman" w:hAnsi="Times New Roman"/>
          <w:sz w:val="20"/>
          <w:u w:val="single"/>
        </w:rPr>
        <w:t xml:space="preserve">Other Supplemental Information: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781"/>
        <w:gridCol w:w="384"/>
        <w:gridCol w:w="125"/>
        <w:gridCol w:w="611"/>
        <w:gridCol w:w="120"/>
        <w:gridCol w:w="384"/>
        <w:gridCol w:w="125"/>
        <w:gridCol w:w="611"/>
        <w:gridCol w:w="120"/>
        <w:gridCol w:w="383"/>
        <w:gridCol w:w="139"/>
        <w:gridCol w:w="663"/>
        <w:gridCol w:w="126"/>
      </w:tblGrid>
      <w:tr>
        <w:trPr/>
        <w:tc>
          <w:tcPr>
            <w:tcW w:w="478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78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97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September 30,</w:t>
            </w:r>
          </w:p>
        </w:tc>
        <w:tc>
          <w:tcPr>
            <w:tcW w:w="126" w:type="dxa"/>
            <w:tcBorders/>
            <w:shd w:fill="auto" w:val="clear"/>
            <w:vAlign w:val="bottom"/>
          </w:tcPr>
          <w:p>
            <w:pPr>
              <w:pStyle w:val="TableContents"/>
              <w:spacing w:before="0" w:after="283"/>
              <w:rPr/>
            </w:pPr>
            <w:r>
              <w:rPr/>
              <w:t> </w:t>
            </w:r>
          </w:p>
        </w:tc>
      </w:tr>
      <w:tr>
        <w:trPr/>
        <w:tc>
          <w:tcPr>
            <w:tcW w:w="478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7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7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0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6" w:type="dxa"/>
            <w:tcBorders/>
            <w:shd w:fill="auto" w:val="clear"/>
            <w:vAlign w:val="bottom"/>
          </w:tcPr>
          <w:p>
            <w:pPr>
              <w:pStyle w:val="TableContents"/>
              <w:spacing w:before="0" w:after="283"/>
              <w:rPr/>
            </w:pPr>
            <w:r>
              <w:rPr/>
              <w:t> </w:t>
            </w:r>
          </w:p>
        </w:tc>
      </w:tr>
      <w:tr>
        <w:trPr/>
        <w:tc>
          <w:tcPr>
            <w:tcW w:w="478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281" w:type="dxa"/>
            <w:gridSpan w:val="10"/>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6" w:type="dxa"/>
            <w:tcBorders/>
            <w:shd w:fill="auto" w:val="clear"/>
            <w:vAlign w:val="bottom"/>
          </w:tcPr>
          <w:p>
            <w:pPr>
              <w:pStyle w:val="TableContents"/>
              <w:spacing w:before="0" w:after="283"/>
              <w:rPr/>
            </w:pPr>
            <w:r>
              <w:rPr/>
              <w:t> </w:t>
            </w:r>
          </w:p>
        </w:tc>
      </w:tr>
      <w:tr>
        <w:trPr/>
        <w:tc>
          <w:tcPr>
            <w:tcW w:w="4781"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loans:</w:t>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1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663"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c>
          <w:tcPr>
            <w:tcW w:w="4781" w:type="dxa"/>
            <w:tcBorders/>
            <w:shd w:fill="auto" w:val="clear"/>
          </w:tcPr>
          <w:p>
            <w:pPr>
              <w:pStyle w:val="TableContents"/>
              <w:spacing w:before="0" w:after="283"/>
              <w:rPr>
                <w:rFonts w:ascii="Times New Roman" w:hAnsi="Times New Roman"/>
                <w:sz w:val="20"/>
              </w:rPr>
            </w:pPr>
            <w:r>
              <w:rPr>
                <w:rFonts w:ascii="Times New Roman" w:hAnsi="Times New Roman"/>
                <w:sz w:val="20"/>
              </w:rPr>
              <w:t>Expected LOC losses</w:t>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1,880</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1,723</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1,562</w:t>
            </w:r>
          </w:p>
        </w:tc>
        <w:tc>
          <w:tcPr>
            <w:tcW w:w="126" w:type="dxa"/>
            <w:tcBorders/>
            <w:shd w:fill="auto" w:val="clear"/>
            <w:vAlign w:val="bottom"/>
          </w:tcPr>
          <w:p>
            <w:pPr>
              <w:pStyle w:val="TableContents"/>
              <w:spacing w:before="0" w:after="283"/>
              <w:rPr/>
            </w:pPr>
            <w:r>
              <w:rPr/>
              <w:t>  </w:t>
            </w:r>
          </w:p>
        </w:tc>
      </w:tr>
      <w:tr>
        <w:trPr/>
        <w:tc>
          <w:tcPr>
            <w:tcW w:w="4781" w:type="dxa"/>
            <w:tcBorders/>
            <w:shd w:fill="CCEEFF" w:val="clear"/>
          </w:tcPr>
          <w:p>
            <w:pPr>
              <w:pStyle w:val="TableContents"/>
              <w:spacing w:before="0" w:after="283"/>
              <w:rPr>
                <w:rFonts w:ascii="Times New Roman" w:hAnsi="Times New Roman"/>
                <w:sz w:val="20"/>
              </w:rPr>
            </w:pPr>
            <w:r>
              <w:rPr>
                <w:rFonts w:ascii="Times New Roman" w:hAnsi="Times New Roman"/>
                <w:sz w:val="20"/>
              </w:rPr>
              <w:t>Maximum exposure for LOC losses</w:t>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27,794</w:t>
            </w:r>
          </w:p>
        </w:tc>
        <w:tc>
          <w:tcPr>
            <w:tcW w:w="12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27,560</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23,845</w:t>
            </w:r>
          </w:p>
        </w:tc>
        <w:tc>
          <w:tcPr>
            <w:tcW w:w="126" w:type="dxa"/>
            <w:tcBorders/>
            <w:shd w:fill="CCEEFF" w:val="clear"/>
            <w:vAlign w:val="bottom"/>
          </w:tcPr>
          <w:p>
            <w:pPr>
              <w:pStyle w:val="TableContents"/>
              <w:spacing w:before="0" w:after="283"/>
              <w:rPr/>
            </w:pPr>
            <w:r>
              <w:rPr/>
              <w:t>  </w:t>
            </w:r>
          </w:p>
        </w:tc>
      </w:tr>
      <w:tr>
        <w:trPr>
          <w:trHeight w:val="120" w:hRule="atLeast"/>
        </w:trPr>
        <w:tc>
          <w:tcPr>
            <w:tcW w:w="4781" w:type="dxa"/>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240" w:type="dxa"/>
            <w:gridSpan w:val="4"/>
            <w:tcBorders/>
            <w:shd w:fill="auto" w:val="clear"/>
            <w:vAlign w:val="center"/>
          </w:tcPr>
          <w:p>
            <w:pPr>
              <w:pStyle w:val="TableContents"/>
              <w:spacing w:before="0" w:after="283"/>
              <w:rPr>
                <w:sz w:val="4"/>
                <w:szCs w:val="4"/>
              </w:rPr>
            </w:pPr>
            <w:r>
              <w:rPr>
                <w:sz w:val="4"/>
                <w:szCs w:val="4"/>
              </w:rPr>
            </w:r>
          </w:p>
        </w:tc>
        <w:tc>
          <w:tcPr>
            <w:tcW w:w="1311" w:type="dxa"/>
            <w:gridSpan w:val="4"/>
            <w:tcBorders/>
            <w:shd w:fill="auto" w:val="clear"/>
            <w:vAlign w:val="center"/>
          </w:tcPr>
          <w:p>
            <w:pPr>
              <w:pStyle w:val="TableContents"/>
              <w:spacing w:before="0" w:after="283"/>
              <w:rPr>
                <w:sz w:val="4"/>
                <w:szCs w:val="4"/>
              </w:rPr>
            </w:pPr>
            <w:r>
              <w:rPr>
                <w:sz w:val="4"/>
                <w:szCs w:val="4"/>
              </w:rPr>
            </w:r>
          </w:p>
        </w:tc>
      </w:tr>
      <w:tr>
        <w:trPr/>
        <w:tc>
          <w:tcPr>
            <w:tcW w:w="4781"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loans:</w:t>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663"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c>
          <w:tcPr>
            <w:tcW w:w="4781"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LOC losses</w:t>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12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12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26" w:type="dxa"/>
            <w:tcBorders/>
            <w:shd w:fill="CCEEFF" w:val="clear"/>
            <w:vAlign w:val="bottom"/>
          </w:tcPr>
          <w:p>
            <w:pPr>
              <w:pStyle w:val="TableContents"/>
              <w:spacing w:before="0" w:after="283"/>
              <w:rPr/>
            </w:pPr>
            <w:r>
              <w:rPr/>
              <w:t>  </w:t>
            </w:r>
          </w:p>
        </w:tc>
      </w:tr>
      <w:tr>
        <w:trPr/>
        <w:tc>
          <w:tcPr>
            <w:tcW w:w="4781" w:type="dxa"/>
            <w:tcBorders/>
            <w:shd w:fill="auto" w:val="clear"/>
          </w:tcPr>
          <w:p>
            <w:pPr>
              <w:pStyle w:val="TableContents"/>
              <w:spacing w:before="0" w:after="283"/>
              <w:rPr>
                <w:rFonts w:ascii="Times New Roman" w:hAnsi="Times New Roman"/>
                <w:sz w:val="20"/>
              </w:rPr>
            </w:pPr>
            <w:r>
              <w:rPr>
                <w:rFonts w:ascii="Times New Roman" w:hAnsi="Times New Roman"/>
                <w:sz w:val="20"/>
              </w:rPr>
              <w:t>Maximum exposure for LOC losses</w:t>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7,079</w:t>
            </w:r>
          </w:p>
        </w:tc>
        <w:tc>
          <w:tcPr>
            <w:tcW w:w="12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7,987</w:t>
            </w:r>
          </w:p>
        </w:tc>
        <w:tc>
          <w:tcPr>
            <w:tcW w:w="12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6,423</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Note P. Subsequent Events </w:t>
      </w:r>
    </w:p>
    <w:p>
      <w:pPr>
        <w:pStyle w:val="TextBody"/>
        <w:pBdr/>
        <w:spacing w:before="90" w:after="0"/>
        <w:rPr/>
      </w:pPr>
      <w:r>
        <w:rPr>
          <w:rFonts w:ascii="Times New Roman" w:hAnsi="Times New Roman"/>
          <w:sz w:val="20"/>
        </w:rPr>
        <w:t>On January 17, 2012, we acquired 14 financial services stores in Hawaii and Texas from 1</w:t>
      </w:r>
      <w:r>
        <w:rPr>
          <w:rFonts w:ascii="Times New Roman" w:hAnsi="Times New Roman"/>
          <w:sz w:val="14"/>
        </w:rPr>
        <w:t>st</w:t>
      </w:r>
      <w:r>
        <w:rPr/>
        <w:t xml:space="preserve"> </w:t>
      </w:r>
      <w:r>
        <w:rPr>
          <w:rFonts w:ascii="Times New Roman" w:hAnsi="Times New Roman"/>
          <w:sz w:val="20"/>
        </w:rPr>
        <w:t xml:space="preserve">Money Centers, Inc. and 1429 Funding, Inc., companies owned partially by Brent Turner, the President of our eCommerce and Card Services division and one of our executive officers, for total consideration consisting of $2 million in cash and 387,924 shares of our Class A Non-Voting common stock, of which Mr. Turner was entitled to receive $2 million in cash and 167,811 shares of stock. The basic terms of the acquisition were agreed to prior to the commencement of Mr. Turners employment (and, thus, prior to Mr. Turners becoming an executive officer), subject to our completion of appropriate due diligence and the execution of appropriate definitive documentation. Even though the terms of the acquisition were agreed to prior to Mr. Turners becoming an executive officer, we treated the transaction as a related party transaction. Consequently, pursuant to our Policy for Review and Evaluation of Related Party Transaction, the Audit Committee reviewed and evaluated the terms of the acquisition and concluded that the transaction was fair to, and in the best interests of, the company and its stockholders. </w:t>
      </w:r>
    </w:p>
    <w:p>
      <w:pPr>
        <w:pStyle w:val="TextBody"/>
        <w:spacing w:before="180" w:after="0"/>
        <w:rPr>
          <w:rFonts w:ascii="Times New Roman" w:hAnsi="Times New Roman"/>
          <w:sz w:val="20"/>
        </w:rPr>
      </w:pPr>
      <w:r>
        <w:rPr>
          <w:rFonts w:ascii="Times New Roman" w:hAnsi="Times New Roman"/>
          <w:sz w:val="20"/>
        </w:rPr>
        <w:t xml:space="preserve">On January 30, 2012, we acquired a 60% ownership interest in Prestaciones Finmart, S.A.P.I. de C.V., SOFOM, E.N.R. (Crediamigo), a specialty consumer finance company headquartered in Mexico City. Under the terms of the definitive agreement, we paid $38.7 million in cash to the existing shareholders of Crediamigo and agreed to contribute an additional $12 million to the capital of the company alongside $8 million contributed by certain of the minority shareholders. This additional capital will be used to repay existing indebtedness and provide working capital. We are obligated to pay the existing shareholders additional amounts on each of the first and second anniversaries of the closing if certain financial performance targets are achieved during 2012 and 2013. </w:t>
      </w:r>
    </w:p>
    <w:p>
      <w:pPr>
        <w:pStyle w:val="TextBody"/>
        <w:spacing w:before="180" w:after="0"/>
        <w:rPr>
          <w:rFonts w:ascii="Times New Roman" w:hAnsi="Times New Roman"/>
          <w:sz w:val="20"/>
        </w:rPr>
      </w:pPr>
      <w:r>
        <w:rPr>
          <w:rFonts w:ascii="Times New Roman" w:hAnsi="Times New Roman"/>
          <w:sz w:val="20"/>
        </w:rPr>
        <w:t xml:space="preserve">The purchase price allocation for these acquisitions is incomplete as we continue to receive information regarding the acquired assets. As a result, we are unable to provide at this time a breakout between net tangible assets, intangible assets and goodwill.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bookmarkStart w:id="8" w:name="tx263324_7"/>
      <w:bookmarkEnd w:id="8"/>
      <w:r>
        <w:rPr>
          <w:rFonts w:ascii="Times New Roman" w:hAnsi="Times New Roman"/>
          <w:b/>
          <w:sz w:val="20"/>
        </w:rPr>
        <w:t xml:space="preserve">Item 2. Managements Discussion and Analysis of Financial Condition and Results of Operations </w:t>
      </w:r>
    </w:p>
    <w:p>
      <w:pPr>
        <w:pStyle w:val="TextBody"/>
        <w:spacing w:before="90" w:after="0"/>
        <w:rPr>
          <w:rFonts w:ascii="Times New Roman" w:hAnsi="Times New Roman"/>
          <w:sz w:val="20"/>
        </w:rPr>
      </w:pPr>
      <w:r>
        <w:rPr>
          <w:rFonts w:ascii="Times New Roman" w:hAnsi="Times New Roman"/>
          <w:sz w:val="20"/>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1ARisk Factors of this report. </w:t>
      </w:r>
    </w:p>
    <w:p>
      <w:pPr>
        <w:pStyle w:val="TextBody"/>
        <w:spacing w:before="270" w:after="0"/>
        <w:rPr>
          <w:rFonts w:ascii="Times New Roman" w:hAnsi="Times New Roman"/>
          <w:sz w:val="20"/>
          <w:u w:val="single"/>
        </w:rPr>
      </w:pPr>
      <w:r>
        <w:rPr>
          <w:rFonts w:ascii="Times New Roman" w:hAnsi="Times New Roman"/>
          <w:sz w:val="20"/>
          <w:u w:val="single"/>
        </w:rPr>
        <w:t xml:space="preserve">Critical Accounting Policies </w:t>
      </w:r>
    </w:p>
    <w:p>
      <w:pPr>
        <w:pStyle w:val="TextBody"/>
        <w:spacing w:before="90" w:after="0"/>
        <w:rPr>
          <w:rFonts w:ascii="Times New Roman" w:hAnsi="Times New Roman"/>
          <w:sz w:val="20"/>
        </w:rPr>
      </w:pPr>
      <w:r>
        <w:rPr>
          <w:rFonts w:ascii="Times New Roman" w:hAnsi="Times New Roman"/>
          <w:sz w:val="20"/>
        </w:rPr>
        <w:t xml:space="preserve">With the exception of the derivative instruments and hedging activities described in the section below, there have been no changes in critical accounting policies as described in our Annual Report on Form 10-K for the year ended September 30, 2011. </w:t>
      </w:r>
    </w:p>
    <w:p>
      <w:pPr>
        <w:pStyle w:val="TextBody"/>
        <w:spacing w:before="270" w:after="0"/>
        <w:rPr>
          <w:rFonts w:ascii="Times New Roman" w:hAnsi="Times New Roman"/>
          <w:sz w:val="20"/>
          <w:u w:val="single"/>
        </w:rPr>
      </w:pPr>
      <w:r>
        <w:rPr>
          <w:rFonts w:ascii="Times New Roman" w:hAnsi="Times New Roman"/>
          <w:sz w:val="20"/>
          <w:u w:val="single"/>
        </w:rPr>
        <w:t xml:space="preserve">Derivative Instruments and Hedging Activities </w:t>
      </w:r>
    </w:p>
    <w:p>
      <w:pPr>
        <w:pStyle w:val="TextBody"/>
        <w:spacing w:before="90" w:after="0"/>
        <w:rPr>
          <w:rFonts w:ascii="Times New Roman" w:hAnsi="Times New Roman"/>
          <w:sz w:val="20"/>
        </w:rPr>
      </w:pPr>
      <w:r>
        <w:rPr>
          <w:rFonts w:ascii="Times New Roman" w:hAnsi="Times New Roman"/>
          <w:sz w:val="20"/>
        </w:rPr>
        <w:t xml:space="preserve">We record all derivative instruments according to Financial Accounting Standards Board (FASB)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 </w:t>
      </w:r>
    </w:p>
    <w:p>
      <w:pPr>
        <w:pStyle w:val="TextBody"/>
        <w:spacing w:before="180" w:after="0"/>
        <w:rPr>
          <w:rFonts w:ascii="Times New Roman" w:hAnsi="Times New Roman"/>
          <w:sz w:val="20"/>
        </w:rPr>
      </w:pPr>
      <w:r>
        <w:rPr>
          <w:rFonts w:ascii="Times New Roman" w:hAnsi="Times New Roman"/>
          <w:sz w:val="20"/>
        </w:rPr>
        <w:t xml:space="preserve">We acquire significant amounts of gold either through purchases or from forfeited pawn loans and sell it to refiners. In order to manage our commodity price risk associated with the forecasted sales of gold scrap, from time to time, we purchase put options related to the future market price of gold. Simultaneously, we may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movement.In the current quarter, we began using derivative financial instruments. These derivatives are not designated as hedges as they do not meet the hedge accounting requirements of FASB ASC 815-20-25. The fair value of the derivative instruments is recognized in Prepaid expenses and other assets in the consolidated balance sheets and changes in fair value are recognized in Other Income in our consolidated statements of operation. </w:t>
      </w:r>
    </w:p>
    <w:p>
      <w:pPr>
        <w:pStyle w:val="TextBody"/>
        <w:spacing w:before="270" w:after="0"/>
        <w:rPr>
          <w:rFonts w:ascii="Times New Roman" w:hAnsi="Times New Roman"/>
          <w:sz w:val="20"/>
          <w:u w:val="single"/>
        </w:rPr>
      </w:pPr>
      <w:r>
        <w:rPr>
          <w:rFonts w:ascii="Times New Roman" w:hAnsi="Times New Roman"/>
          <w:sz w:val="20"/>
          <w:u w:val="single"/>
        </w:rPr>
        <w:t xml:space="preserve">Three Months Ended December 31, 2011 vs. Three Months Ended December 31, 2010 </w:t>
      </w:r>
    </w:p>
    <w:p>
      <w:pPr>
        <w:pStyle w:val="TextBody"/>
        <w:spacing w:before="90" w:after="0"/>
        <w:rPr>
          <w:rFonts w:ascii="Times New Roman" w:hAnsi="Times New Roman"/>
          <w:sz w:val="20"/>
        </w:rPr>
      </w:pPr>
      <w:r>
        <w:rPr>
          <w:rFonts w:ascii="Times New Roman" w:hAnsi="Times New Roman"/>
          <w:sz w:val="20"/>
        </w:rPr>
        <w:t xml:space="preserve">The following table presents selected, unaudited, consolidated financial data for our three-month periods ended December 31, 2011 and 2010 (the current and prior year quarters):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550"/>
        <w:gridCol w:w="374"/>
        <w:gridCol w:w="130"/>
        <w:gridCol w:w="753"/>
        <w:gridCol w:w="125"/>
        <w:gridCol w:w="378"/>
        <w:gridCol w:w="130"/>
        <w:gridCol w:w="756"/>
        <w:gridCol w:w="119"/>
        <w:gridCol w:w="374"/>
        <w:gridCol w:w="69"/>
        <w:gridCol w:w="567"/>
        <w:gridCol w:w="247"/>
      </w:tblGrid>
      <w:tr>
        <w:trPr/>
        <w:tc>
          <w:tcPr>
            <w:tcW w:w="4550"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7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36"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Percentage</w:t>
            </w:r>
          </w:p>
        </w:tc>
        <w:tc>
          <w:tcPr>
            <w:tcW w:w="247" w:type="dxa"/>
            <w:tcBorders/>
            <w:shd w:fill="auto"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8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3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Change</w:t>
            </w:r>
          </w:p>
        </w:tc>
        <w:tc>
          <w:tcPr>
            <w:tcW w:w="247" w:type="dxa"/>
            <w:tcBorders/>
            <w:shd w:fill="auto"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2272"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36" w:type="dxa"/>
            <w:gridSpan w:val="2"/>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4550"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Revenues:</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7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19" w:type="dxa"/>
            <w:tcBorders/>
            <w:shd w:fill="CCEEFF" w:val="clear"/>
            <w:vAlign w:val="bottom"/>
          </w:tcPr>
          <w:p>
            <w:pPr>
              <w:pStyle w:val="TableContents"/>
              <w:spacing w:before="0" w:after="283"/>
              <w:rPr>
                <w:sz w:val="4"/>
                <w:szCs w:val="4"/>
              </w:rPr>
            </w:pPr>
            <w:r>
              <w:rPr>
                <w:sz w:val="4"/>
                <w:szCs w:val="4"/>
              </w:rPr>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sz w:val="4"/>
                <w:szCs w:val="4"/>
              </w:rPr>
            </w:pPr>
            <w:r>
              <w:rPr>
                <w:sz w:val="4"/>
                <w:szCs w:val="4"/>
              </w:rPr>
            </w:r>
          </w:p>
        </w:tc>
        <w:tc>
          <w:tcPr>
            <w:tcW w:w="567" w:type="dxa"/>
            <w:tcBorders/>
            <w:shd w:fill="CCEEFF" w:val="clear"/>
            <w:vAlign w:val="bottom"/>
          </w:tcPr>
          <w:p>
            <w:pPr>
              <w:pStyle w:val="TableContents"/>
              <w:spacing w:before="0" w:after="283"/>
              <w:rPr>
                <w:sz w:val="4"/>
                <w:szCs w:val="4"/>
              </w:rPr>
            </w:pPr>
            <w:r>
              <w:rPr>
                <w:sz w:val="4"/>
                <w:szCs w:val="4"/>
              </w:rPr>
            </w:r>
          </w:p>
        </w:tc>
        <w:tc>
          <w:tcPr>
            <w:tcW w:w="247" w:type="dxa"/>
            <w:tcBorders/>
            <w:shd w:fill="CCEEFF" w:val="clear"/>
            <w:vAlign w:val="bottom"/>
          </w:tcPr>
          <w:p>
            <w:pPr>
              <w:pStyle w:val="TableContents"/>
              <w:spacing w:before="0" w:after="283"/>
              <w:rPr>
                <w:sz w:val="4"/>
                <w:szCs w:val="4"/>
              </w:rPr>
            </w:pPr>
            <w:r>
              <w:rPr>
                <w:sz w:val="4"/>
                <w:szCs w:val="4"/>
              </w:rPr>
            </w:r>
          </w:p>
        </w:tc>
      </w:tr>
      <w:tr>
        <w:trPr/>
        <w:tc>
          <w:tcPr>
            <w:tcW w:w="4550" w:type="dxa"/>
            <w:tcBorders/>
            <w:shd w:fill="auto" w:val="clear"/>
          </w:tcPr>
          <w:p>
            <w:pPr>
              <w:pStyle w:val="TableContents"/>
              <w:spacing w:before="0" w:after="283"/>
              <w:rPr>
                <w:rFonts w:ascii="Times New Roman" w:hAnsi="Times New Roman"/>
                <w:sz w:val="20"/>
              </w:rPr>
            </w:pPr>
            <w:r>
              <w:rPr>
                <w:rFonts w:ascii="Times New Roman" w:hAnsi="Times New Roman"/>
                <w:sz w:val="20"/>
              </w:rPr>
              <w:t>Sales</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143,297</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122,545</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59,792</w:t>
            </w:r>
          </w:p>
        </w:tc>
        <w:tc>
          <w:tcPr>
            <w:tcW w:w="12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49,810</w:t>
            </w:r>
          </w:p>
        </w:tc>
        <w:tc>
          <w:tcPr>
            <w:tcW w:w="11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39,621</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40,066</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5,467</w:t>
            </w:r>
          </w:p>
        </w:tc>
        <w:tc>
          <w:tcPr>
            <w:tcW w:w="12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6,244</w:t>
            </w:r>
          </w:p>
        </w:tc>
        <w:tc>
          <w:tcPr>
            <w:tcW w:w="11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332.3</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7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7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r>
      <w:tr>
        <w:trPr/>
        <w:tc>
          <w:tcPr>
            <w:tcW w:w="455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248,873</w:t>
            </w:r>
          </w:p>
        </w:tc>
        <w:tc>
          <w:tcPr>
            <w:tcW w:w="12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218,826</w:t>
            </w:r>
          </w:p>
        </w:tc>
        <w:tc>
          <w:tcPr>
            <w:tcW w:w="11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4550" w:type="dxa"/>
            <w:tcBorders/>
            <w:shd w:fill="auto" w:val="clear"/>
            <w:vAlign w:val="center"/>
          </w:tcPr>
          <w:p>
            <w:pPr>
              <w:pStyle w:val="TableContents"/>
              <w:spacing w:before="0" w:after="283"/>
              <w:rPr>
                <w:sz w:val="4"/>
                <w:szCs w:val="4"/>
              </w:rPr>
            </w:pPr>
            <w:r>
              <w:rPr>
                <w:sz w:val="4"/>
                <w:szCs w:val="4"/>
              </w:rPr>
            </w:r>
          </w:p>
        </w:tc>
        <w:tc>
          <w:tcPr>
            <w:tcW w:w="1382" w:type="dxa"/>
            <w:gridSpan w:val="4"/>
            <w:tcBorders/>
            <w:shd w:fill="auto" w:val="clear"/>
            <w:vAlign w:val="center"/>
          </w:tcPr>
          <w:p>
            <w:pPr>
              <w:pStyle w:val="TableContents"/>
              <w:spacing w:before="0" w:after="283"/>
              <w:rPr>
                <w:sz w:val="4"/>
                <w:szCs w:val="4"/>
              </w:rPr>
            </w:pPr>
            <w:r>
              <w:rPr>
                <w:sz w:val="4"/>
                <w:szCs w:val="4"/>
              </w:rPr>
            </w:r>
          </w:p>
        </w:tc>
        <w:tc>
          <w:tcPr>
            <w:tcW w:w="1383" w:type="dxa"/>
            <w:gridSpan w:val="4"/>
            <w:tcBorders/>
            <w:shd w:fill="auto" w:val="clear"/>
            <w:vAlign w:val="center"/>
          </w:tcPr>
          <w:p>
            <w:pPr>
              <w:pStyle w:val="TableContents"/>
              <w:spacing w:before="0" w:after="283"/>
              <w:rPr>
                <w:sz w:val="4"/>
                <w:szCs w:val="4"/>
              </w:rPr>
            </w:pPr>
            <w:r>
              <w:rPr>
                <w:sz w:val="4"/>
                <w:szCs w:val="4"/>
              </w:rPr>
            </w:r>
          </w:p>
        </w:tc>
        <w:tc>
          <w:tcPr>
            <w:tcW w:w="1257" w:type="dxa"/>
            <w:gridSpan w:val="4"/>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tcPr>
          <w:p>
            <w:pPr>
              <w:pStyle w:val="TableContents"/>
              <w:spacing w:before="0" w:after="283"/>
              <w:rPr>
                <w:rFonts w:ascii="Times New Roman" w:hAnsi="Times New Roman"/>
                <w:sz w:val="20"/>
              </w:rPr>
            </w:pPr>
            <w:r>
              <w:rPr>
                <w:rFonts w:ascii="Times New Roman" w:hAnsi="Times New Roman"/>
                <w:sz w:val="20"/>
              </w:rPr>
              <w:t>Cost of goods sold</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83,820</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73,566</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10,101</w:t>
            </w:r>
          </w:p>
        </w:tc>
        <w:tc>
          <w:tcPr>
            <w:tcW w:w="12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10,046</w:t>
            </w:r>
          </w:p>
        </w:tc>
        <w:tc>
          <w:tcPr>
            <w:tcW w:w="11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982</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7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756"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r>
      <w:tr>
        <w:trPr/>
        <w:tc>
          <w:tcPr>
            <w:tcW w:w="4550"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7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154,028</w:t>
            </w:r>
          </w:p>
        </w:tc>
        <w:tc>
          <w:tcPr>
            <w:tcW w:w="125"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134,232</w:t>
            </w:r>
          </w:p>
        </w:tc>
        <w:tc>
          <w:tcPr>
            <w:tcW w:w="119" w:type="dxa"/>
            <w:tcBorders/>
            <w:shd w:fill="CCEEFF" w:val="clear"/>
            <w:vAlign w:val="bottom"/>
          </w:tcPr>
          <w:p>
            <w:pPr>
              <w:pStyle w:val="TableContents"/>
              <w:spacing w:before="0" w:after="283"/>
              <w:rPr/>
            </w:pPr>
            <w:r>
              <w:rPr/>
              <w:t>  </w:t>
            </w:r>
          </w:p>
        </w:tc>
        <w:tc>
          <w:tcPr>
            <w:tcW w:w="374"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2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7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756"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r>
      <w:tr>
        <w:trPr/>
        <w:tc>
          <w:tcPr>
            <w:tcW w:w="4550"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Income</w:t>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25"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19" w:type="dxa"/>
            <w:tcBorders/>
            <w:shd w:fill="auto" w:val="clear"/>
            <w:vAlign w:val="bottom"/>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w:t>
            </w:r>
          </w:p>
        </w:tc>
        <w:tc>
          <w:tcPr>
            <w:tcW w:w="2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550"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7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756" w:type="dxa"/>
            <w:tcBorders/>
            <w:shd w:fill="auto" w:val="clear"/>
            <w:vAlign w:val="bottom"/>
          </w:tcPr>
          <w:p>
            <w:pPr>
              <w:pStyle w:val="TableContents"/>
              <w:pBdr>
                <w:top w:val="double" w:sz="6"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374"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our second fiscal quarter of 2011,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 </w:t>
      </w:r>
    </w:p>
    <w:p>
      <w:pPr>
        <w:pStyle w:val="TextBody"/>
        <w:spacing w:before="270" w:after="0"/>
        <w:rPr>
          <w:rFonts w:ascii="Times New Roman" w:hAnsi="Times New Roman"/>
          <w:b/>
          <w:i/>
          <w:sz w:val="20"/>
        </w:rPr>
      </w:pPr>
      <w:r>
        <w:rPr>
          <w:rFonts w:ascii="Times New Roman" w:hAnsi="Times New Roman"/>
          <w:b/>
          <w:i/>
          <w:sz w:val="20"/>
        </w:rPr>
        <w:t xml:space="preserve">Overview </w:t>
      </w:r>
    </w:p>
    <w:p>
      <w:pPr>
        <w:pStyle w:val="TextBody"/>
        <w:spacing w:before="90" w:after="0"/>
        <w:rPr>
          <w:rFonts w:ascii="Times New Roman" w:hAnsi="Times New Roman"/>
          <w:sz w:val="20"/>
        </w:rPr>
      </w:pPr>
      <w:r>
        <w:rPr>
          <w:rFonts w:ascii="Times New Roman" w:hAnsi="Times New Roman"/>
          <w:sz w:val="20"/>
        </w:rPr>
        <w:t xml:space="preserve">We are a leading provider of specialty consumer financial services. We provide collateralized, non-recourse loans, commonly known as pawn loans, and a variety of short-term consumer loans including payday loans, installment loans and auto title loans, and in Texas only, fee-based credit services to customers seeking loans. </w:t>
      </w:r>
    </w:p>
    <w:p>
      <w:pPr>
        <w:pStyle w:val="TextBody"/>
        <w:spacing w:before="180" w:after="0"/>
        <w:rPr>
          <w:rFonts w:ascii="Times New Roman" w:hAnsi="Times New Roman"/>
          <w:sz w:val="20"/>
        </w:rPr>
      </w:pPr>
      <w:r>
        <w:rPr>
          <w:rFonts w:ascii="Times New Roman" w:hAnsi="Times New Roman"/>
          <w:sz w:val="20"/>
        </w:rPr>
        <w:t xml:space="preserve">At December 31, 2011, we operated a total of 1,142 locations, consisting of 450 U.S. pawn stores (operating primarily as EZPAWN or Value Pawn) and seven retail stores (operating as Cash Converters), 192 pawn stores in Mexico (operating as Empeño Fácil or Empeñe su Oro), 428 U.S. financial services stores (operating primarily as EZMONEY), 41 financial services stores in Canada (operating as CASHMAX ) and 24 financial and retail services stores in Canada (operating as Cash Converters). In addition, we are the franchisor for 12 franchised Cash Converters stores in Canada. We also own almost 30% of Albemarle &amp; Bond Holdings, PLC, one of the U.K.s largest pawnbroking businesses with over 150 stores, and almost 33% of Cash Converters International Limited, which franchises and operates a worldwide network of over 600 locations that buy and sell second-hand merchandise and offer financial services. </w:t>
      </w:r>
    </w:p>
    <w:p>
      <w:pPr>
        <w:pStyle w:val="TextBody"/>
        <w:spacing w:before="180" w:after="0"/>
        <w:rPr>
          <w:rFonts w:ascii="Times New Roman" w:hAnsi="Times New Roman"/>
          <w:sz w:val="20"/>
        </w:rPr>
      </w:pPr>
      <w:r>
        <w:rPr>
          <w:rFonts w:ascii="Times New Roman" w:hAnsi="Times New Roman"/>
          <w:sz w:val="20"/>
        </w:rPr>
        <w:t xml:space="preserve">Our business consists of three reportable segments: The U.S. Pawn Operations, which operates only in the United States; Empeño Fácil, which operates only in Mexico; and EZMONEY Operations which operates 422 stores in the United States, 65 stores in Canada and offers signature loans online in the U.K. </w:t>
      </w:r>
    </w:p>
    <w:p>
      <w:pPr>
        <w:pStyle w:val="TextBody"/>
        <w:spacing w:before="270" w:after="0"/>
        <w:rPr>
          <w:rFonts w:ascii="Times New Roman" w:hAnsi="Times New Roman"/>
          <w:sz w:val="20"/>
        </w:rPr>
      </w:pPr>
      <w:r>
        <w:rPr>
          <w:rFonts w:ascii="Times New Roman" w:hAnsi="Times New Roman"/>
          <w:sz w:val="20"/>
        </w:rPr>
        <w:t xml:space="preserve">The following tables present stores by segment: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26"/>
        <w:gridCol w:w="395"/>
        <w:gridCol w:w="98"/>
        <w:gridCol w:w="554"/>
        <w:gridCol w:w="120"/>
        <w:gridCol w:w="395"/>
        <w:gridCol w:w="73"/>
        <w:gridCol w:w="428"/>
        <w:gridCol w:w="120"/>
        <w:gridCol w:w="395"/>
        <w:gridCol w:w="98"/>
        <w:gridCol w:w="553"/>
        <w:gridCol w:w="125"/>
        <w:gridCol w:w="341"/>
        <w:gridCol w:w="88"/>
        <w:gridCol w:w="756"/>
        <w:gridCol w:w="125"/>
        <w:gridCol w:w="341"/>
        <w:gridCol w:w="119"/>
        <w:gridCol w:w="522"/>
        <w:gridCol w:w="133"/>
      </w:tblGrid>
      <w:tr>
        <w:trPr/>
        <w:tc>
          <w:tcPr>
            <w:tcW w:w="442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44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14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2011</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41"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4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144"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Company-owned Stores</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41"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42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65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br/>
              <w:t>Operations</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w:t>
              <w:br/>
              <w:t>Fácil</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6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br/>
              <w:t>Operations</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Franchises</w:t>
            </w:r>
          </w:p>
        </w:tc>
        <w:tc>
          <w:tcPr>
            <w:tcW w:w="133" w:type="dxa"/>
            <w:tcBorders/>
            <w:shd w:fill="auto" w:val="clear"/>
            <w:vAlign w:val="bottom"/>
          </w:tcPr>
          <w:p>
            <w:pPr>
              <w:pStyle w:val="TableContents"/>
              <w:spacing w:before="0" w:after="283"/>
              <w:rPr/>
            </w:pPr>
            <w:r>
              <w:rPr/>
              <w:t> </w:t>
            </w:r>
          </w:p>
        </w:tc>
      </w:tr>
      <w:tr>
        <w:trPr/>
        <w:tc>
          <w:tcPr>
            <w:tcW w:w="4426"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sz w:val="4"/>
                <w:szCs w:val="4"/>
              </w:rPr>
            </w:pPr>
            <w:r>
              <w:rPr>
                <w:sz w:val="4"/>
                <w:szCs w:val="4"/>
              </w:rPr>
            </w:r>
          </w:p>
        </w:tc>
        <w:tc>
          <w:tcPr>
            <w:tcW w:w="75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522"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sz w:val="4"/>
                <w:szCs w:val="4"/>
              </w:rPr>
            </w:pPr>
            <w:r>
              <w:rPr>
                <w:sz w:val="4"/>
                <w:szCs w:val="4"/>
              </w:rPr>
            </w:r>
          </w:p>
        </w:tc>
      </w:tr>
      <w:tr>
        <w:trPr/>
        <w:tc>
          <w:tcPr>
            <w:tcW w:w="4426"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1,111</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33" w:type="dxa"/>
            <w:tcBorders/>
            <w:shd w:fill="auto" w:val="clear"/>
            <w:vAlign w:val="bottom"/>
          </w:tcPr>
          <w:p>
            <w:pPr>
              <w:pStyle w:val="TableContents"/>
              <w:spacing w:before="0" w:after="283"/>
              <w:rPr/>
            </w:pPr>
            <w:r>
              <w:rPr/>
              <w:t>  </w:t>
            </w:r>
          </w:p>
        </w:tc>
      </w:tr>
      <w:tr>
        <w:trPr/>
        <w:tc>
          <w:tcPr>
            <w:tcW w:w="4426" w:type="dxa"/>
            <w:tcBorders/>
            <w:shd w:fill="CCEEFF" w:val="clear"/>
          </w:tcPr>
          <w:p>
            <w:pPr>
              <w:pStyle w:val="TableContents"/>
              <w:spacing w:before="0" w:after="283"/>
              <w:rPr>
                <w:rFonts w:ascii="Times New Roman" w:hAnsi="Times New Roman"/>
                <w:sz w:val="20"/>
              </w:rPr>
            </w:pPr>
            <w:r>
              <w:rPr>
                <w:rFonts w:ascii="Times New Roman" w:hAnsi="Times New Roman"/>
                <w:sz w:val="20"/>
              </w:rPr>
              <w:t>New openings</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4426"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4426"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426"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283"/>
              <w:rPr/>
            </w:pPr>
            <w:r>
              <w:rPr/>
              <w:t> </w:t>
            </w:r>
          </w:p>
        </w:tc>
        <w:tc>
          <w:tcPr>
            <w:tcW w:w="554"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single" w:sz="2" w:space="1" w:color="000000"/>
              </w:pBdr>
              <w:spacing w:before="0" w:after="283"/>
              <w:rPr/>
            </w:pPr>
            <w:r>
              <w:rPr/>
              <w:t> </w:t>
            </w:r>
          </w:p>
        </w:tc>
        <w:tc>
          <w:tcPr>
            <w:tcW w:w="75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283"/>
              <w:rPr/>
            </w:pPr>
            <w:r>
              <w:rPr/>
              <w:t> </w:t>
            </w:r>
          </w:p>
        </w:tc>
        <w:tc>
          <w:tcPr>
            <w:tcW w:w="522" w:type="dxa"/>
            <w:tcBorders/>
            <w:shd w:fill="auto" w:val="clear"/>
            <w:vAlign w:val="bottom"/>
          </w:tcPr>
          <w:p>
            <w:pPr>
              <w:pStyle w:val="TableContents"/>
              <w:pBdr>
                <w:top w:val="single" w:sz="2"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6"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20"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1,142</w:t>
            </w:r>
          </w:p>
        </w:tc>
        <w:tc>
          <w:tcPr>
            <w:tcW w:w="125"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3" w:type="dxa"/>
            <w:tcBorders/>
            <w:shd w:fill="auto" w:val="clear"/>
            <w:vAlign w:val="bottom"/>
          </w:tcPr>
          <w:p>
            <w:pPr>
              <w:pStyle w:val="TableContents"/>
              <w:spacing w:before="0" w:after="283"/>
              <w:rPr/>
            </w:pPr>
            <w:r>
              <w:rPr/>
              <w:t>  </w:t>
            </w:r>
          </w:p>
        </w:tc>
      </w:tr>
      <w:tr>
        <w:trPr/>
        <w:tc>
          <w:tcPr>
            <w:tcW w:w="4426"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283"/>
              <w:rPr/>
            </w:pPr>
            <w:r>
              <w:rPr/>
              <w:t> </w:t>
            </w:r>
          </w:p>
        </w:tc>
        <w:tc>
          <w:tcPr>
            <w:tcW w:w="554"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double" w:sz="6" w:space="1" w:color="000000"/>
              </w:pBdr>
              <w:spacing w:before="0" w:after="283"/>
              <w:rPr/>
            </w:pPr>
            <w:r>
              <w:rPr/>
              <w:t> </w:t>
            </w:r>
          </w:p>
        </w:tc>
        <w:tc>
          <w:tcPr>
            <w:tcW w:w="75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double" w:sz="6" w:space="1" w:color="000000"/>
              </w:pBdr>
              <w:spacing w:before="0" w:after="283"/>
              <w:rPr/>
            </w:pPr>
            <w:r>
              <w:rPr/>
              <w:t> </w:t>
            </w:r>
          </w:p>
        </w:tc>
        <w:tc>
          <w:tcPr>
            <w:tcW w:w="522" w:type="dxa"/>
            <w:tcBorders/>
            <w:shd w:fill="auto" w:val="clear"/>
            <w:vAlign w:val="bottom"/>
          </w:tcPr>
          <w:p>
            <w:pPr>
              <w:pStyle w:val="TableContents"/>
              <w:pBdr>
                <w:top w:val="double" w:sz="6" w:space="1" w:color="000000"/>
              </w:pBdr>
              <w:spacing w:before="0" w:after="283"/>
              <w:rPr/>
            </w:pPr>
            <w:r>
              <w:rPr/>
              <w:t> </w:t>
            </w:r>
          </w:p>
        </w:tc>
        <w:tc>
          <w:tcPr>
            <w:tcW w:w="133" w:type="dxa"/>
            <w:tcBorders/>
            <w:shd w:fill="auto" w:val="clear"/>
            <w:vAlign w:val="center"/>
          </w:tcPr>
          <w:p>
            <w:pPr>
              <w:pStyle w:val="TableContents"/>
              <w:spacing w:before="0" w:after="283"/>
              <w:rPr/>
            </w:pPr>
            <w:r>
              <w:rPr/>
              <w:t> </w:t>
            </w:r>
          </w:p>
        </w:tc>
      </w:tr>
      <w:tr>
        <w:trPr/>
        <w:tc>
          <w:tcPr>
            <w:tcW w:w="4426"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number of stores during the period</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20"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125"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3"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66"/>
        <w:gridCol w:w="398"/>
        <w:gridCol w:w="98"/>
        <w:gridCol w:w="553"/>
        <w:gridCol w:w="125"/>
        <w:gridCol w:w="344"/>
        <w:gridCol w:w="73"/>
        <w:gridCol w:w="428"/>
        <w:gridCol w:w="120"/>
        <w:gridCol w:w="398"/>
        <w:gridCol w:w="98"/>
        <w:gridCol w:w="553"/>
        <w:gridCol w:w="124"/>
        <w:gridCol w:w="344"/>
        <w:gridCol w:w="88"/>
        <w:gridCol w:w="755"/>
        <w:gridCol w:w="125"/>
        <w:gridCol w:w="344"/>
        <w:gridCol w:w="119"/>
        <w:gridCol w:w="521"/>
        <w:gridCol w:w="131"/>
      </w:tblGrid>
      <w:tr>
        <w:trPr/>
        <w:tc>
          <w:tcPr>
            <w:tcW w:w="446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44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0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 2010</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4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44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410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Company-owned Stores</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40"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446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6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U.S. Pawn</w:t>
              <w:br/>
              <w:t>Operations</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50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Empeño</w:t>
              <w:br/>
              <w:t>Fácil</w:t>
            </w:r>
          </w:p>
        </w:tc>
        <w:tc>
          <w:tcPr>
            <w:tcW w:w="12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6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EZMONEY</w:t>
              <w:br/>
              <w:t>Operations</w:t>
            </w:r>
          </w:p>
        </w:tc>
        <w:tc>
          <w:tcPr>
            <w:tcW w:w="12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4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Consolidated</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Franchises</w:t>
            </w:r>
          </w:p>
        </w:tc>
        <w:tc>
          <w:tcPr>
            <w:tcW w:w="131" w:type="dxa"/>
            <w:tcBorders/>
            <w:shd w:fill="auto" w:val="clear"/>
            <w:vAlign w:val="bottom"/>
          </w:tcPr>
          <w:p>
            <w:pPr>
              <w:pStyle w:val="TableContents"/>
              <w:spacing w:before="0" w:after="283"/>
              <w:rPr/>
            </w:pPr>
            <w:r>
              <w:rPr/>
              <w:t> </w:t>
            </w:r>
          </w:p>
        </w:tc>
      </w:tr>
      <w:tr>
        <w:trPr/>
        <w:tc>
          <w:tcPr>
            <w:tcW w:w="4466" w:type="dxa"/>
            <w:tcBorders/>
            <w:shd w:fill="CCEEFF" w:val="clear"/>
          </w:tcPr>
          <w:p>
            <w:pPr>
              <w:pStyle w:val="TableContents"/>
              <w:spacing w:before="0" w:after="283"/>
              <w:rPr>
                <w:rFonts w:ascii="Times New Roman" w:hAnsi="Times New Roman"/>
                <w:sz w:val="20"/>
              </w:rPr>
            </w:pPr>
            <w:r>
              <w:rPr>
                <w:rFonts w:ascii="Times New Roman" w:hAnsi="Times New Roman"/>
                <w:sz w:val="20"/>
              </w:rPr>
              <w:t>Stores in operation:</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4"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sz w:val="4"/>
                <w:szCs w:val="4"/>
              </w:rPr>
            </w:pPr>
            <w:r>
              <w:rPr>
                <w:sz w:val="4"/>
                <w:szCs w:val="4"/>
              </w:rPr>
            </w:r>
          </w:p>
        </w:tc>
        <w:tc>
          <w:tcPr>
            <w:tcW w:w="42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34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sz w:val="4"/>
                <w:szCs w:val="4"/>
              </w:rPr>
            </w:pPr>
            <w:r>
              <w:rPr>
                <w:sz w:val="4"/>
                <w:szCs w:val="4"/>
              </w:rPr>
            </w:r>
          </w:p>
        </w:tc>
        <w:tc>
          <w:tcPr>
            <w:tcW w:w="755"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4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sz w:val="4"/>
                <w:szCs w:val="4"/>
              </w:rPr>
            </w:pPr>
            <w:r>
              <w:rPr>
                <w:sz w:val="4"/>
                <w:szCs w:val="4"/>
              </w:rPr>
            </w:r>
          </w:p>
        </w:tc>
        <w:tc>
          <w:tcPr>
            <w:tcW w:w="521" w:type="dxa"/>
            <w:tcBorders/>
            <w:shd w:fill="CCEEFF" w:val="clear"/>
            <w:vAlign w:val="bottom"/>
          </w:tcPr>
          <w:p>
            <w:pPr>
              <w:pStyle w:val="TableContents"/>
              <w:spacing w:before="0" w:after="283"/>
              <w:rPr>
                <w:sz w:val="4"/>
                <w:szCs w:val="4"/>
              </w:rPr>
            </w:pPr>
            <w:r>
              <w:rPr>
                <w:sz w:val="4"/>
                <w:szCs w:val="4"/>
              </w:rPr>
            </w:r>
          </w:p>
        </w:tc>
        <w:tc>
          <w:tcPr>
            <w:tcW w:w="131" w:type="dxa"/>
            <w:tcBorders/>
            <w:shd w:fill="CCEEFF" w:val="clear"/>
            <w:vAlign w:val="bottom"/>
          </w:tcPr>
          <w:p>
            <w:pPr>
              <w:pStyle w:val="TableContents"/>
              <w:spacing w:before="0" w:after="283"/>
              <w:rPr>
                <w:sz w:val="4"/>
                <w:szCs w:val="4"/>
              </w:rPr>
            </w:pPr>
            <w:r>
              <w:rPr>
                <w:sz w:val="4"/>
                <w:szCs w:val="4"/>
              </w:rPr>
            </w:r>
          </w:p>
        </w:tc>
      </w:tr>
      <w:tr>
        <w:trPr/>
        <w:tc>
          <w:tcPr>
            <w:tcW w:w="4466" w:type="dxa"/>
            <w:tcBorders/>
            <w:shd w:fill="auto" w:val="clear"/>
          </w:tcPr>
          <w:p>
            <w:pPr>
              <w:pStyle w:val="TableContents"/>
              <w:spacing w:before="0" w:after="283"/>
              <w:rPr>
                <w:rFonts w:ascii="Times New Roman" w:hAnsi="Times New Roman"/>
                <w:sz w:val="20"/>
              </w:rPr>
            </w:pPr>
            <w:r>
              <w:rPr>
                <w:rFonts w:ascii="Times New Roman" w:hAnsi="Times New Roman"/>
                <w:sz w:val="20"/>
              </w:rPr>
              <w:t>Beginning of period</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2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495</w:t>
            </w:r>
          </w:p>
        </w:tc>
        <w:tc>
          <w:tcPr>
            <w:tcW w:w="12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1,006</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466" w:type="dxa"/>
            <w:tcBorders/>
            <w:shd w:fill="CCEEFF" w:val="clear"/>
          </w:tcPr>
          <w:p>
            <w:pPr>
              <w:pStyle w:val="TableContents"/>
              <w:spacing w:before="0" w:after="283"/>
              <w:rPr>
                <w:rFonts w:ascii="Times New Roman" w:hAnsi="Times New Roman"/>
                <w:sz w:val="20"/>
              </w:rPr>
            </w:pPr>
            <w:r>
              <w:rPr>
                <w:rFonts w:ascii="Times New Roman" w:hAnsi="Times New Roman"/>
                <w:sz w:val="20"/>
              </w:rPr>
              <w:t>New openings</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4466" w:type="dxa"/>
            <w:tcBorders/>
            <w:shd w:fill="auto" w:val="clear"/>
          </w:tcPr>
          <w:p>
            <w:pPr>
              <w:pStyle w:val="TableContents"/>
              <w:spacing w:before="0" w:after="283"/>
              <w:rPr>
                <w:rFonts w:ascii="Times New Roman" w:hAnsi="Times New Roman"/>
                <w:sz w:val="20"/>
              </w:rPr>
            </w:pPr>
            <w:r>
              <w:rPr>
                <w:rFonts w:ascii="Times New Roman" w:hAnsi="Times New Roman"/>
                <w:sz w:val="20"/>
              </w:rPr>
              <w:t>Acquired</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466" w:type="dxa"/>
            <w:tcBorders/>
            <w:shd w:fill="CCEEFF" w:val="clear"/>
          </w:tcPr>
          <w:p>
            <w:pPr>
              <w:pStyle w:val="TableContents"/>
              <w:spacing w:before="0" w:after="283"/>
              <w:rPr>
                <w:rFonts w:ascii="Times New Roman" w:hAnsi="Times New Roman"/>
                <w:sz w:val="20"/>
              </w:rPr>
            </w:pPr>
            <w:r>
              <w:rPr>
                <w:rFonts w:ascii="Times New Roman" w:hAnsi="Times New Roman"/>
                <w:sz w:val="20"/>
              </w:rPr>
              <w:t>Sold, combined, or closed</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4"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4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r>
        <w:trPr/>
        <w:tc>
          <w:tcPr>
            <w:tcW w:w="4466"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single" w:sz="2" w:space="1" w:color="000000"/>
              </w:pBdr>
              <w:spacing w:before="0" w:after="283"/>
              <w:rPr/>
            </w:pPr>
            <w:r>
              <w:rPr/>
              <w:t> </w:t>
            </w:r>
          </w:p>
        </w:tc>
        <w:tc>
          <w:tcPr>
            <w:tcW w:w="42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single" w:sz="2" w:space="1" w:color="000000"/>
              </w:pBdr>
              <w:spacing w:before="0" w:after="283"/>
              <w:rPr/>
            </w:pPr>
            <w:r>
              <w:rPr/>
              <w:t> </w:t>
            </w:r>
          </w:p>
        </w:tc>
        <w:tc>
          <w:tcPr>
            <w:tcW w:w="553"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single" w:sz="2" w:space="1" w:color="000000"/>
              </w:pBdr>
              <w:spacing w:before="0" w:after="283"/>
              <w:rPr/>
            </w:pPr>
            <w:r>
              <w:rPr/>
              <w:t> </w:t>
            </w:r>
          </w:p>
        </w:tc>
        <w:tc>
          <w:tcPr>
            <w:tcW w:w="755"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single" w:sz="2" w:space="1" w:color="000000"/>
              </w:pBdr>
              <w:spacing w:before="0" w:after="283"/>
              <w:rPr/>
            </w:pPr>
            <w:r>
              <w:rPr/>
              <w:t> </w:t>
            </w:r>
          </w:p>
        </w:tc>
        <w:tc>
          <w:tcPr>
            <w:tcW w:w="521" w:type="dxa"/>
            <w:tcBorders/>
            <w:shd w:fill="auto" w:val="clear"/>
            <w:vAlign w:val="bottom"/>
          </w:tcPr>
          <w:p>
            <w:pPr>
              <w:pStyle w:val="TableContents"/>
              <w:pBdr>
                <w:top w:val="single" w:sz="2"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466" w:type="dxa"/>
            <w:tcBorders/>
            <w:shd w:fill="auto" w:val="clear"/>
          </w:tcPr>
          <w:p>
            <w:pPr>
              <w:pStyle w:val="TableContents"/>
              <w:spacing w:before="0" w:after="283"/>
              <w:rPr>
                <w:rFonts w:ascii="Times New Roman" w:hAnsi="Times New Roman"/>
                <w:sz w:val="20"/>
              </w:rPr>
            </w:pPr>
            <w:r>
              <w:rPr>
                <w:rFonts w:ascii="Times New Roman" w:hAnsi="Times New Roman"/>
                <w:sz w:val="20"/>
              </w:rPr>
              <w:t>End of Period</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12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24"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1,032</w:t>
            </w:r>
          </w:p>
        </w:tc>
        <w:tc>
          <w:tcPr>
            <w:tcW w:w="125"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5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4466" w:type="dxa"/>
            <w:tcBorders/>
            <w:shd w:fill="auto" w:val="clear"/>
            <w:vAlign w:val="bottom"/>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pBdr>
                <w:top w:val="double" w:sz="6" w:space="1" w:color="000000"/>
              </w:pBdr>
              <w:spacing w:before="0" w:after="283"/>
              <w:rPr/>
            </w:pPr>
            <w:r>
              <w:rPr/>
              <w:t> </w:t>
            </w:r>
          </w:p>
        </w:tc>
        <w:tc>
          <w:tcPr>
            <w:tcW w:w="42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pBdr>
                <w:top w:val="double" w:sz="6" w:space="1" w:color="000000"/>
              </w:pBdr>
              <w:spacing w:before="0" w:after="283"/>
              <w:rPr/>
            </w:pPr>
            <w:r>
              <w:rPr/>
              <w:t> </w:t>
            </w:r>
          </w:p>
        </w:tc>
        <w:tc>
          <w:tcPr>
            <w:tcW w:w="553"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pBdr>
                <w:top w:val="double" w:sz="6" w:space="1" w:color="000000"/>
              </w:pBdr>
              <w:spacing w:before="0" w:after="283"/>
              <w:rPr/>
            </w:pPr>
            <w:r>
              <w:rPr/>
              <w:t> </w:t>
            </w:r>
          </w:p>
        </w:tc>
        <w:tc>
          <w:tcPr>
            <w:tcW w:w="755"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pBdr>
                <w:top w:val="double" w:sz="6" w:space="1" w:color="000000"/>
              </w:pBdr>
              <w:spacing w:before="0" w:after="283"/>
              <w:rPr/>
            </w:pPr>
            <w:r>
              <w:rPr/>
              <w:t> </w:t>
            </w:r>
          </w:p>
        </w:tc>
        <w:tc>
          <w:tcPr>
            <w:tcW w:w="521" w:type="dxa"/>
            <w:tcBorders/>
            <w:shd w:fill="auto" w:val="clear"/>
            <w:vAlign w:val="bottom"/>
          </w:tcPr>
          <w:p>
            <w:pPr>
              <w:pStyle w:val="TableContents"/>
              <w:pBdr>
                <w:top w:val="double" w:sz="6" w:space="1" w:color="000000"/>
              </w:pBdr>
              <w:spacing w:before="0" w:after="283"/>
              <w:rPr/>
            </w:pPr>
            <w:r>
              <w:rPr/>
              <w:t> </w:t>
            </w:r>
          </w:p>
        </w:tc>
        <w:tc>
          <w:tcPr>
            <w:tcW w:w="131" w:type="dxa"/>
            <w:tcBorders/>
            <w:shd w:fill="auto" w:val="clear"/>
            <w:vAlign w:val="center"/>
          </w:tcPr>
          <w:p>
            <w:pPr>
              <w:pStyle w:val="TableContents"/>
              <w:spacing w:before="0" w:after="283"/>
              <w:rPr/>
            </w:pPr>
            <w:r>
              <w:rPr/>
              <w:t> </w:t>
            </w:r>
          </w:p>
        </w:tc>
      </w:tr>
      <w:tr>
        <w:trPr/>
        <w:tc>
          <w:tcPr>
            <w:tcW w:w="4466"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number of stores during the period</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2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4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2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1,019</w:t>
            </w:r>
          </w:p>
        </w:tc>
        <w:tc>
          <w:tcPr>
            <w:tcW w:w="125"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CCEEFF" w:val="clear"/>
            <w:vAlign w:val="bottom"/>
          </w:tcPr>
          <w:p>
            <w:pPr>
              <w:pStyle w:val="TableContents"/>
              <w:spacing w:before="0" w:after="283"/>
              <w:rPr/>
            </w:pPr>
            <w:r>
              <w:rPr/>
              <w:t>  </w:t>
            </w:r>
          </w:p>
        </w:tc>
      </w:tr>
    </w:tbl>
    <w:p>
      <w:pPr>
        <w:pStyle w:val="TextBody"/>
        <w:spacing w:before="270" w:after="0"/>
        <w:rPr>
          <w:rFonts w:ascii="Times New Roman" w:hAnsi="Times New Roman"/>
          <w:sz w:val="20"/>
          <w:u w:val="single"/>
        </w:rPr>
      </w:pPr>
      <w:r>
        <w:rPr>
          <w:rFonts w:ascii="Times New Roman" w:hAnsi="Times New Roman"/>
          <w:sz w:val="20"/>
          <w:u w:val="single"/>
        </w:rPr>
        <w:t xml:space="preserve">Pawn and Retail Activities </w:t>
      </w:r>
    </w:p>
    <w:p>
      <w:pPr>
        <w:pStyle w:val="TextBody"/>
        <w:spacing w:before="90" w:after="0"/>
        <w:rPr>
          <w:rFonts w:ascii="Times New Roman" w:hAnsi="Times New Roman"/>
          <w:sz w:val="20"/>
        </w:rPr>
      </w:pPr>
      <w:r>
        <w:rPr>
          <w:rFonts w:ascii="Times New Roman" w:hAnsi="Times New Roman"/>
          <w:sz w:val="20"/>
        </w:rPr>
        <w:t xml:space="preserve">We earn pawn service charge revenues on our pawn lending. While allowable service charges vary by state and loan size, a majority of our U.S. pawn loans earn 20% per month. Our average U.S. pawn loan amount typically ranges between $135 and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$60 U.S. dollars.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our pawn stores, retail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 </w:t>
      </w:r>
    </w:p>
    <w:p>
      <w:pPr>
        <w:pStyle w:val="TextBody"/>
        <w:spacing w:before="180" w:after="0"/>
        <w:rPr>
          <w:rFonts w:ascii="Times New Roman" w:hAnsi="Times New Roman"/>
          <w:sz w:val="20"/>
        </w:rPr>
      </w:pPr>
      <w:r>
        <w:rPr>
          <w:rFonts w:ascii="Times New Roman" w:hAnsi="Times New Roman"/>
          <w:sz w:val="20"/>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December 31, 2011, our total allowance was 7.4% of gross inventory compared to 7.6% at December 31, 2010 and 9.5% at September 30, 2011. Changes in the valuation allowance are charged to merchandise cost of goods sold. </w:t>
      </w:r>
    </w:p>
    <w:p>
      <w:pPr>
        <w:pStyle w:val="TextBody"/>
        <w:spacing w:before="270" w:after="0"/>
        <w:rPr>
          <w:rFonts w:ascii="Times New Roman" w:hAnsi="Times New Roman"/>
          <w:sz w:val="20"/>
          <w:u w:val="single"/>
        </w:rPr>
      </w:pPr>
      <w:r>
        <w:rPr>
          <w:rFonts w:ascii="Times New Roman" w:hAnsi="Times New Roman"/>
          <w:sz w:val="20"/>
          <w:u w:val="single"/>
        </w:rPr>
        <w:t xml:space="preserve">Signature Loan and Auto Title Loan Activities </w:t>
      </w:r>
    </w:p>
    <w:p>
      <w:pPr>
        <w:pStyle w:val="TextBody"/>
        <w:spacing w:before="90" w:after="0"/>
        <w:rPr>
          <w:rFonts w:ascii="Times New Roman" w:hAnsi="Times New Roman"/>
          <w:sz w:val="20"/>
        </w:rPr>
      </w:pPr>
      <w:r>
        <w:rPr>
          <w:rFonts w:ascii="Times New Roman" w:hAnsi="Times New Roman"/>
          <w:sz w:val="20"/>
        </w:rPr>
        <w:t xml:space="preserve">In Texas, at December 31, 2011, 285 of our U.S. financial services stores and 25 of our U.S.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signature loans from the unaffiliated lenders. In all stores offering signature loan credit services, customers can obtain payday loans, with principal amounts up to $1,500 but averaging about $520. Terms of these loans are generally less than 30 days, averaging about 16 days, with due dates corresponding with the customers next payday. We typically earn a fee of 22% of the loan amount for our credit services offered in connection with payday loans. In 285 of the U.S. financial services stores offering credit services, customers can obtain longer-term unsecured installment loans from the unaffiliated lenders. There are two types of installment loans offered in connection with our credit services. All installment loans typically carry terms of about five months with ten equal installment payments, including principal amortization, due on customers paydays. Traditional installment loan principal amounts range from $1,525 to $3,000, but average about $2,085, and with each semi-monthly or bi-weekly installment payment, we earn a fee of 11% of the initial loan amount. Low dollar installment loan principal amounts range from $100 to $1,500, but average about $675, with each semi-monthly or bi-weekly installment payment, we earn a fee of 14% of the initial loan amount. At December 31, 2011, payday loans comprised 91% of the balance of signature loans brokered through our credit services, and installment loans comprised the remaining 9%. </w:t>
      </w:r>
    </w:p>
    <w:p>
      <w:pPr>
        <w:pStyle w:val="TextBody"/>
        <w:spacing w:before="180" w:after="0"/>
        <w:rPr>
          <w:rFonts w:ascii="Times New Roman" w:hAnsi="Times New Roman"/>
          <w:sz w:val="20"/>
        </w:rPr>
      </w:pPr>
      <w:r>
        <w:rPr>
          <w:rFonts w:ascii="Times New Roman" w:hAnsi="Times New Roman"/>
          <w:sz w:val="20"/>
        </w:rPr>
        <w:t xml:space="preserve">Outside of Texas, we earn signature loan fee revenue on our payday loans. In 15 U.S. pawn stores, 69 U.S. financial services stores and 64 Canadian financial services stores we make payday loans subject to state or provincial law. The average payday loan amount is approximately $445 and the term is generally less than 30 days, averaging about 16 days. We typically charge a fee of 15% to 22% of the loan amount. In 115 of our U.S. financial services stores and three U.S. pawn stores, we make installment loans subject to state law. These installment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We began offering installment loans rather than payday loans in Colorado in August 2010, in Wisconsin in January 2011 and in Missouri in June 2011. Installment loan principal amounts range from $100 to $3,000, but average approximately $550. </w:t>
      </w:r>
    </w:p>
    <w:p>
      <w:pPr>
        <w:pStyle w:val="TextBody"/>
        <w:spacing w:before="180" w:after="0"/>
        <w:rPr>
          <w:rFonts w:ascii="Times New Roman" w:hAnsi="Times New Roman"/>
          <w:sz w:val="20"/>
        </w:rPr>
      </w:pPr>
      <w:r>
        <w:rPr>
          <w:rFonts w:ascii="Times New Roman" w:hAnsi="Times New Roman"/>
          <w:sz w:val="20"/>
        </w:rPr>
        <w:t xml:space="preserve">At December 31, 2011, 396 of our U.S. financial services stores and 44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$825. We earn a fee of 12.5% to 25% of auto title loan amounts. </w:t>
      </w:r>
    </w:p>
    <w:p>
      <w:pPr>
        <w:pStyle w:val="TextBody"/>
        <w:spacing w:before="270" w:after="0"/>
        <w:rPr>
          <w:rFonts w:ascii="Times New Roman" w:hAnsi="Times New Roman"/>
          <w:sz w:val="20"/>
          <w:u w:val="single"/>
        </w:rPr>
      </w:pPr>
      <w:r>
        <w:rPr>
          <w:rFonts w:ascii="Times New Roman" w:hAnsi="Times New Roman"/>
          <w:sz w:val="20"/>
          <w:u w:val="single"/>
        </w:rPr>
        <w:t xml:space="preserve">Acquisitions </w:t>
      </w:r>
    </w:p>
    <w:p>
      <w:pPr>
        <w:pStyle w:val="TextBody"/>
        <w:spacing w:before="90" w:after="0"/>
        <w:rPr>
          <w:rFonts w:ascii="Times New Roman" w:hAnsi="Times New Roman"/>
          <w:sz w:val="20"/>
        </w:rPr>
      </w:pPr>
      <w:r>
        <w:rPr>
          <w:rFonts w:ascii="Times New Roman" w:hAnsi="Times New Roman"/>
          <w:sz w:val="20"/>
        </w:rPr>
        <w:t xml:space="preserve">In the quarter ended December 31, 2011, we acquired 17 pawn stores and 8 retail stores located in the San Antonio metropolitan area, Florida, Pennsylvania, Virginia and Canada for approximately $48.2 million in cash and the issuance of approximately 39,000 shares of EZCORP stock valued at $1.1 million. In the quarter ended December 31, 2010 we acquired three pawn stores located in the Chicago metropolitan area and one located in Marietta, Georgia for approximately $13.7 million in cash. All stores were acquired as part of our continuing strategy to acquire domestic and foreign pawn stores to enhance and diversify our earnings. The results of all acquired stores have been consolidated with our results since their acquisition. In the current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we acquired a decision science model for the underwriting of consumer loans, a contractual relationship with an income tax return preparer to facilitate refund anticipation loans and an online lending business in the U.K., from a related party, for an aggregate purchase price of $1.2 million, which was paid in cash. </w:t>
      </w:r>
    </w:p>
    <w:p>
      <w:pPr>
        <w:pStyle w:val="TextBody"/>
        <w:spacing w:before="270" w:after="0"/>
        <w:rPr>
          <w:rFonts w:ascii="Times New Roman" w:hAnsi="Times New Roman"/>
          <w:sz w:val="20"/>
          <w:u w:val="single"/>
        </w:rPr>
      </w:pPr>
      <w:r>
        <w:rPr>
          <w:rFonts w:ascii="Times New Roman" w:hAnsi="Times New Roman"/>
          <w:sz w:val="20"/>
          <w:u w:val="single"/>
        </w:rPr>
        <w:t xml:space="preserve">Other </w:t>
      </w:r>
    </w:p>
    <w:p>
      <w:pPr>
        <w:pStyle w:val="TextBody"/>
        <w:spacing w:before="90" w:after="0"/>
        <w:rPr>
          <w:rFonts w:ascii="Times New Roman" w:hAnsi="Times New Roman"/>
          <w:sz w:val="20"/>
        </w:rPr>
      </w:pPr>
      <w:r>
        <w:rPr>
          <w:rFonts w:ascii="Times New Roman" w:hAnsi="Times New Roman"/>
          <w:sz w:val="20"/>
        </w:rPr>
        <w:t xml:space="preserve">Included in the prior year quarter results is a pre-tax administrative expense charge of $10.9 million related to the October 2010 retirement of our former Chief Executive Officer, including $3.4 million attributable to a cash payment and $7.5 million attributable to the vesting of restricted stock. The prior year quarter income tax expense reflects a $3.8 million tax benefit related to this charge. </w:t>
      </w:r>
    </w:p>
    <w:p>
      <w:pPr>
        <w:pStyle w:val="TextBody"/>
        <w:spacing w:before="270" w:after="0"/>
        <w:rPr>
          <w:rFonts w:ascii="Times New Roman" w:hAnsi="Times New Roman"/>
          <w:b/>
          <w:i/>
          <w:sz w:val="20"/>
        </w:rPr>
      </w:pPr>
      <w:r>
        <w:rPr>
          <w:rFonts w:ascii="Times New Roman" w:hAnsi="Times New Roman"/>
          <w:b/>
          <w:i/>
          <w:sz w:val="20"/>
        </w:rPr>
        <w:t xml:space="preserve">Results of Operations </w:t>
      </w:r>
    </w:p>
    <w:p>
      <w:pPr>
        <w:pStyle w:val="TextBody"/>
        <w:spacing w:before="90" w:after="0"/>
        <w:rPr>
          <w:rFonts w:ascii="Times New Roman" w:hAnsi="Times New Roman"/>
          <w:sz w:val="20"/>
          <w:u w:val="single"/>
        </w:rPr>
      </w:pPr>
      <w:r>
        <w:rPr>
          <w:rFonts w:ascii="Times New Roman" w:hAnsi="Times New Roman"/>
          <w:sz w:val="20"/>
          <w:u w:val="single"/>
        </w:rPr>
        <w:t xml:space="preserve">Three Months Ended December 31, 2011 vs. Three Months Ended December 31, 2010 </w:t>
      </w:r>
    </w:p>
    <w:p>
      <w:pPr>
        <w:pStyle w:val="TextBody"/>
        <w:spacing w:before="90" w:after="0"/>
        <w:rPr>
          <w:rFonts w:ascii="Times New Roman" w:hAnsi="Times New Roman"/>
          <w:sz w:val="20"/>
        </w:rPr>
      </w:pPr>
      <w:r>
        <w:rPr>
          <w:rFonts w:ascii="Times New Roman" w:hAnsi="Times New Roman"/>
          <w:sz w:val="20"/>
        </w:rPr>
        <w:t xml:space="preserve">The following discussion compares our results of operations for the quarter ended December 31, 2011 to the quarter ended December 31, 2010. It should be read with the accompanying unaudited financial statements and related notes. </w:t>
      </w:r>
    </w:p>
    <w:p>
      <w:pPr>
        <w:pStyle w:val="TextBody"/>
        <w:spacing w:before="180" w:after="0"/>
        <w:rPr>
          <w:rFonts w:ascii="Times New Roman" w:hAnsi="Times New Roman"/>
          <w:sz w:val="20"/>
        </w:rPr>
      </w:pPr>
      <w:r>
        <w:rPr>
          <w:rFonts w:ascii="Times New Roman" w:hAnsi="Times New Roman"/>
          <w:sz w:val="20"/>
        </w:rPr>
        <w:t xml:space="preserve">In the current quarter, consolidated total revenues increased 14%, or $30.0 million, to $248.9 million, compared to the prior year quarter. Same store total revenues increased $3.5 million, or 2%, and new and acquired stores contributed $26.5 million. Net income increased 43% to $39.4 million. Excluding the onetime $10.9 million charge related to the retirement of our former Chief Executive Officer and the related tax benefit in the prior year quarter, net income increased $4.8 million or 14% . </w:t>
      </w:r>
    </w:p>
    <w:p>
      <w:pPr>
        <w:pStyle w:val="TextBody"/>
        <w:spacing w:before="360" w:after="0"/>
        <w:jc w:val="center"/>
        <w:rPr>
          <w:rFonts w:ascii="Times New Roman" w:hAnsi="Times New Roman"/>
          <w:b/>
          <w:sz w:val="20"/>
        </w:rPr>
      </w:pPr>
      <w:r>
        <w:rPr>
          <w:rFonts w:ascii="Times New Roman" w:hAnsi="Times New Roman"/>
          <w:b/>
          <w:sz w:val="20"/>
        </w:rPr>
        <w:t xml:space="preserve">U.S. Pawn Operations Segment </w:t>
      </w:r>
    </w:p>
    <w:p>
      <w:pPr>
        <w:pStyle w:val="TextBody"/>
        <w:spacing w:before="90" w:after="0"/>
        <w:rPr>
          <w:rFonts w:ascii="Times New Roman" w:hAnsi="Times New Roman"/>
          <w:sz w:val="20"/>
        </w:rPr>
      </w:pPr>
      <w:r>
        <w:rPr>
          <w:rFonts w:ascii="Times New Roman" w:hAnsi="Times New Roman"/>
          <w:sz w:val="20"/>
        </w:rPr>
        <w:t xml:space="preserve">The following table presents selected financial data for the U.S. Pawn Operations segment: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759"/>
        <w:gridCol w:w="447"/>
        <w:gridCol w:w="127"/>
        <w:gridCol w:w="714"/>
        <w:gridCol w:w="234"/>
        <w:gridCol w:w="396"/>
        <w:gridCol w:w="127"/>
        <w:gridCol w:w="717"/>
        <w:gridCol w:w="234"/>
      </w:tblGrid>
      <w:tr>
        <w:trPr/>
        <w:tc>
          <w:tcPr>
            <w:tcW w:w="475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475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315"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234" w:type="dxa"/>
            <w:tcBorders/>
            <w:shd w:fill="auto"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84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34" w:type="dxa"/>
            <w:tcBorders/>
            <w:shd w:fill="auto"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315"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4" w:type="dxa"/>
            <w:tcBorders/>
            <w:shd w:fill="auto" w:val="clear"/>
            <w:vAlign w:val="bottom"/>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75,975</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66,305</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52,516</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47,006</w:t>
            </w:r>
          </w:p>
        </w:tc>
        <w:tc>
          <w:tcPr>
            <w:tcW w:w="234" w:type="dxa"/>
            <w:tcBorders/>
            <w:shd w:fill="auto" w:val="clear"/>
            <w:vAlign w:val="bottom"/>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54,370</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46,436</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509</w:t>
            </w:r>
          </w:p>
        </w:tc>
        <w:tc>
          <w:tcPr>
            <w:tcW w:w="234" w:type="dxa"/>
            <w:tcBorders/>
            <w:shd w:fill="auto" w:val="clear"/>
            <w:vAlign w:val="bottom"/>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234" w:type="dxa"/>
            <w:tcBorders/>
            <w:shd w:fill="auto"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184,479</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160,766</w:t>
            </w:r>
          </w:p>
        </w:tc>
        <w:tc>
          <w:tcPr>
            <w:tcW w:w="234" w:type="dxa"/>
            <w:tcBorders/>
            <w:shd w:fill="CCEEFF" w:val="clear"/>
            <w:vAlign w:val="bottom"/>
          </w:tcPr>
          <w:p>
            <w:pPr>
              <w:pStyle w:val="TableContents"/>
              <w:spacing w:before="0" w:after="283"/>
              <w:rPr/>
            </w:pPr>
            <w:r>
              <w:rPr/>
              <w:t>  </w:t>
            </w:r>
          </w:p>
        </w:tc>
      </w:tr>
      <w:tr>
        <w:trPr>
          <w:trHeight w:val="120" w:hRule="atLeast"/>
        </w:trPr>
        <w:tc>
          <w:tcPr>
            <w:tcW w:w="4759" w:type="dxa"/>
            <w:tcBorders/>
            <w:shd w:fill="auto" w:val="clear"/>
            <w:vAlign w:val="center"/>
          </w:tcPr>
          <w:p>
            <w:pPr>
              <w:pStyle w:val="TableContents"/>
              <w:spacing w:before="0" w:after="283"/>
              <w:rPr>
                <w:sz w:val="4"/>
                <w:szCs w:val="4"/>
              </w:rPr>
            </w:pPr>
            <w:r>
              <w:rPr>
                <w:sz w:val="4"/>
                <w:szCs w:val="4"/>
              </w:rPr>
            </w:r>
          </w:p>
        </w:tc>
        <w:tc>
          <w:tcPr>
            <w:tcW w:w="1522"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43,116</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38,197</w:t>
            </w:r>
          </w:p>
        </w:tc>
        <w:tc>
          <w:tcPr>
            <w:tcW w:w="234" w:type="dxa"/>
            <w:tcBorders/>
            <w:shd w:fill="auto" w:val="clear"/>
            <w:vAlign w:val="bottom"/>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32,973</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29,538</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234" w:type="dxa"/>
            <w:tcBorders/>
            <w:shd w:fill="auto" w:val="clear"/>
            <w:vAlign w:val="bottom"/>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107,924</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92,805</w:t>
            </w:r>
          </w:p>
        </w:tc>
        <w:tc>
          <w:tcPr>
            <w:tcW w:w="234" w:type="dxa"/>
            <w:tcBorders/>
            <w:shd w:fill="auto" w:val="clear"/>
            <w:vAlign w:val="bottom"/>
          </w:tcPr>
          <w:p>
            <w:pPr>
              <w:pStyle w:val="TableContents"/>
              <w:spacing w:before="0" w:after="283"/>
              <w:rPr/>
            </w:pPr>
            <w:r>
              <w:rPr/>
              <w:t>  </w:t>
            </w:r>
          </w:p>
        </w:tc>
      </w:tr>
      <w:tr>
        <w:trPr>
          <w:trHeight w:val="120" w:hRule="atLeast"/>
        </w:trPr>
        <w:tc>
          <w:tcPr>
            <w:tcW w:w="4759" w:type="dxa"/>
            <w:tcBorders/>
            <w:shd w:fill="auto" w:val="clear"/>
            <w:vAlign w:val="center"/>
          </w:tcPr>
          <w:p>
            <w:pPr>
              <w:pStyle w:val="TableContents"/>
              <w:spacing w:before="0" w:after="283"/>
              <w:rPr>
                <w:sz w:val="4"/>
                <w:szCs w:val="4"/>
              </w:rPr>
            </w:pPr>
            <w:r>
              <w:rPr>
                <w:sz w:val="4"/>
                <w:szCs w:val="4"/>
              </w:rPr>
            </w:r>
          </w:p>
        </w:tc>
        <w:tc>
          <w:tcPr>
            <w:tcW w:w="1522" w:type="dxa"/>
            <w:gridSpan w:val="4"/>
            <w:tcBorders/>
            <w:shd w:fill="auto" w:val="clear"/>
            <w:vAlign w:val="center"/>
          </w:tcPr>
          <w:p>
            <w:pPr>
              <w:pStyle w:val="TableContents"/>
              <w:spacing w:before="0" w:after="283"/>
              <w:rPr>
                <w:sz w:val="4"/>
                <w:szCs w:val="4"/>
              </w:rPr>
            </w:pPr>
            <w:r>
              <w:rPr>
                <w:sz w:val="4"/>
                <w:szCs w:val="4"/>
              </w:rPr>
            </w:r>
          </w:p>
        </w:tc>
        <w:tc>
          <w:tcPr>
            <w:tcW w:w="1474" w:type="dxa"/>
            <w:gridSpan w:val="4"/>
            <w:tcBorders/>
            <w:shd w:fill="auto" w:val="clear"/>
            <w:vAlign w:val="center"/>
          </w:tcPr>
          <w:p>
            <w:pPr>
              <w:pStyle w:val="TableContents"/>
              <w:spacing w:before="0" w:after="283"/>
              <w:rPr>
                <w:sz w:val="4"/>
                <w:szCs w:val="4"/>
              </w:rPr>
            </w:pPr>
            <w:r>
              <w:rPr>
                <w:sz w:val="4"/>
                <w:szCs w:val="4"/>
              </w:rPr>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50,073</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43,196</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4"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717" w:type="dxa"/>
            <w:tcBorders/>
            <w:shd w:fill="auto" w:val="clear"/>
            <w:vAlign w:val="bottom"/>
          </w:tcPr>
          <w:p>
            <w:pPr>
              <w:pStyle w:val="TableContents"/>
              <w:pBdr>
                <w:top w:val="single" w:sz="2"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operating income</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57,851</w:t>
            </w:r>
          </w:p>
        </w:tc>
        <w:tc>
          <w:tcPr>
            <w:tcW w:w="234"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49,609</w:t>
            </w:r>
          </w:p>
        </w:tc>
        <w:tc>
          <w:tcPr>
            <w:tcW w:w="234" w:type="dxa"/>
            <w:tcBorders/>
            <w:shd w:fill="auto" w:val="clear"/>
            <w:vAlign w:val="bottom"/>
          </w:tcPr>
          <w:p>
            <w:pPr>
              <w:pStyle w:val="TableContents"/>
              <w:spacing w:before="0" w:after="283"/>
              <w:rPr/>
            </w:pPr>
            <w:r>
              <w:rPr/>
              <w:t>  </w:t>
            </w:r>
          </w:p>
        </w:tc>
      </w:tr>
      <w:tr>
        <w:trPr/>
        <w:tc>
          <w:tcPr>
            <w:tcW w:w="475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4"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double" w:sz="6" w:space="1" w:color="000000"/>
              </w:pBdr>
              <w:spacing w:before="0" w:after="283"/>
              <w:rPr/>
            </w:pPr>
            <w:r>
              <w:rPr/>
              <w:t> </w:t>
            </w:r>
          </w:p>
        </w:tc>
        <w:tc>
          <w:tcPr>
            <w:tcW w:w="717" w:type="dxa"/>
            <w:tcBorders/>
            <w:shd w:fill="auto" w:val="clear"/>
            <w:vAlign w:val="bottom"/>
          </w:tcPr>
          <w:p>
            <w:pPr>
              <w:pStyle w:val="TableContents"/>
              <w:pBdr>
                <w:top w:val="double" w:sz="6" w:space="1" w:color="000000"/>
              </w:pBdr>
              <w:spacing w:before="0" w:after="283"/>
              <w:rPr/>
            </w:pPr>
            <w:r>
              <w:rPr/>
              <w:t> </w:t>
            </w:r>
          </w:p>
        </w:tc>
        <w:tc>
          <w:tcPr>
            <w:tcW w:w="234" w:type="dxa"/>
            <w:tcBorders/>
            <w:shd w:fill="auto" w:val="clear"/>
            <w:vAlign w:val="center"/>
          </w:tcPr>
          <w:p>
            <w:pPr>
              <w:pStyle w:val="TableContents"/>
              <w:spacing w:before="0" w:after="283"/>
              <w:rPr/>
            </w:pPr>
            <w:r>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4"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sz w:val="4"/>
                <w:szCs w:val="4"/>
              </w:rPr>
            </w:pPr>
            <w:r>
              <w:rPr>
                <w:sz w:val="4"/>
                <w:szCs w:val="4"/>
              </w:rPr>
            </w:r>
          </w:p>
        </w:tc>
        <w:tc>
          <w:tcPr>
            <w:tcW w:w="717" w:type="dxa"/>
            <w:tcBorders/>
            <w:shd w:fill="CCEEFF" w:val="clear"/>
            <w:vAlign w:val="bottom"/>
          </w:tcPr>
          <w:p>
            <w:pPr>
              <w:pStyle w:val="TableContents"/>
              <w:spacing w:before="0" w:after="283"/>
              <w:rPr>
                <w:sz w:val="4"/>
                <w:szCs w:val="4"/>
              </w:rPr>
            </w:pPr>
            <w:r>
              <w:rPr>
                <w:sz w:val="4"/>
                <w:szCs w:val="4"/>
              </w:rPr>
            </w:r>
          </w:p>
        </w:tc>
        <w:tc>
          <w:tcPr>
            <w:tcW w:w="234" w:type="dxa"/>
            <w:tcBorders/>
            <w:shd w:fill="CCEEFF" w:val="clear"/>
            <w:vAlign w:val="bottom"/>
          </w:tcPr>
          <w:p>
            <w:pPr>
              <w:pStyle w:val="TableContents"/>
              <w:spacing w:before="0" w:after="283"/>
              <w:rPr>
                <w:sz w:val="4"/>
                <w:szCs w:val="4"/>
              </w:rPr>
            </w:pPr>
            <w:r>
              <w:rPr>
                <w:sz w:val="4"/>
                <w:szCs w:val="4"/>
              </w:rPr>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42.4</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40.8</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234" w:type="dxa"/>
            <w:tcBorders/>
            <w:shd w:fill="CCEEFF" w:val="clear"/>
            <w:vAlign w:val="bottom"/>
          </w:tcPr>
          <w:p>
            <w:pPr>
              <w:pStyle w:val="TableContents"/>
              <w:spacing w:before="0" w:after="283"/>
              <w:rPr/>
            </w:pPr>
            <w:r>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234" w:type="dxa"/>
            <w:tcBorders/>
            <w:shd w:fill="CCEEFF" w:val="clear"/>
            <w:vAlign w:val="bottom"/>
          </w:tcPr>
          <w:p>
            <w:pPr>
              <w:pStyle w:val="TableContents"/>
              <w:spacing w:before="0" w:after="283"/>
              <w:rPr/>
            </w:pPr>
            <w:r>
              <w:rPr/>
              <w:t>  </w:t>
            </w:r>
          </w:p>
        </w:tc>
      </w:tr>
      <w:tr>
        <w:trPr/>
        <w:tc>
          <w:tcPr>
            <w:tcW w:w="4759" w:type="dxa"/>
            <w:tcBorders/>
            <w:shd w:fill="auto"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59"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U.S. Pawn Operations segment total revenues increased $23.7 million, or 15%, from the prior year quarter to $184.5 million. Same store total revenues increased $2.8 million, or 2%, and new and acquired stores net of closed stores contributed $20.9 million. The overall increase in total revenues was comprised of a $15.2 million increase in merchandise and jewelry scrapping sales, a $7.9 million increase in pawn service charges, and minor increases in loan fees and other revenues. In fiscal 2012, we acquired 17 pawn stores and seven retail stores in the U.S. for $49.1 million. As part of these acquisitions, we began operations in two new states; Pennsylvania and Virginia, bringing the total number of states in which we have pawn operations to 18 at December 31, 2011. </w:t>
      </w:r>
    </w:p>
    <w:p>
      <w:pPr>
        <w:pStyle w:val="TextBody"/>
        <w:spacing w:before="180" w:after="0"/>
        <w:rPr>
          <w:rFonts w:ascii="Times New Roman" w:hAnsi="Times New Roman"/>
          <w:sz w:val="20"/>
        </w:rPr>
      </w:pPr>
      <w:r>
        <w:rPr>
          <w:rFonts w:ascii="Times New Roman" w:hAnsi="Times New Roman"/>
          <w:sz w:val="20"/>
        </w:rPr>
        <w:t xml:space="preserve">Our current quarter U.S. pawn service charge revenue increased 17%, or $7.9 million, from the prior year quarter to $54.4 million. Same store pawn service charges increased $3.3 million, or 7%, with new and acquired stores net of closed stores contributing $4.6 million. The same store improvement was due to a higher average same store pawn loan balance partially offset by a decrease in pawn loan yield. The decrease in yield was primarily caused by a shift in our pawn portfolio balances from higher yielding states to lower yielding states. Pawn loan redemption rate was slightly higher in the current quarter as we continued to focus on loan values. </w:t>
      </w:r>
    </w:p>
    <w:p>
      <w:pPr>
        <w:pStyle w:val="TextBody"/>
        <w:spacing w:before="180" w:after="0"/>
        <w:rPr>
          <w:rFonts w:ascii="Times New Roman" w:hAnsi="Times New Roman"/>
          <w:sz w:val="20"/>
        </w:rPr>
      </w:pPr>
      <w:r>
        <w:rPr>
          <w:rFonts w:ascii="Times New Roman" w:hAnsi="Times New Roman"/>
          <w:sz w:val="20"/>
        </w:rPr>
        <w:t xml:space="preserve">The current quarter merchandise sales gross profit increased $4.8 million, or 17%, from the prior year quarter to $32.9 million. This was mostly due to a $10.2 million increase in sales from new and acquired stores net of closed stores, and a 0.8 percentage point improvement in gross margins, partially offset by a 1%, or $0.6 million, decrease in same store sales.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$2.1 million, or 12%, from the prior year quarter to $19.5 million. Jewelry scrapping revenues increased $5.5 million, or 12%, due to an 18% increase in proceeds realized per gram of gold jewelry scrapped partially offset by an 8% decrease in gold volume. Same store jewelry scrapping sales remained relatively constant at $46.9 and new and acquired stores contributed $5.6 million. Jewelry scrapping sales include the sale of approximately $1.7 million of loose diamonds removed from scrap jewelry in the current quarter and $0.7 in the prior year quarter. As a result of the higher average cost per gram of jewelry scrapped, scrap cost of goods increased $3.4 million, or 12%. </w:t>
      </w:r>
    </w:p>
    <w:p>
      <w:pPr>
        <w:pStyle w:val="TextBody"/>
        <w:spacing w:before="180" w:after="0"/>
        <w:rPr>
          <w:rFonts w:ascii="Times New Roman" w:hAnsi="Times New Roman"/>
          <w:sz w:val="20"/>
        </w:rPr>
      </w:pPr>
      <w:r>
        <w:rPr>
          <w:rFonts w:ascii="Times New Roman" w:hAnsi="Times New Roman"/>
          <w:sz w:val="20"/>
        </w:rPr>
        <w:t xml:space="preserve">Operations expense increased to $50.1 million (46% of net revenues) in the current quarter from $43.2 million (47% of net revenues) in the prior year quarter. The dollar increase in expense was primarily due to higher operating costs resulting from new and acquired stores. The improvement as a percent of net revenues is from greater scale at same stores and from expense management improvements made at acquired and existing stores. </w:t>
      </w:r>
    </w:p>
    <w:p>
      <w:pPr>
        <w:pStyle w:val="TextBody"/>
        <w:spacing w:before="180" w:after="0"/>
        <w:rPr>
          <w:rFonts w:ascii="Times New Roman" w:hAnsi="Times New Roman"/>
          <w:sz w:val="20"/>
        </w:rPr>
      </w:pPr>
      <w:r>
        <w:rPr>
          <w:rFonts w:ascii="Times New Roman" w:hAnsi="Times New Roman"/>
          <w:sz w:val="20"/>
        </w:rPr>
        <w:t xml:space="preserve">In the current quarter, the $14.9 million greater net revenue from pawn activities, the $0.2 higher signature and auto title loan contribution, and the $6.9 million higher operations expense, resulted in an $8.2 million overall increase in store operating income from the U.S. Pawn Operations segment. For the current quarter, the U.S. Pawn segment contributed 73% of consolidated store operating income compared to 71% in the prior year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Empeño Fácil Segment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Empeño Fácil segment after translation to U.S. dollars from its functional currency of the Mexican peso: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776"/>
        <w:gridCol w:w="444"/>
        <w:gridCol w:w="143"/>
        <w:gridCol w:w="675"/>
        <w:gridCol w:w="263"/>
        <w:gridCol w:w="400"/>
        <w:gridCol w:w="143"/>
        <w:gridCol w:w="678"/>
        <w:gridCol w:w="233"/>
      </w:tblGrid>
      <w:tr>
        <w:trPr/>
        <w:tc>
          <w:tcPr>
            <w:tcW w:w="477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477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302"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233" w:type="dxa"/>
            <w:tcBorders/>
            <w:shd w:fill="auto"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8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33" w:type="dxa"/>
            <w:tcBorders/>
            <w:shd w:fill="auto"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302"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3"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10,342</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5,575</w:t>
            </w:r>
          </w:p>
        </w:tc>
        <w:tc>
          <w:tcPr>
            <w:tcW w:w="233" w:type="dxa"/>
            <w:tcBorders/>
            <w:shd w:fill="CCEEFF" w:val="clear"/>
            <w:vAlign w:val="bottom"/>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3,537</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3,462</w:t>
            </w:r>
          </w:p>
        </w:tc>
        <w:tc>
          <w:tcPr>
            <w:tcW w:w="233"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Pawn service charges</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3,374</w:t>
            </w:r>
          </w:p>
        </w:tc>
        <w:tc>
          <w:tcPr>
            <w:tcW w:w="233" w:type="dxa"/>
            <w:tcBorders/>
            <w:shd w:fill="CCEEFF" w:val="clear"/>
            <w:vAlign w:val="bottom"/>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233" w:type="dxa"/>
            <w:tcBorders/>
            <w:shd w:fill="auto"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19,421</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12,414</w:t>
            </w:r>
          </w:p>
        </w:tc>
        <w:tc>
          <w:tcPr>
            <w:tcW w:w="233" w:type="dxa"/>
            <w:tcBorders/>
            <w:shd w:fill="CCEEFF" w:val="clear"/>
            <w:vAlign w:val="bottom"/>
          </w:tcPr>
          <w:p>
            <w:pPr>
              <w:pStyle w:val="TableContents"/>
              <w:spacing w:before="0" w:after="283"/>
              <w:rPr/>
            </w:pPr>
            <w:r>
              <w:rPr/>
              <w:t>  </w:t>
            </w:r>
          </w:p>
        </w:tc>
      </w:tr>
      <w:tr>
        <w:trPr>
          <w:trHeight w:val="120" w:hRule="atLeast"/>
        </w:trPr>
        <w:tc>
          <w:tcPr>
            <w:tcW w:w="4776" w:type="dxa"/>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1454" w:type="dxa"/>
            <w:gridSpan w:val="4"/>
            <w:tcBorders/>
            <w:shd w:fill="auto" w:val="clear"/>
            <w:vAlign w:val="center"/>
          </w:tcPr>
          <w:p>
            <w:pPr>
              <w:pStyle w:val="TableContents"/>
              <w:spacing w:before="0" w:after="283"/>
              <w:rPr>
                <w:sz w:val="4"/>
                <w:szCs w:val="4"/>
              </w:rPr>
            </w:pPr>
            <w:r>
              <w:rPr>
                <w:sz w:val="4"/>
                <w:szCs w:val="4"/>
              </w:rPr>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4,945</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3,114</w:t>
            </w:r>
          </w:p>
        </w:tc>
        <w:tc>
          <w:tcPr>
            <w:tcW w:w="233" w:type="dxa"/>
            <w:tcBorders/>
            <w:shd w:fill="auto" w:val="clear"/>
            <w:vAlign w:val="bottom"/>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2,274</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2,638</w:t>
            </w:r>
          </w:p>
        </w:tc>
        <w:tc>
          <w:tcPr>
            <w:tcW w:w="233" w:type="dxa"/>
            <w:tcBorders/>
            <w:shd w:fill="CCEEFF"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Net revenues</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12,202</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6,662</w:t>
            </w:r>
          </w:p>
        </w:tc>
        <w:tc>
          <w:tcPr>
            <w:tcW w:w="233" w:type="dxa"/>
            <w:tcBorders/>
            <w:shd w:fill="auto" w:val="clear"/>
            <w:vAlign w:val="bottom"/>
          </w:tcPr>
          <w:p>
            <w:pPr>
              <w:pStyle w:val="TableContents"/>
              <w:spacing w:before="0" w:after="283"/>
              <w:rPr/>
            </w:pPr>
            <w:r>
              <w:rPr/>
              <w:t>  </w:t>
            </w:r>
          </w:p>
        </w:tc>
      </w:tr>
      <w:tr>
        <w:trPr>
          <w:trHeight w:val="120" w:hRule="atLeast"/>
        </w:trPr>
        <w:tc>
          <w:tcPr>
            <w:tcW w:w="4776" w:type="dxa"/>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1454" w:type="dxa"/>
            <w:gridSpan w:val="4"/>
            <w:tcBorders/>
            <w:shd w:fill="auto" w:val="clear"/>
            <w:vAlign w:val="center"/>
          </w:tcPr>
          <w:p>
            <w:pPr>
              <w:pStyle w:val="TableContents"/>
              <w:spacing w:before="0" w:after="283"/>
              <w:rPr>
                <w:sz w:val="4"/>
                <w:szCs w:val="4"/>
              </w:rPr>
            </w:pPr>
            <w:r>
              <w:rPr>
                <w:sz w:val="4"/>
                <w:szCs w:val="4"/>
              </w:rPr>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5,998</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4,278</w:t>
            </w:r>
          </w:p>
        </w:tc>
        <w:tc>
          <w:tcPr>
            <w:tcW w:w="233" w:type="dxa"/>
            <w:tcBorders/>
            <w:shd w:fill="CCEEFF"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Store operating income</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6,204</w:t>
            </w:r>
          </w:p>
        </w:tc>
        <w:tc>
          <w:tcPr>
            <w:tcW w:w="26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2,384</w:t>
            </w:r>
          </w:p>
        </w:tc>
        <w:tc>
          <w:tcPr>
            <w:tcW w:w="233" w:type="dxa"/>
            <w:tcBorders/>
            <w:shd w:fill="auto" w:val="clear"/>
            <w:vAlign w:val="bottom"/>
          </w:tcPr>
          <w:p>
            <w:pPr>
              <w:pStyle w:val="TableContents"/>
              <w:spacing w:before="0" w:after="283"/>
              <w:rPr/>
            </w:pPr>
            <w:r>
              <w:rPr/>
              <w:t>  </w:t>
            </w:r>
          </w:p>
        </w:tc>
      </w:tr>
      <w:tr>
        <w:trPr/>
        <w:tc>
          <w:tcPr>
            <w:tcW w:w="4776"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675" w:type="dxa"/>
            <w:tcBorders/>
            <w:shd w:fill="auto" w:val="clear"/>
            <w:vAlign w:val="bottom"/>
          </w:tcPr>
          <w:p>
            <w:pPr>
              <w:pStyle w:val="TableContents"/>
              <w:pBdr>
                <w:top w:val="double" w:sz="6"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678" w:type="dxa"/>
            <w:tcBorders/>
            <w:shd w:fill="auto" w:val="clear"/>
            <w:vAlign w:val="bottom"/>
          </w:tcPr>
          <w:p>
            <w:pPr>
              <w:pStyle w:val="TableContents"/>
              <w:pBdr>
                <w:top w:val="double" w:sz="6"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Other data:</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5" w:type="dxa"/>
            <w:tcBorders/>
            <w:shd w:fill="CCEEFF" w:val="clear"/>
            <w:vAlign w:val="bottom"/>
          </w:tcPr>
          <w:p>
            <w:pPr>
              <w:pStyle w:val="TableContents"/>
              <w:spacing w:before="0" w:after="283"/>
              <w:rPr>
                <w:sz w:val="4"/>
                <w:szCs w:val="4"/>
              </w:rPr>
            </w:pPr>
            <w:r>
              <w:rPr>
                <w:sz w:val="4"/>
                <w:szCs w:val="4"/>
              </w:rPr>
            </w:r>
          </w:p>
        </w:tc>
        <w:tc>
          <w:tcPr>
            <w:tcW w:w="263" w:type="dxa"/>
            <w:tcBorders/>
            <w:shd w:fill="CCEEFF" w:val="clear"/>
            <w:vAlign w:val="bottom"/>
          </w:tcPr>
          <w:p>
            <w:pPr>
              <w:pStyle w:val="TableContents"/>
              <w:spacing w:before="0" w:after="283"/>
              <w:rPr>
                <w:sz w:val="4"/>
                <w:szCs w:val="4"/>
              </w:rPr>
            </w:pPr>
            <w:r>
              <w:rPr>
                <w:sz w:val="4"/>
                <w:szCs w:val="4"/>
              </w:rPr>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678" w:type="dxa"/>
            <w:tcBorders/>
            <w:shd w:fill="CCEEFF" w:val="clear"/>
            <w:vAlign w:val="bottom"/>
          </w:tcPr>
          <w:p>
            <w:pPr>
              <w:pStyle w:val="TableContents"/>
              <w:spacing w:before="0" w:after="283"/>
              <w:rPr>
                <w:sz w:val="4"/>
                <w:szCs w:val="4"/>
              </w:rPr>
            </w:pPr>
            <w:r>
              <w:rPr>
                <w:sz w:val="4"/>
                <w:szCs w:val="4"/>
              </w:rPr>
            </w:r>
          </w:p>
        </w:tc>
        <w:tc>
          <w:tcPr>
            <w:tcW w:w="233" w:type="dxa"/>
            <w:tcBorders/>
            <w:shd w:fill="CCEEFF" w:val="clear"/>
            <w:vAlign w:val="bottom"/>
          </w:tcPr>
          <w:p>
            <w:pPr>
              <w:pStyle w:val="TableContents"/>
              <w:spacing w:before="0" w:after="283"/>
              <w:rPr>
                <w:sz w:val="4"/>
                <w:szCs w:val="4"/>
              </w:rPr>
            </w:pPr>
            <w:r>
              <w:rPr>
                <w:sz w:val="4"/>
                <w:szCs w:val="4"/>
              </w:rPr>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merchandise sales</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52.2</w:t>
            </w:r>
          </w:p>
        </w:tc>
        <w:tc>
          <w:tcPr>
            <w:tcW w:w="2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Gross margin on jewelry scrapping sales</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2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 on total sales</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2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36.4</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pawn loan balance per pawn store at period end</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26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233" w:type="dxa"/>
            <w:tcBorders/>
            <w:shd w:fill="CCEEFF" w:val="clear"/>
            <w:vAlign w:val="bottom"/>
          </w:tcPr>
          <w:p>
            <w:pPr>
              <w:pStyle w:val="TableContents"/>
              <w:spacing w:before="0" w:after="283"/>
              <w:rPr/>
            </w:pPr>
            <w:r>
              <w:rPr/>
              <w:t>  </w:t>
            </w:r>
          </w:p>
        </w:tc>
      </w:tr>
      <w:tr>
        <w:trPr/>
        <w:tc>
          <w:tcPr>
            <w:tcW w:w="4776" w:type="dxa"/>
            <w:tcBorders/>
            <w:shd w:fill="auto" w:val="clear"/>
          </w:tcPr>
          <w:p>
            <w:pPr>
              <w:pStyle w:val="TableContents"/>
              <w:spacing w:before="0" w:after="283"/>
              <w:rPr>
                <w:rFonts w:ascii="Times New Roman" w:hAnsi="Times New Roman"/>
                <w:sz w:val="20"/>
              </w:rPr>
            </w:pPr>
            <w:r>
              <w:rPr>
                <w:rFonts w:ascii="Times New Roman" w:hAnsi="Times New Roman"/>
                <w:sz w:val="20"/>
              </w:rPr>
              <w:t>Average yield on pawn loan portfolio (a)</w:t>
            </w:r>
          </w:p>
        </w:tc>
        <w:tc>
          <w:tcPr>
            <w:tcW w:w="44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2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0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776" w:type="dxa"/>
            <w:tcBorders/>
            <w:shd w:fill="CCEEFF" w:val="clear"/>
          </w:tcPr>
          <w:p>
            <w:pPr>
              <w:pStyle w:val="TableContents"/>
              <w:spacing w:before="0" w:after="283"/>
              <w:rPr>
                <w:rFonts w:ascii="Times New Roman" w:hAnsi="Times New Roman"/>
                <w:sz w:val="20"/>
              </w:rPr>
            </w:pPr>
            <w:r>
              <w:rPr>
                <w:rFonts w:ascii="Times New Roman" w:hAnsi="Times New Roman"/>
                <w:sz w:val="20"/>
              </w:rPr>
              <w:t>Pawn loan redemption rate</w:t>
            </w:r>
          </w:p>
        </w:tc>
        <w:tc>
          <w:tcPr>
            <w:tcW w:w="44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2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0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Average yield on pawn loan portfolio is calculated as pawn service charge revenues for the period divided by the average pawn loan balance during the period. </w:t>
            </w:r>
          </w:p>
        </w:tc>
      </w:tr>
    </w:tbl>
    <w:p>
      <w:pPr>
        <w:pStyle w:val="TextBody"/>
        <w:spacing w:before="180" w:after="0"/>
        <w:rPr>
          <w:rFonts w:ascii="Times New Roman" w:hAnsi="Times New Roman"/>
          <w:sz w:val="20"/>
        </w:rPr>
      </w:pPr>
      <w:r>
        <w:rPr>
          <w:rFonts w:ascii="Times New Roman" w:hAnsi="Times New Roman"/>
          <w:sz w:val="20"/>
        </w:rPr>
        <w:t xml:space="preserve">Certain performance metrics discussed below are presented on a constant currency basis, which may be considered a non-GAAP financial measurement of financial performance. We use constant currency results to evaluate the results of our Empeño Fácil operating segment, as transactions are primarily recorded in Mexican Pesos. In order to exclude the effects of foreign currency exchange rate fluctuations for purposes of evaluating period-over-period comparisons, constant currency results are calculated using the exchange rate from the prior-year comparable period, as opposed to the current comparable period. When calculating constant currency amounts for balance sheet items, we used the closing exchange rate at the end of the prior year quarter of 12.4 to 1, compared to the current quarter closing exchange rate of 14.0 to 1. For income statement items, we used the prior year quarter average exchange rate of 12.4 to 1 compared to the current quarter average exchange rate of 13.6 to 1. </w:t>
      </w:r>
    </w:p>
    <w:p>
      <w:pPr>
        <w:pStyle w:val="TextBody"/>
        <w:spacing w:before="180" w:after="0"/>
        <w:rPr>
          <w:rFonts w:ascii="Times New Roman" w:hAnsi="Times New Roman"/>
          <w:sz w:val="20"/>
        </w:rPr>
      </w:pPr>
      <w:r>
        <w:rPr>
          <w:rFonts w:ascii="Times New Roman" w:hAnsi="Times New Roman"/>
          <w:sz w:val="20"/>
        </w:rPr>
        <w:t xml:space="preserve">The average exchange rate used to translate Empeño Fácils current quarter results from Mexican pesos to U.S. dollars was 10% weaker than in the prior year quarter. Store operating income increased 160% in U.S. dollars and 187% in peso terms. The 83% increase in net revenues was partially offset by higher costs from new stores. We expect new stores will be a drag on earnings until they become profitable in their second year of operation. Approximately 28% of the stores open at December 31, 2011 had been open less than one year. We opened 14 new stores in the current quarter, one of which is an Empeñe Su Oro jewelry-only pawn store. The jewelry-only stores are smaller and require less staff than our full-line pawn stores, but also carry smaller average loan balances per store. </w:t>
      </w:r>
    </w:p>
    <w:p>
      <w:pPr>
        <w:pStyle w:val="TextBody"/>
        <w:spacing w:before="180" w:after="0"/>
        <w:rPr>
          <w:rFonts w:ascii="Times New Roman" w:hAnsi="Times New Roman"/>
          <w:sz w:val="20"/>
        </w:rPr>
      </w:pPr>
      <w:r>
        <w:rPr>
          <w:rFonts w:ascii="Times New Roman" w:hAnsi="Times New Roman"/>
          <w:sz w:val="20"/>
        </w:rPr>
        <w:t xml:space="preserve">Empeño Fácils total revenues increased $7.0 million, or 56%, in the current quarter to $19.4 million. In constant currencies, total revenues increased $9.0 million, or 72%. Same store total revenues increased $1.8 million, or 15%, and new and acquired stores contributed $5.2 million. The overall increase in total revenues comprised a $4.8 million increase in merchandise and jewelry scrapping sales, a $2.0 million increase in pawn service charges and minor increases in other revenues.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Empeño Fácils pawn service charge revenues increased $2.0 million, or 61%, in the current quarter to $5.4 million. In constant currencies, pawn service charge revenues increased $2.6 million, or 77%. Same store pawn service charges increased approximately $0.7 million, or 21%, and new and acquired stores contributed $1.3 million. The increase was due to a 49% increase in the average loan balance during the period coupled with a 16 percentage point increase in the pawn yield. The yield increased primarily due to a 5 percentage point increase in the loan redemption rate as we continued to focus on loan values. </w:t>
      </w:r>
    </w:p>
    <w:p>
      <w:pPr>
        <w:pStyle w:val="TextBody"/>
        <w:spacing w:before="180" w:after="0"/>
        <w:rPr>
          <w:rFonts w:ascii="Times New Roman" w:hAnsi="Times New Roman"/>
          <w:sz w:val="20"/>
        </w:rPr>
      </w:pPr>
      <w:r>
        <w:rPr>
          <w:rFonts w:ascii="Times New Roman" w:hAnsi="Times New Roman"/>
          <w:sz w:val="20"/>
        </w:rPr>
        <w:t xml:space="preserve">Merchandise gross profit increased $2.9 million, or 119%, from the prior year quarter to $5.4 million. In constant currencies, merchandise gross profit increased $3.5 million, or 142%. The increase was due to a $1.8 million, or 32%, same store sales increase and $3.0 million in sales from new and acquired stores coupled with an 8.1 percentage point increase in gross margins to 52.2%. The increase in gross margins is mostly due to a one-time benefit of a change in the inventory reserve estimate. </w:t>
      </w:r>
    </w:p>
    <w:p>
      <w:pPr>
        <w:pStyle w:val="TextBody"/>
        <w:spacing w:before="180" w:after="0"/>
        <w:rPr>
          <w:rFonts w:ascii="Times New Roman" w:hAnsi="Times New Roman"/>
          <w:sz w:val="20"/>
        </w:rPr>
      </w:pPr>
      <w:r>
        <w:rPr>
          <w:rFonts w:ascii="Times New Roman" w:hAnsi="Times New Roman"/>
          <w:sz w:val="20"/>
        </w:rPr>
        <w:t xml:space="preserve">Gross profit on jewelry scrapping sales increased $0.4 million, or 53%, from the prior year quarter to $1.3 million. In constant currencies, gross profit on jewelry scrapping sales increased $0.6 million or 68%. Jewelry scrapping revenues stayed relatively constant at $3.5 million, as the 20% decrease in gold volume was mostly offset by a 23% increase in proceeds realized per gram of gold jewelry scrapped. Same store jewelry scrapping sales decreased $0.7 million, or 21%, and new and acquired stores contributed $0.8 million. As a result of the lower volume, scrap cost of goods decreased $0.4 million or 14%. </w:t>
      </w:r>
    </w:p>
    <w:p>
      <w:pPr>
        <w:pStyle w:val="TextBody"/>
        <w:spacing w:before="180" w:after="0"/>
        <w:rPr>
          <w:rFonts w:ascii="Times New Roman" w:hAnsi="Times New Roman"/>
          <w:sz w:val="20"/>
        </w:rPr>
      </w:pPr>
      <w:r>
        <w:rPr>
          <w:rFonts w:ascii="Times New Roman" w:hAnsi="Times New Roman"/>
          <w:sz w:val="20"/>
        </w:rPr>
        <w:t xml:space="preserve">Operations expense increased to $6.0 million (49% of net revenues) in the current quarter from $4.3 million (64% of net revenues) in the prior year quarter. In constant currencies, operations expensed increased $2.3 million, or 54%. The dollar increase was due primarily to the addition of 60 stores since the prior year quarter through greenfield and acquisitions, the decrease as a percentage of net revenues is due to expense management improvements as stores mature and become profitable. </w:t>
      </w:r>
    </w:p>
    <w:p>
      <w:pPr>
        <w:pStyle w:val="TextBody"/>
        <w:spacing w:before="180" w:after="0"/>
        <w:rPr>
          <w:rFonts w:ascii="Times New Roman" w:hAnsi="Times New Roman"/>
          <w:sz w:val="20"/>
        </w:rPr>
      </w:pPr>
      <w:r>
        <w:rPr>
          <w:rFonts w:ascii="Times New Roman" w:hAnsi="Times New Roman"/>
          <w:sz w:val="20"/>
        </w:rPr>
        <w:t xml:space="preserve">In the current quarter, the $5.5 million greater net revenues were partially offset by the $1.7 million higher operations expense, resulting in a $3.8 million increase in store operating income for the segment. In constant currencies, Empeño Fácils store operating income increased $4.5 million, or 187%. In the current quarter, Empeño Fácil contributed 8% of consolidated store operating income compared to 3% in the prior year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EZMONEY Operations Segment </w:t>
      </w:r>
    </w:p>
    <w:p>
      <w:pPr>
        <w:pStyle w:val="TextBody"/>
        <w:spacing w:before="180" w:after="0"/>
        <w:rPr>
          <w:rFonts w:ascii="Times New Roman" w:hAnsi="Times New Roman"/>
          <w:sz w:val="20"/>
        </w:rPr>
      </w:pPr>
      <w:r>
        <w:rPr>
          <w:rFonts w:ascii="Times New Roman" w:hAnsi="Times New Roman"/>
          <w:sz w:val="20"/>
        </w:rPr>
        <w:t xml:space="preserve">The following table presents selected financial data for the EZMONEY Operations segment: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867"/>
        <w:gridCol w:w="399"/>
        <w:gridCol w:w="143"/>
        <w:gridCol w:w="675"/>
        <w:gridCol w:w="263"/>
        <w:gridCol w:w="354"/>
        <w:gridCol w:w="143"/>
        <w:gridCol w:w="678"/>
        <w:gridCol w:w="233"/>
      </w:tblGrid>
      <w:tr>
        <w:trPr/>
        <w:tc>
          <w:tcPr>
            <w:tcW w:w="486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256"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233"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81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2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233"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pPr>
            <w:r>
              <w:rPr/>
              <w:t> </w:t>
            </w:r>
          </w:p>
        </w:tc>
        <w:tc>
          <w:tcPr>
            <w:tcW w:w="399" w:type="dxa"/>
            <w:tcBorders/>
            <w:shd w:fill="auto" w:val="clear"/>
            <w:vAlign w:val="bottom"/>
          </w:tcPr>
          <w:p>
            <w:pPr>
              <w:pStyle w:val="TableContents"/>
              <w:spacing w:before="0" w:after="283"/>
              <w:rPr/>
            </w:pPr>
            <w:r>
              <w:rPr/>
              <w:t>  </w:t>
            </w:r>
          </w:p>
        </w:tc>
        <w:tc>
          <w:tcPr>
            <w:tcW w:w="2256"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233" w:type="dxa"/>
            <w:tcBorders/>
            <w:shd w:fill="auto" w:val="clear"/>
            <w:vAlign w:val="bottom"/>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fees</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38,701</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39,557</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fees</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5,851</w:t>
            </w:r>
          </w:p>
        </w:tc>
        <w:tc>
          <w:tcPr>
            <w:tcW w:w="233" w:type="dxa"/>
            <w:tcBorders/>
            <w:shd w:fill="auto" w:val="clear"/>
            <w:vAlign w:val="bottom"/>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sales</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sales</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233" w:type="dxa"/>
            <w:tcBorders/>
            <w:shd w:fill="auto" w:val="clear"/>
            <w:vAlign w:val="bottom"/>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44,973</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45,646</w:t>
            </w:r>
          </w:p>
        </w:tc>
        <w:tc>
          <w:tcPr>
            <w:tcW w:w="233" w:type="dxa"/>
            <w:tcBorders/>
            <w:shd w:fill="auto" w:val="clear"/>
            <w:vAlign w:val="bottom"/>
          </w:tcPr>
          <w:p>
            <w:pPr>
              <w:pStyle w:val="TableContents"/>
              <w:spacing w:before="0" w:after="283"/>
              <w:rPr/>
            </w:pPr>
            <w:r>
              <w:rPr/>
              <w:t>  </w:t>
            </w:r>
          </w:p>
        </w:tc>
      </w:tr>
      <w:tr>
        <w:trPr>
          <w:trHeight w:val="120" w:hRule="atLeast"/>
        </w:trPr>
        <w:tc>
          <w:tcPr>
            <w:tcW w:w="4867" w:type="dxa"/>
            <w:tcBorders/>
            <w:shd w:fill="auto" w:val="clear"/>
            <w:vAlign w:val="center"/>
          </w:tcPr>
          <w:p>
            <w:pPr>
              <w:pStyle w:val="TableContents"/>
              <w:spacing w:before="0" w:after="283"/>
              <w:rPr>
                <w:sz w:val="4"/>
                <w:szCs w:val="4"/>
              </w:rPr>
            </w:pPr>
            <w:r>
              <w:rPr>
                <w:sz w:val="4"/>
                <w:szCs w:val="4"/>
              </w:rPr>
            </w:r>
          </w:p>
        </w:tc>
        <w:tc>
          <w:tcPr>
            <w:tcW w:w="1480" w:type="dxa"/>
            <w:gridSpan w:val="4"/>
            <w:tcBorders/>
            <w:shd w:fill="auto" w:val="clear"/>
            <w:vAlign w:val="center"/>
          </w:tcPr>
          <w:p>
            <w:pPr>
              <w:pStyle w:val="TableContents"/>
              <w:spacing w:before="0" w:after="283"/>
              <w:rPr>
                <w:sz w:val="4"/>
                <w:szCs w:val="4"/>
              </w:rPr>
            </w:pPr>
            <w:r>
              <w:rPr>
                <w:sz w:val="4"/>
                <w:szCs w:val="4"/>
              </w:rPr>
            </w:r>
          </w:p>
        </w:tc>
        <w:tc>
          <w:tcPr>
            <w:tcW w:w="1408" w:type="dxa"/>
            <w:gridSpan w:val="4"/>
            <w:tcBorders/>
            <w:shd w:fill="auto" w:val="clear"/>
            <w:vAlign w:val="center"/>
          </w:tcPr>
          <w:p>
            <w:pPr>
              <w:pStyle w:val="TableContents"/>
              <w:spacing w:before="0" w:after="283"/>
              <w:rPr>
                <w:sz w:val="4"/>
                <w:szCs w:val="4"/>
              </w:rPr>
            </w:pPr>
            <w:r>
              <w:rPr>
                <w:sz w:val="4"/>
                <w:szCs w:val="4"/>
              </w:rPr>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9,749</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9,881</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233" w:type="dxa"/>
            <w:tcBorders/>
            <w:shd w:fill="auto" w:val="clear"/>
            <w:vAlign w:val="bottom"/>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Merchandise cost of goods sold</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Jewelry scrapping cost of goods sold</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233"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Net revenues</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33,902</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34,765</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Operations expense</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18,430</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17,030</w:t>
            </w:r>
          </w:p>
        </w:tc>
        <w:tc>
          <w:tcPr>
            <w:tcW w:w="233" w:type="dxa"/>
            <w:tcBorders/>
            <w:shd w:fill="auto"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5" w:type="dxa"/>
            <w:tcBorders/>
            <w:shd w:fill="auto" w:val="clear"/>
            <w:vAlign w:val="bottom"/>
          </w:tcPr>
          <w:p>
            <w:pPr>
              <w:pStyle w:val="TableContents"/>
              <w:pBdr>
                <w:top w:val="single" w:sz="2"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283"/>
              <w:rPr/>
            </w:pPr>
            <w:r>
              <w:rPr/>
              <w:t> </w:t>
            </w:r>
          </w:p>
        </w:tc>
        <w:tc>
          <w:tcPr>
            <w:tcW w:w="678" w:type="dxa"/>
            <w:tcBorders/>
            <w:shd w:fill="auto" w:val="clear"/>
            <w:vAlign w:val="bottom"/>
          </w:tcPr>
          <w:p>
            <w:pPr>
              <w:pStyle w:val="TableContents"/>
              <w:pBdr>
                <w:top w:val="single" w:sz="2"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Store operating income</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15,472</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17,735</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vAlign w:val="bottom"/>
          </w:tcPr>
          <w:p>
            <w:pPr>
              <w:pStyle w:val="TableContents"/>
              <w:spacing w:before="0" w:after="283"/>
              <w:rPr>
                <w:sz w:val="4"/>
                <w:szCs w:val="4"/>
              </w:rPr>
            </w:pPr>
            <w:r>
              <w:rPr>
                <w:sz w:val="4"/>
                <w:szCs w:val="4"/>
              </w:rPr>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675" w:type="dxa"/>
            <w:tcBorders/>
            <w:shd w:fill="auto" w:val="clear"/>
            <w:vAlign w:val="bottom"/>
          </w:tcPr>
          <w:p>
            <w:pPr>
              <w:pStyle w:val="TableContents"/>
              <w:pBdr>
                <w:top w:val="double" w:sz="6" w:space="1" w:color="000000"/>
              </w:pBdr>
              <w:spacing w:before="0" w:after="283"/>
              <w:rPr/>
            </w:pPr>
            <w:r>
              <w:rPr/>
              <w:t> </w:t>
            </w:r>
          </w:p>
        </w:tc>
        <w:tc>
          <w:tcPr>
            <w:tcW w:w="263" w:type="dxa"/>
            <w:tcBorders/>
            <w:shd w:fill="auto" w:val="clear"/>
            <w:vAlign w:val="center"/>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283"/>
              <w:rPr/>
            </w:pPr>
            <w:r>
              <w:rPr/>
              <w:t> </w:t>
            </w:r>
          </w:p>
        </w:tc>
        <w:tc>
          <w:tcPr>
            <w:tcW w:w="678" w:type="dxa"/>
            <w:tcBorders/>
            <w:shd w:fill="auto" w:val="clear"/>
            <w:vAlign w:val="bottom"/>
          </w:tcPr>
          <w:p>
            <w:pPr>
              <w:pStyle w:val="TableContents"/>
              <w:pBdr>
                <w:top w:val="double" w:sz="6" w:space="1" w:color="000000"/>
              </w:pBdr>
              <w:spacing w:before="0" w:after="283"/>
              <w:rPr/>
            </w:pPr>
            <w:r>
              <w:rPr/>
              <w:t> </w:t>
            </w:r>
          </w:p>
        </w:tc>
        <w:tc>
          <w:tcPr>
            <w:tcW w:w="233" w:type="dxa"/>
            <w:tcBorders/>
            <w:shd w:fill="auto" w:val="clear"/>
            <w:vAlign w:val="center"/>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Other data:</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678" w:type="dxa"/>
            <w:tcBorders/>
            <w:shd w:fill="auto" w:val="clear"/>
            <w:vAlign w:val="bottom"/>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Signature loan bad debt as a percent of signature loan fees</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w:t>
            </w:r>
          </w:p>
        </w:tc>
        <w:tc>
          <w:tcPr>
            <w:tcW w:w="26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2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Auto title loan bad debt as a percent of auto title loan fees</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2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23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867"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signature loan balance per store offering signature loans at period end (a)</w:t>
            </w:r>
          </w:p>
        </w:tc>
        <w:tc>
          <w:tcPr>
            <w:tcW w:w="399"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263"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233" w:type="dxa"/>
            <w:tcBorders/>
            <w:shd w:fill="CCEEFF" w:val="clear"/>
            <w:vAlign w:val="bottom"/>
          </w:tcPr>
          <w:p>
            <w:pPr>
              <w:pStyle w:val="TableContents"/>
              <w:spacing w:before="0" w:after="283"/>
              <w:rPr/>
            </w:pPr>
            <w:r>
              <w:rPr/>
              <w:t>  </w:t>
            </w:r>
          </w:p>
        </w:tc>
      </w:tr>
      <w:tr>
        <w:trPr/>
        <w:tc>
          <w:tcPr>
            <w:tcW w:w="4867" w:type="dxa"/>
            <w:tcBorders/>
            <w:shd w:fill="auto" w:val="clear"/>
          </w:tcPr>
          <w:p>
            <w:pPr>
              <w:pStyle w:val="TableContents"/>
              <w:spacing w:before="0" w:after="283"/>
              <w:rPr>
                <w:rFonts w:ascii="Times New Roman" w:hAnsi="Times New Roman"/>
                <w:sz w:val="20"/>
              </w:rPr>
            </w:pPr>
            <w:r>
              <w:rPr>
                <w:rFonts w:ascii="Times New Roman" w:hAnsi="Times New Roman"/>
                <w:sz w:val="20"/>
              </w:rPr>
              <w:t>Average auto title loan balance per store offering auto title loans at period end (b)</w:t>
            </w:r>
          </w:p>
        </w:tc>
        <w:tc>
          <w:tcPr>
            <w:tcW w:w="399"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63"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233" w:type="dxa"/>
            <w:tcBorders/>
            <w:shd w:fill="auto"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Signature loan balances include payday and installment loans (net of valuation allowance) recorded on our balance sheet and the principal portion of active signature loans outstanding from unaffiliated lenders, the balance of which is not included on our balance sheet.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Auto title loan balances include title loans (net of valuation allowance) recorded on our balance sheet and the principal portion of active brokered loans outstanding from unaffiliated lenders, the balance of which is not included on our balance sheet. </w:t>
            </w:r>
          </w:p>
        </w:tc>
      </w:tr>
    </w:tbl>
    <w:p>
      <w:pPr>
        <w:pStyle w:val="TextBody"/>
        <w:spacing w:before="180" w:after="0"/>
        <w:rPr>
          <w:rFonts w:ascii="Times New Roman" w:hAnsi="Times New Roman"/>
          <w:sz w:val="20"/>
        </w:rPr>
      </w:pPr>
      <w:r>
        <w:rPr>
          <w:rFonts w:ascii="Times New Roman" w:hAnsi="Times New Roman"/>
          <w:sz w:val="20"/>
        </w:rPr>
        <w:t xml:space="preserve">The EZMONEY Operations segment includes our U.S. financial services stores, our Canadian financial services and retail stores as well as our UK online lending business, which was successfully launched in the current year quarter. The EZMONEY Operations segment total revenues decreased $0.7 million, to $45.0 million, compared to the prior year quarter. This was due to a $1.1 million, or 2%, decrease in same store total revenues and $0.4 million of total revenues at new stores net of closed or consolidated stores. The overall decrease in total revenues was comprised of a $0.9 million decrease in signature loan revenues, including installment loans and payday loans, a $0.8 million decrease in auto title loan fees and $1.0 million increase in merchandise, jewelry scrapping sales and other revenues. In January 2011 and July 2011, we introduced installment loans as a replacement product for payday loans in Wisconsin and Missouri, respectively. This contributed to the migration of some of our signature loan balances from payday loans to installment loans. </w:t>
      </w:r>
    </w:p>
    <w:p>
      <w:pPr>
        <w:pStyle w:val="TextBody"/>
        <w:spacing w:before="180" w:after="0"/>
        <w:rPr>
          <w:rFonts w:ascii="Times New Roman" w:hAnsi="Times New Roman"/>
          <w:sz w:val="20"/>
        </w:rPr>
      </w:pPr>
      <w:r>
        <w:rPr>
          <w:rFonts w:ascii="Times New Roman" w:hAnsi="Times New Roman"/>
          <w:sz w:val="20"/>
        </w:rPr>
        <w:t xml:space="preserve">In the current quarter, we acquired one store in Canada, bringing our total at December 31, 2011 to 65. Also, in the current quarter, we closed or consolidated eight EZMONEY stores in the U.S., bringing our total there to 422. </w:t>
      </w:r>
    </w:p>
    <w:p>
      <w:pPr>
        <w:pStyle w:val="TextBody"/>
        <w:spacing w:before="180" w:after="0"/>
        <w:rPr>
          <w:rFonts w:ascii="Times New Roman" w:hAnsi="Times New Roman"/>
          <w:sz w:val="20"/>
        </w:rPr>
      </w:pPr>
      <w:r>
        <w:rPr>
          <w:rFonts w:ascii="Times New Roman" w:hAnsi="Times New Roman"/>
          <w:sz w:val="20"/>
        </w:rPr>
        <w:t xml:space="preserve">EZMONEYs total signature loan revenues decreased $0.9 million, or 2%, and same store signature loan revenues decreased $0.7 million, or 2%, almost exclusively due to competitive pressures in Texas. Included in signature loan fees are revenues from installment loans, which increased $3.2 million, or 77%, over the prior year quarter as the product continues to mature in states where it was recently introduced. Signature loan net revenue decreased $0.7 million, or 2%, compared to the prior year quarter to $29.0 million due to decreased loan volume and a 0.2 percentage point increase in bad debt expressed as a percentage of fees to 25.2%.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segments net revenues from auto title loans decreased $0.7 million or 15% to $4.2 million compared to $4.9 million in the prior year quarter. Same store auto title loan fees decreased $0.8 million or 14%. The same store decrease resulted primarily from a decrease in gross revenues due to competitive pressures in Texas, coupled with a 0.5 percentage points regression in bad debt to 16.2 % of related fees. </w:t>
      </w:r>
    </w:p>
    <w:p>
      <w:pPr>
        <w:pStyle w:val="TextBody"/>
        <w:spacing w:before="180" w:after="0"/>
        <w:rPr>
          <w:rFonts w:ascii="Times New Roman" w:hAnsi="Times New Roman"/>
          <w:sz w:val="20"/>
        </w:rPr>
      </w:pPr>
      <w:r>
        <w:rPr>
          <w:rFonts w:ascii="Times New Roman" w:hAnsi="Times New Roman"/>
          <w:sz w:val="20"/>
        </w:rPr>
        <w:t xml:space="preserve">The segment generated $0.2 million of jewelry scrapping profit in the current quarter, with a 49% gross margin compared to $0.1 million with a 60% gross margin in the prior year quarter. </w:t>
      </w:r>
    </w:p>
    <w:p>
      <w:pPr>
        <w:pStyle w:val="TextBody"/>
        <w:spacing w:before="180" w:after="0"/>
        <w:rPr>
          <w:rFonts w:ascii="Times New Roman" w:hAnsi="Times New Roman"/>
          <w:sz w:val="20"/>
        </w:rPr>
      </w:pPr>
      <w:r>
        <w:rPr>
          <w:rFonts w:ascii="Times New Roman" w:hAnsi="Times New Roman"/>
          <w:sz w:val="20"/>
        </w:rPr>
        <w:t xml:space="preserve">In April 2011, we acquired the Cash Converters franchise rights for Canada, which allows us to open new stores and operate our Canadian stores as Cash Converters stores. By December 31, 2011, we had 24 Canadian stores buying and selling second-hand goods, in addition to offering payday loans, under the Cash Converters brand. We also began receiving franchise fees from franchisees, which made up the majority of the increase in the segments other revenues. Merchandise sales in the current quarter were $0.6 million with a 42% gross margin. We expect to rebrand most of our remaining Canadian stores as Cash Converters stores during fiscal 2012. </w:t>
      </w:r>
    </w:p>
    <w:p>
      <w:pPr>
        <w:pStyle w:val="TextBody"/>
        <w:spacing w:before="180" w:after="0"/>
        <w:rPr>
          <w:rFonts w:ascii="Times New Roman" w:hAnsi="Times New Roman"/>
          <w:sz w:val="20"/>
        </w:rPr>
      </w:pPr>
      <w:r>
        <w:rPr>
          <w:rFonts w:ascii="Times New Roman" w:hAnsi="Times New Roman"/>
          <w:sz w:val="20"/>
        </w:rPr>
        <w:t xml:space="preserve">Operations expense increased to $18.4 million (54% of net revenues) from $17.0 million (49% of net revenues) in the prior year quarter. The increase was mostly from additional labor, rent, and other costs at our Canada stores net of closed stores, as operating expenses in our Canada stores, more than offset the decrease due to closures of U.S. stores. </w:t>
      </w:r>
    </w:p>
    <w:p>
      <w:pPr>
        <w:pStyle w:val="TextBody"/>
        <w:spacing w:before="180" w:after="0"/>
        <w:rPr>
          <w:rFonts w:ascii="Times New Roman" w:hAnsi="Times New Roman"/>
          <w:sz w:val="20"/>
        </w:rPr>
      </w:pPr>
      <w:r>
        <w:rPr>
          <w:rFonts w:ascii="Times New Roman" w:hAnsi="Times New Roman"/>
          <w:sz w:val="20"/>
        </w:rPr>
        <w:t xml:space="preserve">In the current quarter, the $0.7 million decrease in net revenues from signature loans, the $0.7 million decrease in net revenues from auto title loans and the $1.4 million increase in operations expense, was partially offset by $0.3 million in merchandise and jewelry scrapping sales gross profit and the minor increase in other revenues, resulting in a $2.3 million net decrease in store operating income from the EZMONEY Operations segment. For the current quarter, EZMONEY Operations segment contributed 19% of consolidated store operating income compared to 26% in the prior year quarter. </w:t>
      </w:r>
    </w:p>
    <w:p>
      <w:pPr>
        <w:pStyle w:val="TextBody"/>
        <w:spacing w:before="360" w:after="0"/>
        <w:jc w:val="center"/>
        <w:rPr>
          <w:rFonts w:ascii="Times New Roman" w:hAnsi="Times New Roman"/>
          <w:b/>
          <w:sz w:val="20"/>
        </w:rPr>
      </w:pPr>
      <w:r>
        <w:rPr>
          <w:rFonts w:ascii="Times New Roman" w:hAnsi="Times New Roman"/>
          <w:b/>
          <w:sz w:val="20"/>
        </w:rPr>
        <w:t xml:space="preserve">Other Items </w:t>
      </w:r>
    </w:p>
    <w:p>
      <w:pPr>
        <w:pStyle w:val="TextBody"/>
        <w:spacing w:before="180" w:after="0"/>
        <w:rPr>
          <w:rFonts w:ascii="Times New Roman" w:hAnsi="Times New Roman"/>
          <w:sz w:val="20"/>
        </w:rPr>
      </w:pPr>
      <w:r>
        <w:rPr>
          <w:rFonts w:ascii="Times New Roman" w:hAnsi="Times New Roman"/>
          <w:sz w:val="20"/>
        </w:rPr>
        <w:t xml:space="preserve">The following table reconciles our consolidated store operating income discussed above to net income, including items that affect our consolidated financial results but are not allocated among segments: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061"/>
        <w:gridCol w:w="348"/>
        <w:gridCol w:w="152"/>
        <w:gridCol w:w="724"/>
        <w:gridCol w:w="152"/>
        <w:gridCol w:w="310"/>
        <w:gridCol w:w="152"/>
        <w:gridCol w:w="727"/>
        <w:gridCol w:w="129"/>
      </w:tblGrid>
      <w:tr>
        <w:trPr/>
        <w:tc>
          <w:tcPr>
            <w:tcW w:w="506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17"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Three Months Ended December 31,</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2011</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2217" w:type="dxa"/>
            <w:gridSpan w:val="6"/>
            <w:tcBorders/>
            <w:shd w:fill="auto" w:val="clear"/>
            <w:vAlign w:val="bottom"/>
          </w:tcPr>
          <w:p>
            <w:pPr>
              <w:pStyle w:val="TableContents"/>
              <w:spacing w:before="0" w:after="283"/>
              <w:jc w:val="center"/>
              <w:rPr>
                <w:rFonts w:ascii="Times New Roman" w:hAnsi="Times New Roman"/>
                <w:i/>
                <w:sz w:val="14"/>
              </w:rPr>
            </w:pPr>
            <w:r>
              <w:rPr>
                <w:rFonts w:ascii="Times New Roman" w:hAnsi="Times New Roman"/>
                <w:i/>
                <w:sz w:val="14"/>
              </w:rPr>
              <w:t>(In thousands)</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 store operating income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79,527</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69,728</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Administrative expenses</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19,711</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26,138</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5,255</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4,179</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(Gain) / loss on sale or disposal of assets</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590</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29" w:type="dxa"/>
            <w:tcBorders/>
            <w:shd w:fill="auto" w:val="clear"/>
            <w:vAlign w:val="bottom"/>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income of unconsolidated affiliates</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(4,161</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(3,367</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Other</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Consolidated income before income taxes</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59,491</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42,535</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20,139</w:t>
            </w:r>
          </w:p>
        </w:tc>
        <w:tc>
          <w:tcPr>
            <w:tcW w:w="152"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15,106</w:t>
            </w:r>
          </w:p>
        </w:tc>
        <w:tc>
          <w:tcPr>
            <w:tcW w:w="129" w:type="dxa"/>
            <w:tcBorders/>
            <w:shd w:fill="auto"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4" w:type="dxa"/>
            <w:tcBorders/>
            <w:shd w:fill="auto" w:val="clear"/>
            <w:vAlign w:val="bottom"/>
          </w:tcPr>
          <w:p>
            <w:pPr>
              <w:pStyle w:val="TableContents"/>
              <w:pBdr>
                <w:top w:val="single" w:sz="2"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72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06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48"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39,352</w:t>
            </w:r>
          </w:p>
        </w:tc>
        <w:tc>
          <w:tcPr>
            <w:tcW w:w="152"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27,429</w:t>
            </w:r>
          </w:p>
        </w:tc>
        <w:tc>
          <w:tcPr>
            <w:tcW w:w="129" w:type="dxa"/>
            <w:tcBorders/>
            <w:shd w:fill="CCEEFF" w:val="clear"/>
            <w:vAlign w:val="bottom"/>
          </w:tcPr>
          <w:p>
            <w:pPr>
              <w:pStyle w:val="TableContents"/>
              <w:spacing w:before="0" w:after="283"/>
              <w:rPr/>
            </w:pPr>
            <w:r>
              <w:rPr/>
              <w:t>  </w:t>
            </w:r>
          </w:p>
        </w:tc>
      </w:tr>
      <w:tr>
        <w:trPr/>
        <w:tc>
          <w:tcPr>
            <w:tcW w:w="5061"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724" w:type="dxa"/>
            <w:tcBorders/>
            <w:shd w:fill="auto" w:val="clear"/>
            <w:vAlign w:val="bottom"/>
          </w:tcPr>
          <w:p>
            <w:pPr>
              <w:pStyle w:val="TableContents"/>
              <w:pBdr>
                <w:top w:val="double" w:sz="6" w:space="1" w:color="000000"/>
              </w:pBdr>
              <w:spacing w:before="0" w:after="283"/>
              <w:rPr/>
            </w:pPr>
            <w:r>
              <w:rPr/>
              <w:t> </w:t>
            </w:r>
          </w:p>
        </w:tc>
        <w:tc>
          <w:tcPr>
            <w:tcW w:w="152" w:type="dxa"/>
            <w:tcBorders/>
            <w:shd w:fill="auto" w:val="clear"/>
            <w:vAlign w:val="center"/>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727"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Administrative expenses in the current quarter were $19.7 million (13% of net revenues) compared to $26.1 million (19% of net revenues) in the prior year quarter. This decrease is primarily due to a pre-tax charge of $10.9 million related to the retirement of our Chief Executive Officer in prior year quarter. This charge included $3.4 million attributable to a cash payment and $7.5 million attributable to the accelerated vesting of restricted stock. Excluding this charge, administrative expense increased $4.5 million over the prior year quarter. </w:t>
      </w:r>
    </w:p>
    <w:p>
      <w:pPr>
        <w:pStyle w:val="TextBody"/>
        <w:spacing w:before="180" w:after="0"/>
        <w:rPr>
          <w:rFonts w:ascii="Times New Roman" w:hAnsi="Times New Roman"/>
          <w:sz w:val="20"/>
        </w:rPr>
      </w:pPr>
      <w:r>
        <w:rPr>
          <w:rFonts w:ascii="Times New Roman" w:hAnsi="Times New Roman"/>
          <w:sz w:val="20"/>
        </w:rPr>
        <w:t xml:space="preserve">Depreciation and amortization expense was $5.3 million in the current quarter, compared to $4.2 million in the prior year quarter. Depreciation on assets placed in service, primarily related to acquired pawn stores and new stores, was partially offset by assets that were retired or became fully depreciated during the quarter. </w:t>
      </w:r>
    </w:p>
    <w:p>
      <w:pPr>
        <w:pStyle w:val="TextBody"/>
        <w:spacing w:before="180" w:after="0"/>
        <w:rPr>
          <w:rFonts w:ascii="Times New Roman" w:hAnsi="Times New Roman"/>
          <w:sz w:val="20"/>
        </w:rPr>
      </w:pPr>
      <w:r>
        <w:rPr>
          <w:rFonts w:ascii="Times New Roman" w:hAnsi="Times New Roman"/>
          <w:sz w:val="20"/>
        </w:rPr>
        <w:t xml:space="preserve">In the current quarter, we recognized $0.2 million in gains on disposal of assets, as losses on disposal of assets related to store closures were partially offset by gains on disposal of other assets. In the prior year quarter losses on disposal of assets related to store closures, were mostly offset by gains on disposal of other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Our $0.6 million net interest expense in the current quarter and $0.3 million in the prior year quarter represent primarily interest on borrowed funds, the amortization of deferred financing costs and the commitment fee on our unused available revolving credit facility. </w:t>
      </w:r>
    </w:p>
    <w:p>
      <w:pPr>
        <w:pStyle w:val="TextBody"/>
        <w:spacing w:before="180" w:after="0"/>
        <w:rPr>
          <w:rFonts w:ascii="Times New Roman" w:hAnsi="Times New Roman"/>
          <w:sz w:val="20"/>
        </w:rPr>
      </w:pPr>
      <w:r>
        <w:rPr>
          <w:rFonts w:ascii="Times New Roman" w:hAnsi="Times New Roman"/>
          <w:sz w:val="20"/>
        </w:rPr>
        <w:t xml:space="preserve">Our equity in the net income of Albemarle &amp; Bond increased $0.1 million, or 8%, in the current quarter to $1.8 million as a result of Albemarle &amp; Bonds higher earnings and a slightly stronger British pound in relation to the U.S. dollar. Our equity in the net income of Cash Converters International Limited (CCV) increased $0.7 million, or 39% in the current quarter to $2.3 million as a result of CCVs higher earnings and a slightly stronger Australian dollar in relation to the U.S. dollar. </w:t>
      </w:r>
    </w:p>
    <w:p>
      <w:pPr>
        <w:pStyle w:val="TextBody"/>
        <w:spacing w:before="180" w:after="0"/>
        <w:rPr>
          <w:rFonts w:ascii="Times New Roman" w:hAnsi="Times New Roman"/>
          <w:sz w:val="20"/>
        </w:rPr>
      </w:pPr>
      <w:r>
        <w:rPr>
          <w:rFonts w:ascii="Times New Roman" w:hAnsi="Times New Roman"/>
          <w:sz w:val="20"/>
        </w:rPr>
        <w:t xml:space="preserve">In the current quarter, we began using derivative financial instruments in order to manage our commodity price risk associated with the forecasted sales of gold scrap. The changes in the fair value of the gold collars are recorded directly in other income. In the current quarter, we recognized a $1.1 million gain associated with gold collars. </w:t>
      </w:r>
    </w:p>
    <w:p>
      <w:pPr>
        <w:pStyle w:val="TextBody"/>
        <w:spacing w:before="180" w:after="0"/>
        <w:rPr>
          <w:rFonts w:ascii="Times New Roman" w:hAnsi="Times New Roman"/>
          <w:sz w:val="20"/>
        </w:rPr>
      </w:pPr>
      <w:r>
        <w:rPr>
          <w:rFonts w:ascii="Times New Roman" w:hAnsi="Times New Roman"/>
          <w:sz w:val="20"/>
        </w:rPr>
        <w:t xml:space="preserve">The current quarter income tax expense was $20.1 million (33.9% of pretax income) compared to $15.1 million (35.5% of pretax income) for the prior year quarter. The decrease in effective tax rates is primarily due to the recognition of state net operating losses in the current year, as well as an increase in foreign tax credits on overseas earnings. </w:t>
      </w:r>
    </w:p>
    <w:p>
      <w:pPr>
        <w:pStyle w:val="TextBody"/>
        <w:spacing w:before="180" w:after="0"/>
        <w:rPr>
          <w:rFonts w:ascii="Times New Roman" w:hAnsi="Times New Roman"/>
          <w:sz w:val="20"/>
        </w:rPr>
      </w:pPr>
      <w:r>
        <w:rPr>
          <w:rFonts w:ascii="Times New Roman" w:hAnsi="Times New Roman"/>
          <w:sz w:val="20"/>
        </w:rPr>
        <w:t xml:space="preserve">In the current quarter, our net income increased $11.9 million, or 43%, over the prior year quarter to $39.4 million. Excluding the one-time $10.9 million charge related to the retirement of our former Chief Executive Officer and the related tax benefit in prior year quarter, net income increased 14%, or $4.9 million from $34.5 million in the prior year quarter. </w:t>
      </w:r>
    </w:p>
    <w:p>
      <w:pPr>
        <w:pStyle w:val="TextBody"/>
        <w:spacing w:before="270" w:after="0"/>
        <w:rPr>
          <w:rFonts w:ascii="Times New Roman" w:hAnsi="Times New Roman"/>
          <w:b/>
          <w:i/>
          <w:sz w:val="20"/>
        </w:rPr>
      </w:pPr>
      <w:r>
        <w:rPr>
          <w:rFonts w:ascii="Times New Roman" w:hAnsi="Times New Roman"/>
          <w:b/>
          <w:i/>
          <w:sz w:val="20"/>
        </w:rPr>
        <w:t xml:space="preserve">Liquidity and Capital Resources </w:t>
      </w:r>
    </w:p>
    <w:p>
      <w:pPr>
        <w:pStyle w:val="TextBody"/>
        <w:spacing w:before="90" w:after="0"/>
        <w:rPr>
          <w:rFonts w:ascii="Times New Roman" w:hAnsi="Times New Roman"/>
          <w:sz w:val="20"/>
        </w:rPr>
      </w:pPr>
      <w:r>
        <w:rPr>
          <w:rFonts w:ascii="Times New Roman" w:hAnsi="Times New Roman"/>
          <w:sz w:val="20"/>
        </w:rPr>
        <w:t xml:space="preserve">In the current quarter, our $43.7 million cash flow from operations consisted of (i) net income plus several non-cash items, aggregating to $46.0 million, net of (ii) $2.3 million of normal, recurring changes in operating assets and liabilities. In the prior year quarter, our $35.1 million cash flow from operations consisted of (i) net income plus several non-cash items, aggregating to $42.5 million, net of (ii) $7.4 million of normal, recurring changes in operating assets and liabilities. The primary differences in cash flow from operations between the current and prior years were the contribution from acquisitions and organic growth throughout our other operations and revenue streams, net of higher taxes paid. </w:t>
      </w:r>
    </w:p>
    <w:p>
      <w:pPr>
        <w:pStyle w:val="TextBody"/>
        <w:spacing w:before="180" w:after="0"/>
        <w:rPr>
          <w:rFonts w:ascii="Times New Roman" w:hAnsi="Times New Roman"/>
          <w:sz w:val="20"/>
        </w:rPr>
      </w:pPr>
      <w:r>
        <w:rPr>
          <w:rFonts w:ascii="Times New Roman" w:hAnsi="Times New Roman"/>
          <w:sz w:val="20"/>
        </w:rPr>
        <w:t xml:space="preserve">The $67.2 million of net cash used in investing activities during the current quarter was funded by cash flow from operations, cash on hand and borrowings on our line of credit facility. We received $2.2 million in dividends from Cash Converters. We invested $49.4 million in cash to acquire 17 pawn stores and seven retail stores in the U.S., one retail store in Canada and a decision science model for the underwriting of consumer loans as part of a related party transaction. Other significant investments in the period were the $9.9 million in additions property and equipment and the $10.1 million of loans made in excess of customer loan repayments and the recovery of principal through the sale of forfeited pawn loan collateral. We also paid $0.5 million of withholding tax upon the net share settlement of restricted stock vesting, net of related tax benefits. </w:t>
      </w:r>
    </w:p>
    <w:p>
      <w:pPr>
        <w:pStyle w:val="TextBody"/>
        <w:spacing w:before="180" w:after="0"/>
        <w:rPr>
          <w:rFonts w:ascii="Times New Roman" w:hAnsi="Times New Roman"/>
          <w:sz w:val="20"/>
        </w:rPr>
      </w:pPr>
      <w:r>
        <w:rPr>
          <w:rFonts w:ascii="Times New Roman" w:hAnsi="Times New Roman"/>
          <w:sz w:val="20"/>
        </w:rPr>
        <w:t xml:space="preserve">The net effect of these and other smaller cash flows was a $1.1 million decrease in cash on hand, providing a $22.9 million ending cash balance. </w:t>
      </w:r>
    </w:p>
    <w:p>
      <w:pPr>
        <w:pStyle w:val="TextBody"/>
        <w:spacing w:before="270" w:after="0"/>
        <w:rPr>
          <w:rFonts w:ascii="Times New Roman" w:hAnsi="Times New Roman"/>
          <w:sz w:val="20"/>
        </w:rPr>
      </w:pPr>
      <w:r>
        <w:rPr>
          <w:rFonts w:ascii="Times New Roman" w:hAnsi="Times New Roman"/>
          <w:sz w:val="20"/>
        </w:rPr>
        <w:t xml:space="preserve">Below is a summary of our cash needs to meet future aggregate contractual obligations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73"/>
        <w:gridCol w:w="204"/>
        <w:gridCol w:w="125"/>
        <w:gridCol w:w="723"/>
        <w:gridCol w:w="120"/>
        <w:gridCol w:w="204"/>
        <w:gridCol w:w="125"/>
        <w:gridCol w:w="590"/>
        <w:gridCol w:w="120"/>
        <w:gridCol w:w="204"/>
        <w:gridCol w:w="125"/>
        <w:gridCol w:w="589"/>
        <w:gridCol w:w="120"/>
        <w:gridCol w:w="204"/>
        <w:gridCol w:w="125"/>
        <w:gridCol w:w="590"/>
        <w:gridCol w:w="120"/>
        <w:gridCol w:w="204"/>
        <w:gridCol w:w="125"/>
        <w:gridCol w:w="590"/>
        <w:gridCol w:w="125"/>
      </w:tblGrid>
      <w:tr>
        <w:trPr/>
        <w:tc>
          <w:tcPr>
            <w:tcW w:w="487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487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831" w:type="dxa"/>
            <w:gridSpan w:val="14"/>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Payments due by Period</w:t>
            </w:r>
          </w:p>
        </w:tc>
        <w:tc>
          <w:tcPr>
            <w:tcW w:w="125" w:type="dxa"/>
            <w:tcBorders/>
            <w:shd w:fill="auto" w:val="clear"/>
            <w:vAlign w:val="bottom"/>
          </w:tcPr>
          <w:p>
            <w:pPr>
              <w:pStyle w:val="TableContents"/>
              <w:spacing w:before="0" w:after="283"/>
              <w:rPr/>
            </w:pPr>
            <w:r>
              <w:rPr/>
              <w:t> </w:t>
            </w:r>
          </w:p>
        </w:tc>
      </w:tr>
      <w:tr>
        <w:trPr/>
        <w:tc>
          <w:tcPr>
            <w:tcW w:w="487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Contractual Obligations</w:t>
            </w:r>
          </w:p>
        </w:tc>
        <w:tc>
          <w:tcPr>
            <w:tcW w:w="204"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Total</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Less than</w:t>
              <w:br/>
              <w:t>1 year</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1-3 years</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3-5 years</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7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More than</w:t>
              <w:br/>
              <w:t>5 years</w:t>
            </w:r>
          </w:p>
        </w:tc>
        <w:tc>
          <w:tcPr>
            <w:tcW w:w="125" w:type="dxa"/>
            <w:tcBorders/>
            <w:shd w:fill="auto" w:val="clear"/>
            <w:vAlign w:val="bottom"/>
          </w:tcPr>
          <w:p>
            <w:pPr>
              <w:pStyle w:val="TableContents"/>
              <w:spacing w:before="0" w:after="283"/>
              <w:rPr/>
            </w:pPr>
            <w:r>
              <w:rPr/>
              <w:t> </w:t>
            </w:r>
          </w:p>
        </w:tc>
      </w:tr>
      <w:tr>
        <w:trPr/>
        <w:tc>
          <w:tcPr>
            <w:tcW w:w="4873"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obligations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on long-term debt obligations</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6,154</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1,832</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3,663</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659</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4873"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lease obligations</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177,593</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47,165</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70,791</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36,385</w:t>
            </w:r>
          </w:p>
        </w:tc>
        <w:tc>
          <w:tcPr>
            <w:tcW w:w="1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23,252</w:t>
            </w:r>
          </w:p>
        </w:tc>
        <w:tc>
          <w:tcPr>
            <w:tcW w:w="125" w:type="dxa"/>
            <w:tcBorders/>
            <w:shd w:fill="CCEEFF" w:val="clear"/>
            <w:vAlign w:val="bottom"/>
          </w:tcPr>
          <w:p>
            <w:pPr>
              <w:pStyle w:val="TableContents"/>
              <w:spacing w:before="0" w:after="283"/>
              <w:rPr/>
            </w:pPr>
            <w:r>
              <w:rPr/>
              <w:t>  </w:t>
            </w:r>
          </w:p>
        </w:tc>
      </w:tr>
      <w:tr>
        <w:trPr/>
        <w:tc>
          <w:tcPr>
            <w:tcW w:w="4873"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8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0"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4873"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224,247</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48,997</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74,454</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77,544</w:t>
            </w:r>
          </w:p>
        </w:tc>
        <w:tc>
          <w:tcPr>
            <w:tcW w:w="12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23,252</w:t>
            </w:r>
          </w:p>
        </w:tc>
        <w:tc>
          <w:tcPr>
            <w:tcW w:w="125" w:type="dxa"/>
            <w:tcBorders/>
            <w:shd w:fill="auto" w:val="clear"/>
            <w:vAlign w:val="bottom"/>
          </w:tcPr>
          <w:p>
            <w:pPr>
              <w:pStyle w:val="TableContents"/>
              <w:spacing w:before="0" w:after="283"/>
              <w:rPr/>
            </w:pPr>
            <w:r>
              <w:rPr/>
              <w:t>  </w:t>
            </w:r>
          </w:p>
        </w:tc>
      </w:tr>
      <w:tr>
        <w:trPr/>
        <w:tc>
          <w:tcPr>
            <w:tcW w:w="4873"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8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0"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 addition to the contractual obligations in the table above, we are obligated under letters of credit issued to unaffiliated lenders as part of our credit service operations. At December 31, 2011, our maximum exposure for losses on letters of credit, if all brokered loans defaulted and none was collected, was $34.9 million. Of that total, $7.1 million was secured by titles to customers automobiles. These amounts include principal, interest, insufficient funds fees and late fees.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addition to the operating lease obligations in the table above, we are responsible for the maintenance, property taxes and insurance at most of our locations. In the fiscal year ended September 30, 2011, these collectively amounted to $17.4 million. </w:t>
      </w:r>
    </w:p>
    <w:p>
      <w:pPr>
        <w:pStyle w:val="TextBody"/>
        <w:spacing w:before="180" w:after="0"/>
        <w:rPr>
          <w:rFonts w:ascii="Times New Roman" w:hAnsi="Times New Roman"/>
          <w:sz w:val="20"/>
        </w:rPr>
      </w:pPr>
      <w:r>
        <w:rPr>
          <w:rFonts w:ascii="Times New Roman" w:hAnsi="Times New Roman"/>
          <w:sz w:val="20"/>
        </w:rPr>
        <w:t xml:space="preserve">The operating lease obligations in the table above include expected rent for all our store locations through the end of their current lease terms. Of the 428 U.S. EZMONEY financial services stores, 157 adjoin an EZPAWN store. The lease agreements at approximately 95% of the remaining 271 free-standing EZMONEY stores contain provisions that limit our exposure for additional rent to only a few months if laws were enacted that had a significant negative effect on our operations at these stores. </w:t>
      </w:r>
    </w:p>
    <w:p>
      <w:pPr>
        <w:pStyle w:val="TextBody"/>
        <w:spacing w:before="180" w:after="0"/>
        <w:rPr>
          <w:rFonts w:ascii="Times New Roman" w:hAnsi="Times New Roman"/>
          <w:sz w:val="20"/>
        </w:rPr>
      </w:pPr>
      <w:r>
        <w:rPr>
          <w:rFonts w:ascii="Times New Roman" w:hAnsi="Times New Roman"/>
          <w:sz w:val="20"/>
        </w:rPr>
        <w:t xml:space="preserve">In the remaining nine months of the fiscal year ending September 30, 2012, we plan to open approximately 76 new stores for an aggregate investment of $11.8 million of capital expenditures plus the funding of working capital and start-up losses related to these store openings. We believe new stores will create a drag on earnings and liquidity until their second year of operations. </w:t>
      </w:r>
    </w:p>
    <w:p>
      <w:pPr>
        <w:pStyle w:val="TextBody"/>
        <w:spacing w:before="180" w:after="0"/>
        <w:rPr>
          <w:rFonts w:ascii="Times New Roman" w:hAnsi="Times New Roman"/>
          <w:sz w:val="20"/>
        </w:rPr>
      </w:pPr>
      <w:r>
        <w:rPr>
          <w:rFonts w:ascii="Times New Roman" w:hAnsi="Times New Roman"/>
          <w:sz w:val="20"/>
        </w:rPr>
        <w:t xml:space="preserve">On May 10, 2011, we entered into a new senior secured credit agreement with a syndication of five banks, replacing our previous credit agreement. Among other things, the new credit agreement provides for a four year $175 million revolving credit facility that we may, under the terms of the agreement, request to be increased to a total of $225 million.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December 31, 2011 and expect to remain in compliance based on our expected future performance. At December 31, 2011, bank letters of credit totaling $5.0 million were outstanding and we had borrowed $40.5 million, leaving $129.5 million available on the facility. </w:t>
      </w:r>
    </w:p>
    <w:p>
      <w:pPr>
        <w:pStyle w:val="TextBody"/>
        <w:spacing w:before="180" w:after="0"/>
        <w:rPr>
          <w:rFonts w:ascii="Times New Roman" w:hAnsi="Times New Roman"/>
          <w:sz w:val="20"/>
        </w:rPr>
      </w:pPr>
      <w:r>
        <w:rPr>
          <w:rFonts w:ascii="Times New Roman" w:hAnsi="Times New Roman"/>
          <w:sz w:val="20"/>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180" w:after="0"/>
        <w:rPr>
          <w:rFonts w:ascii="Times New Roman" w:hAnsi="Times New Roman"/>
          <w:sz w:val="20"/>
        </w:rPr>
      </w:pPr>
      <w:r>
        <w:rPr>
          <w:rFonts w:ascii="Times New Roman" w:hAnsi="Times New Roman"/>
          <w:sz w:val="20"/>
        </w:rPr>
        <w:t xml:space="preserve">We have an effective shelf Registration Statement on Form S-4 covering an aggregate of 2 million shares of our Class A Common Stock that we may offer from time to time in connection with future acquisitions of businesses, assets or securities. We have issued an aggregate of approximately 248,000 shares of Class A Common Stock in connection with several acquisitions of pawn stores, leaving approximately 1.8 million shares covered by the registration statement and available for issuance in future acquisitions as of December 31, 2011. </w:t>
      </w:r>
    </w:p>
    <w:p>
      <w:pPr>
        <w:pStyle w:val="TextBody"/>
        <w:spacing w:before="180" w:after="0"/>
        <w:rPr>
          <w:rFonts w:ascii="Times New Roman" w:hAnsi="Times New Roman"/>
          <w:sz w:val="20"/>
        </w:rPr>
      </w:pPr>
      <w:r>
        <w:rPr>
          <w:rFonts w:ascii="Times New Roman" w:hAnsi="Times New Roman"/>
          <w:sz w:val="20"/>
        </w:rPr>
        <w:t xml:space="preserve">On February 3, 2012,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w:t>
      </w:r>
    </w:p>
    <w:p>
      <w:pPr>
        <w:pStyle w:val="TextBody"/>
        <w:spacing w:before="270" w:after="0"/>
        <w:rPr>
          <w:rFonts w:ascii="Times New Roman" w:hAnsi="Times New Roman"/>
          <w:b/>
          <w:i/>
          <w:sz w:val="20"/>
        </w:rPr>
      </w:pPr>
      <w:r>
        <w:rPr>
          <w:rFonts w:ascii="Times New Roman" w:hAnsi="Times New Roman"/>
          <w:b/>
          <w:i/>
          <w:sz w:val="20"/>
        </w:rPr>
        <w:t xml:space="preserve">Off-Balance Sheet Arrangements </w:t>
      </w:r>
    </w:p>
    <w:p>
      <w:pPr>
        <w:pStyle w:val="TextBody"/>
        <w:spacing w:before="90" w:after="0"/>
        <w:rPr>
          <w:rFonts w:ascii="Times New Roman" w:hAnsi="Times New Roman"/>
          <w:sz w:val="20"/>
        </w:rPr>
      </w:pPr>
      <w:r>
        <w:rPr>
          <w:rFonts w:ascii="Times New Roman" w:hAnsi="Times New Roman"/>
          <w:sz w:val="20"/>
        </w:rPr>
        <w:t xml:space="preserve">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 </w:t>
      </w:r>
    </w:p>
    <w:p>
      <w:pPr>
        <w:pStyle w:val="TextBody"/>
        <w:spacing w:before="180" w:after="0"/>
        <w:rPr>
          <w:rFonts w:ascii="Times New Roman" w:hAnsi="Times New Roman"/>
          <w:sz w:val="20"/>
        </w:rPr>
      </w:pPr>
      <w:r>
        <w:rPr>
          <w:rFonts w:ascii="Times New Roman" w:hAnsi="Times New Roman"/>
          <w:sz w:val="20"/>
        </w:rPr>
        <w:t xml:space="preserve">We include an allowance for Expected LOC Losses in Accounts payable and other accrued expenses on our balance sheet. At December 31, 2011, the allowance for Expected LOC Losses was $2.1 million. At that date, our maximum exposure for losses on letters of credit, if all brokered loans defaulted and none were collected, was $34.9 million. This amount includes principal, interest, insufficient funds fees and late fees. </w:t>
      </w:r>
    </w:p>
    <w:p>
      <w:pPr>
        <w:pStyle w:val="TextBody"/>
        <w:spacing w:before="180" w:after="0"/>
        <w:rPr>
          <w:rFonts w:ascii="Times New Roman" w:hAnsi="Times New Roman"/>
          <w:sz w:val="20"/>
        </w:rPr>
      </w:pPr>
      <w:r>
        <w:rPr>
          <w:rFonts w:ascii="Times New Roman" w:hAnsi="Times New Roman"/>
          <w:sz w:val="20"/>
        </w:rPr>
        <w:t xml:space="preserve">We have no other off-balance sheet arrangements.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b/>
          <w:i/>
          <w:sz w:val="20"/>
        </w:rPr>
      </w:pPr>
      <w:r>
        <w:rPr>
          <w:rFonts w:ascii="Times New Roman" w:hAnsi="Times New Roman"/>
          <w:b/>
          <w:i/>
          <w:sz w:val="20"/>
        </w:rPr>
        <w:t xml:space="preserve">Seasonality </w:t>
      </w:r>
    </w:p>
    <w:p>
      <w:pPr>
        <w:pStyle w:val="TextBody"/>
        <w:spacing w:before="90" w:after="0"/>
        <w:rPr>
          <w:rFonts w:ascii="Times New Roman" w:hAnsi="Times New Roman"/>
          <w:sz w:val="20"/>
        </w:rPr>
      </w:pPr>
      <w:r>
        <w:rPr>
          <w:rFonts w:ascii="Times New Roman" w:hAnsi="Times New Roman"/>
          <w:sz w:val="20"/>
        </w:rPr>
        <w:t xml:space="preserve">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 </w:t>
      </w:r>
    </w:p>
    <w:p>
      <w:pPr>
        <w:pStyle w:val="TextBody"/>
        <w:spacing w:before="180" w:after="0"/>
        <w:rPr>
          <w:rFonts w:ascii="Times New Roman" w:hAnsi="Times New Roman"/>
          <w:sz w:val="20"/>
        </w:rPr>
      </w:pPr>
      <w:r>
        <w:rPr>
          <w:rFonts w:ascii="Times New Roman" w:hAnsi="Times New Roman"/>
          <w:sz w:val="20"/>
        </w:rPr>
        <w:t xml:space="preserve">Signature loan fees are generally highest in our third and fourth fiscal quarters (April through September) due to a higher average loan balance during the summer lending season. Signature loan bad debt, both in dollar terms and as a percentage of related fees, is highest in the third and fourth fiscal quarters and lowest in the second fiscal quarter due primarily to the impact of tax refunds. </w:t>
      </w:r>
    </w:p>
    <w:p>
      <w:pPr>
        <w:pStyle w:val="TextBody"/>
        <w:spacing w:before="180" w:after="0"/>
        <w:rPr>
          <w:rFonts w:ascii="Times New Roman" w:hAnsi="Times New Roman"/>
          <w:sz w:val="20"/>
        </w:rPr>
      </w:pPr>
      <w:r>
        <w:rPr>
          <w:rFonts w:ascii="Times New Roman" w:hAnsi="Times New Roman"/>
          <w:sz w:val="20"/>
        </w:rPr>
        <w:t xml:space="preserve">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 </w:t>
      </w:r>
    </w:p>
    <w:p>
      <w:pPr>
        <w:pStyle w:val="TextBody"/>
        <w:spacing w:before="270" w:after="0"/>
        <w:rPr>
          <w:rFonts w:ascii="Times New Roman" w:hAnsi="Times New Roman"/>
          <w:b/>
          <w:i/>
          <w:sz w:val="20"/>
        </w:rPr>
      </w:pPr>
      <w:r>
        <w:rPr>
          <w:rFonts w:ascii="Times New Roman" w:hAnsi="Times New Roman"/>
          <w:b/>
          <w:i/>
          <w:sz w:val="20"/>
        </w:rPr>
        <w:t xml:space="preserve">Use of Estimates and Assumptions </w:t>
      </w:r>
    </w:p>
    <w:p>
      <w:pPr>
        <w:pStyle w:val="TextBody"/>
        <w:spacing w:before="90" w:after="0"/>
        <w:rPr>
          <w:rFonts w:ascii="Times New Roman" w:hAnsi="Times New Roman"/>
          <w:sz w:val="20"/>
        </w:rPr>
      </w:pPr>
      <w:r>
        <w:rPr>
          <w:rFonts w:ascii="Times New Roman" w:hAnsi="Times New Roman"/>
          <w:sz w:val="20"/>
        </w:rPr>
        <w:t xml:space="preserve">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spacing w:before="270" w:after="0"/>
        <w:rPr>
          <w:rFonts w:ascii="Times New Roman" w:hAnsi="Times New Roman"/>
          <w:b/>
          <w:sz w:val="20"/>
        </w:rPr>
      </w:pPr>
      <w:r>
        <w:rPr>
          <w:rFonts w:ascii="Times New Roman" w:hAnsi="Times New Roman"/>
          <w:b/>
          <w:sz w:val="20"/>
        </w:rPr>
        <w:t xml:space="preserve">Item 3. </w:t>
      </w:r>
      <w:bookmarkStart w:id="9" w:name="tx263324_8"/>
      <w:bookmarkEnd w:id="9"/>
      <w:r>
        <w:rPr>
          <w:rFonts w:ascii="Times New Roman" w:hAnsi="Times New Roman"/>
          <w:b/>
          <w:sz w:val="20"/>
        </w:rPr>
        <w:t xml:space="preserve">Quantitative and Qualitative Disclosures About Market Risk </w:t>
      </w:r>
    </w:p>
    <w:p>
      <w:pPr>
        <w:pStyle w:val="TextBody"/>
        <w:spacing w:before="90" w:after="0"/>
        <w:rPr>
          <w:rFonts w:ascii="Times New Roman" w:hAnsi="Times New Roman"/>
          <w:sz w:val="20"/>
        </w:rPr>
      </w:pPr>
      <w:r>
        <w:rPr>
          <w:rFonts w:ascii="Times New Roman" w:hAnsi="Times New Roman"/>
          <w:sz w:val="20"/>
        </w:rPr>
        <w:t xml:space="preserve">We are exposed to market risk related to interest rates, gold values and changes in foreign currency exchange rates. </w:t>
      </w:r>
    </w:p>
    <w:p>
      <w:pPr>
        <w:pStyle w:val="TextBody"/>
        <w:spacing w:before="180" w:after="0"/>
        <w:rPr>
          <w:rFonts w:ascii="Times New Roman" w:hAnsi="Times New Roman"/>
          <w:sz w:val="20"/>
        </w:rPr>
      </w:pPr>
      <w:r>
        <w:rPr>
          <w:rFonts w:ascii="Times New Roman" w:hAnsi="Times New Roman"/>
          <w:sz w:val="20"/>
        </w:rPr>
        <w:t xml:space="preserve">Our earnings are affected by changes in interest rates as our debt has a variable rate. If interest rates average 50 basis points more than our current rate in the remaining nine months of the fiscal year ending September 30, 2012, our interest expense during that period would increase by approximately $152,000. This amount is determined by considering the impact of the hypothetical interest rate change on our variable-rate debt at December 31, 2011. </w:t>
      </w:r>
    </w:p>
    <w:p>
      <w:pPr>
        <w:pStyle w:val="TextBody"/>
        <w:spacing w:before="180" w:after="0"/>
        <w:rPr>
          <w:rFonts w:ascii="Times New Roman" w:hAnsi="Times New Roman"/>
          <w:sz w:val="20"/>
        </w:rPr>
      </w:pPr>
      <w:r>
        <w:rPr>
          <w:rFonts w:ascii="Times New Roman" w:hAnsi="Times New Roman"/>
          <w:sz w:val="20"/>
        </w:rPr>
        <w:t xml:space="preserve">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current quarter, we began using derivative financial instruments, in order to manage our commodity price risk associated with the forecasted sales of gold scrap. These derivatives are not designated as hedges as they do not meet the hedge accounting requirements of the Derivatives and Hedging topic of the FASB codification, and changes in their fair value are recorded directly in earnings. As of December 31, 2011, the Company had outstanding gold collars with a total notional amount of 19,000 ounces of gold. For further discussion, you should read Part I, Item 1ARisk Factors of our Annual Report on Form 10-K for the year ended September 30, 2011. </w:t>
      </w:r>
    </w:p>
    <w:p>
      <w:pPr>
        <w:pStyle w:val="TextBody"/>
        <w:spacing w:before="180" w:after="0"/>
        <w:rPr>
          <w:rFonts w:ascii="Times New Roman" w:hAnsi="Times New Roman"/>
          <w:sz w:val="20"/>
        </w:rPr>
      </w:pPr>
      <w:r>
        <w:rPr>
          <w:rFonts w:ascii="Times New Roman" w:hAnsi="Times New Roman"/>
          <w:sz w:val="20"/>
        </w:rPr>
        <w:t xml:space="preserve">Our earnings and financial position are affected by foreign exchange rate fluctuations related to our equity investments in Albemarle &amp; Bond and Cash Converters International, our Empeño Fácil pawn operations in Mexico, and our operations in Canada. Albemarle &amp; Bonds functional currency is the British pound, Cash Converters International functional currency is the Australian dollar, Empeño Fácil s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translation adjustment from Albemarle &amp; Bond representing the weakening in the British pound during the quarter ended September 30, 2011 (included in our December 31, 2011 results on a three-month lag) was a $0.6 million decrease to stockholders equity. On December 31, 2011, the British pound weakened to £1.00 to $1.5453 U.S. from $1.5625 at September 30, 2011. </w:t>
      </w:r>
    </w:p>
    <w:p>
      <w:pPr>
        <w:pStyle w:val="TextBody"/>
        <w:spacing w:before="180" w:after="0"/>
        <w:rPr>
          <w:rFonts w:ascii="Times New Roman" w:hAnsi="Times New Roman"/>
          <w:sz w:val="20"/>
        </w:rPr>
      </w:pPr>
      <w:r>
        <w:rPr>
          <w:rFonts w:ascii="Times New Roman" w:hAnsi="Times New Roman"/>
          <w:sz w:val="20"/>
        </w:rPr>
        <w:t xml:space="preserve">The translation adjustment from Cash Converters International representing the weakening in the Australian dollar during the quarter ended September 30, 2011 (included in our December 31, 2011 results on a three-month lag) was a $3.9 million decrease to stockholders equity. On December 31, 2011, the Australian dollar strengthened to $1.00 Australian dollar to $1.0174 U.S. from $0.97910 at September 30, 2011. </w:t>
      </w:r>
    </w:p>
    <w:p>
      <w:pPr>
        <w:pStyle w:val="TextBody"/>
        <w:spacing w:before="180" w:after="0"/>
        <w:rPr>
          <w:rFonts w:ascii="Times New Roman" w:hAnsi="Times New Roman"/>
          <w:sz w:val="20"/>
        </w:rPr>
      </w:pPr>
      <w:r>
        <w:rPr>
          <w:rFonts w:ascii="Times New Roman" w:hAnsi="Times New Roman"/>
          <w:sz w:val="20"/>
        </w:rPr>
        <w:t xml:space="preserve">The translation adjustment from Empeño Fácil representing the weakening of the Mexican peso during the quarter ended December 31, 2011 was a $2.1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December 31, 2011, the peso strengthened to $1.00 Mexican peso to $0.0715 U.S. from $0.0745 at September 30, 2011. </w:t>
      </w:r>
    </w:p>
    <w:p>
      <w:pPr>
        <w:pStyle w:val="TextBody"/>
        <w:spacing w:before="180" w:after="0"/>
        <w:rPr>
          <w:rFonts w:ascii="Times New Roman" w:hAnsi="Times New Roman"/>
          <w:sz w:val="20"/>
        </w:rPr>
      </w:pPr>
      <w:r>
        <w:rPr>
          <w:rFonts w:ascii="Times New Roman" w:hAnsi="Times New Roman"/>
          <w:sz w:val="20"/>
        </w:rPr>
        <w:t xml:space="preserve">The translation adjustment from our Canadian operations representing the strengthening of the Canadian dollar during the quarter ended December 31, 2011 was a $0.1 million increase to stockholders equity. On December 31, 2011, the Canadian dollar weakened to $1.00 Canadian dollar to $0.9804 U.S. from $0.9682 at September 30, 2011. </w:t>
      </w:r>
    </w:p>
    <w:p>
      <w:pPr>
        <w:pStyle w:val="TextBody"/>
        <w:spacing w:before="180" w:after="0"/>
        <w:rPr>
          <w:rFonts w:ascii="Times New Roman" w:hAnsi="Times New Roman"/>
          <w:sz w:val="20"/>
        </w:rPr>
      </w:pPr>
      <w:r>
        <w:rPr>
          <w:rFonts w:ascii="Times New Roman" w:hAnsi="Times New Roman"/>
          <w:sz w:val="20"/>
        </w:rPr>
        <w:t xml:space="preserve">We cannot predict the future valuation of foreign currencies or how further movements in them could affect our future earnings or financial position. </w:t>
      </w:r>
    </w:p>
    <w:p>
      <w:pPr>
        <w:pStyle w:val="TextBody"/>
        <w:spacing w:before="270" w:after="0"/>
        <w:rPr>
          <w:rFonts w:ascii="Times New Roman" w:hAnsi="Times New Roman"/>
          <w:b/>
          <w:i/>
          <w:sz w:val="20"/>
        </w:rPr>
      </w:pPr>
      <w:r>
        <w:rPr>
          <w:rFonts w:ascii="Times New Roman" w:hAnsi="Times New Roman"/>
          <w:b/>
          <w:i/>
          <w:sz w:val="20"/>
        </w:rPr>
        <w:t xml:space="preserve">Forward-Looking Information </w:t>
      </w:r>
    </w:p>
    <w:p>
      <w:pPr>
        <w:pStyle w:val="TextBody"/>
        <w:spacing w:before="90" w:after="0"/>
        <w:rPr>
          <w:rFonts w:ascii="Times New Roman" w:hAnsi="Times New Roman"/>
          <w:sz w:val="20"/>
        </w:rPr>
      </w:pPr>
      <w:r>
        <w:rPr>
          <w:rFonts w:ascii="Times New Roman" w:hAnsi="Times New Roman"/>
          <w:sz w:val="20"/>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2011. </w:t>
      </w:r>
    </w:p>
    <w:p>
      <w:pPr>
        <w:pStyle w:val="TextBody"/>
        <w:spacing w:before="180" w:after="0"/>
        <w:rPr>
          <w:rFonts w:ascii="Times New Roman" w:hAnsi="Times New Roman"/>
          <w:sz w:val="20"/>
        </w:rPr>
      </w:pPr>
      <w:r>
        <w:rPr>
          <w:rFonts w:ascii="Times New Roman" w:hAnsi="Times New Roman"/>
          <w:sz w:val="20"/>
        </w:rPr>
        <w:t xml:space="preserve">We specifically disclaim any responsibility to publicly update any information contained in a forward-looking statement except as required by law. All forward-looking statements attributable to us are expressly qualified in their entirety by this cautionary statement. </w:t>
      </w:r>
    </w:p>
    <w:p>
      <w:pPr>
        <w:pStyle w:val="TextBody"/>
        <w:spacing w:before="270" w:after="0"/>
        <w:rPr>
          <w:rFonts w:ascii="Times New Roman" w:hAnsi="Times New Roman"/>
          <w:b/>
          <w:i/>
          <w:sz w:val="20"/>
        </w:rPr>
      </w:pPr>
      <w:r>
        <w:rPr>
          <w:rFonts w:ascii="Times New Roman" w:hAnsi="Times New Roman"/>
          <w:b/>
          <w:i/>
          <w:sz w:val="20"/>
        </w:rPr>
        <w:t xml:space="preserve">Item 4. </w:t>
      </w:r>
      <w:bookmarkStart w:id="10" w:name="tx263324_9"/>
      <w:bookmarkEnd w:id="10"/>
      <w:r>
        <w:rPr>
          <w:rFonts w:ascii="Times New Roman" w:hAnsi="Times New Roman"/>
          <w:b/>
          <w:i/>
          <w:sz w:val="20"/>
        </w:rPr>
        <w:t xml:space="preserve">Controls and Procedures </w:t>
      </w:r>
    </w:p>
    <w:p>
      <w:pPr>
        <w:pStyle w:val="TextBody"/>
        <w:spacing w:before="90" w:after="0"/>
        <w:rPr>
          <w:rFonts w:ascii="Times New Roman" w:hAnsi="Times New Roman"/>
          <w:sz w:val="20"/>
        </w:rPr>
      </w:pPr>
      <w:r>
        <w:rPr>
          <w:rFonts w:ascii="Times New Roman" w:hAnsi="Times New Roman"/>
          <w:sz w:val="20"/>
        </w:rPr>
        <w:t xml:space="preserve">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rPr>
          <w:rFonts w:ascii="Times New Roman" w:hAnsi="Times New Roman"/>
          <w:b/>
          <w:i/>
          <w:sz w:val="20"/>
        </w:rPr>
      </w:pPr>
      <w:r>
        <w:rPr>
          <w:rFonts w:ascii="Times New Roman" w:hAnsi="Times New Roman"/>
          <w:b/>
          <w:i/>
          <w:sz w:val="20"/>
        </w:rPr>
        <w:t xml:space="preserve">Evaluation of Disclosure Controls and Procedures </w:t>
      </w:r>
    </w:p>
    <w:p>
      <w:pPr>
        <w:pStyle w:val="TextBody"/>
        <w:spacing w:before="90" w:after="0"/>
        <w:rPr>
          <w:rFonts w:ascii="Times New Roman" w:hAnsi="Times New Roman"/>
          <w:sz w:val="20"/>
        </w:rPr>
      </w:pPr>
      <w:r>
        <w:rPr>
          <w:rFonts w:ascii="Times New Roman" w:hAnsi="Times New Roman"/>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December 31, 2011. Based on that evaluation, our Chief Executive Officer and Chief Financial Officer concluded that our disclosure controls and procedures were effective as of December 31, 2011. </w:t>
      </w:r>
    </w:p>
    <w:p>
      <w:pPr>
        <w:pStyle w:val="TextBody"/>
        <w:spacing w:before="270" w:after="0"/>
        <w:rPr>
          <w:rFonts w:ascii="Times New Roman" w:hAnsi="Times New Roman"/>
          <w:b/>
          <w:i/>
          <w:sz w:val="20"/>
        </w:rPr>
      </w:pPr>
      <w:r>
        <w:rPr>
          <w:rFonts w:ascii="Times New Roman" w:hAnsi="Times New Roman"/>
          <w:b/>
          <w:i/>
          <w:sz w:val="20"/>
        </w:rPr>
        <w:t xml:space="preserve">Changes in Internal Control Over Financial Reporting </w:t>
      </w:r>
    </w:p>
    <w:p>
      <w:pPr>
        <w:pStyle w:val="TextBody"/>
        <w:spacing w:before="90" w:after="0"/>
        <w:rPr>
          <w:rFonts w:ascii="Times New Roman" w:hAnsi="Times New Roman"/>
          <w:sz w:val="20"/>
        </w:rPr>
      </w:pPr>
      <w:r>
        <w:rPr>
          <w:rFonts w:ascii="Times New Roman" w:hAnsi="Times New Roman"/>
          <w:sz w:val="20"/>
        </w:rPr>
        <w:t xml:space="preserve">There were no changes in our internal control over financial reporting during the first quarter of fiscal 2012 that have materially affected, or are reasonably likely to materially affect, our internal control over financial reporting. </w:t>
      </w:r>
    </w:p>
    <w:p>
      <w:pPr>
        <w:pStyle w:val="TextBody"/>
        <w:spacing w:before="270" w:after="0"/>
        <w:rPr>
          <w:rFonts w:ascii="Times New Roman" w:hAnsi="Times New Roman"/>
          <w:b/>
          <w:i/>
          <w:sz w:val="20"/>
        </w:rPr>
      </w:pPr>
      <w:r>
        <w:rPr>
          <w:rFonts w:ascii="Times New Roman" w:hAnsi="Times New Roman"/>
          <w:b/>
          <w:i/>
          <w:sz w:val="20"/>
        </w:rPr>
        <w:t xml:space="preserve">Inherent Limitations on Internal Controls </w:t>
      </w:r>
    </w:p>
    <w:p>
      <w:pPr>
        <w:pStyle w:val="TextBody"/>
        <w:spacing w:before="90" w:after="0"/>
        <w:rPr>
          <w:rFonts w:ascii="Times New Roman" w:hAnsi="Times New Roman"/>
          <w:sz w:val="20"/>
        </w:rPr>
      </w:pPr>
      <w:r>
        <w:rPr>
          <w:rFonts w:ascii="Times New Roman" w:hAnsi="Times New Roman"/>
          <w:sz w:val="20"/>
        </w:rPr>
        <w:t xml:space="preserve">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Judgments in decision-making can be faulty, and control and process breakdowns can occur because of simple errors or mistakes.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Controls can be circumvented by individuals, acting alone or in collusion with others, or by management override.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 of any system of controls is based in part on certain assumptions about the likelihood of future events, and there can be no assurance that any design will succeed in achieving its stated goals under all potential future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Over time, controls may become inadequate because of changes in conditions or deterioration in the degree of compliance with associated policies or procedures.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design of a control system must reflect the fact that resources are constrained, and the benefits of controls must be considered relative to their costs. </w:t>
            </w:r>
          </w:p>
        </w:tc>
      </w:tr>
    </w:tbl>
    <w:p>
      <w:pPr>
        <w:pStyle w:val="TextBody"/>
        <w:spacing w:before="180" w:after="0"/>
        <w:rPr>
          <w:rFonts w:ascii="Times New Roman" w:hAnsi="Times New Roman"/>
          <w:sz w:val="20"/>
        </w:rPr>
      </w:pPr>
      <w:r>
        <w:rPr>
          <w:rFonts w:ascii="Times New Roman" w:hAnsi="Times New Roman"/>
          <w:sz w:val="20"/>
        </w:rPr>
        <w:t xml:space="preserve">Because of the inherent limitations in all control systems, no evaluation of controls can provide absolute assurance that all control issues and instances of fraud, if any, have been detected.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bookmarkStart w:id="11" w:name="tx263324_10"/>
      <w:bookmarkEnd w:id="11"/>
      <w:r>
        <w:rPr>
          <w:rFonts w:ascii="Times New Roman" w:hAnsi="Times New Roman"/>
          <w:b/>
          <w:sz w:val="20"/>
        </w:rPr>
        <w:t xml:space="preserve">PART II </w:t>
      </w:r>
    </w:p>
    <w:p>
      <w:pPr>
        <w:pStyle w:val="TextBody"/>
        <w:spacing w:before="90" w:after="0"/>
        <w:rPr>
          <w:rFonts w:ascii="Times New Roman" w:hAnsi="Times New Roman"/>
          <w:b/>
          <w:i/>
          <w:sz w:val="20"/>
        </w:rPr>
      </w:pPr>
      <w:bookmarkStart w:id="12" w:name="tx263324_11"/>
      <w:bookmarkEnd w:id="12"/>
      <w:r>
        <w:rPr>
          <w:rFonts w:ascii="Times New Roman" w:hAnsi="Times New Roman"/>
          <w:b/>
          <w:i/>
          <w:sz w:val="20"/>
        </w:rPr>
        <w:t xml:space="preserve">Item 1. Legal Proceedings </w:t>
      </w:r>
    </w:p>
    <w:p>
      <w:pPr>
        <w:pStyle w:val="TextBody"/>
        <w:spacing w:before="90" w:after="0"/>
        <w:rPr>
          <w:rFonts w:ascii="Times New Roman" w:hAnsi="Times New Roman"/>
          <w:sz w:val="20"/>
        </w:rPr>
      </w:pPr>
      <w:r>
        <w:rPr>
          <w:rFonts w:ascii="Times New Roman" w:hAnsi="Times New Roman"/>
          <w:sz w:val="20"/>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 </w:t>
      </w:r>
    </w:p>
    <w:p>
      <w:pPr>
        <w:pStyle w:val="TextBody"/>
        <w:spacing w:before="270" w:after="0"/>
        <w:rPr>
          <w:rFonts w:ascii="Times New Roman" w:hAnsi="Times New Roman"/>
          <w:b/>
          <w:i/>
          <w:sz w:val="20"/>
        </w:rPr>
      </w:pPr>
      <w:bookmarkStart w:id="13" w:name="tx263324_12"/>
      <w:bookmarkEnd w:id="13"/>
      <w:r>
        <w:rPr>
          <w:rFonts w:ascii="Times New Roman" w:hAnsi="Times New Roman"/>
          <w:b/>
          <w:i/>
          <w:sz w:val="20"/>
        </w:rPr>
        <w:t xml:space="preserve">Item 1A. Risk Factors </w:t>
      </w:r>
    </w:p>
    <w:p>
      <w:pPr>
        <w:pStyle w:val="TextBody"/>
        <w:spacing w:before="90" w:after="0"/>
        <w:rPr>
          <w:rFonts w:ascii="Times New Roman" w:hAnsi="Times New Roman"/>
          <w:sz w:val="20"/>
        </w:rPr>
      </w:pPr>
      <w:r>
        <w:rPr>
          <w:rFonts w:ascii="Times New Roman" w:hAnsi="Times New Roman"/>
          <w:sz w:val="20"/>
        </w:rPr>
        <w:t xml:space="preserve">Important risk factors that could affect our operations and financial performance, or that could cause results or events to differ from current expectations, are described in Part I, Item 1A, Risk Factors of our Annual Report on Form 10-K for the year ended September 30, 2011. These factors are supplemented by those discussed under Quantitative and Qualitative Disclosures about Market Risk in Part I, Item 3 of this report and in Part II, Item 7A of our Annual Report on Form 10-K for the year ended September 30,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rPr>
          <w:rFonts w:ascii="Times New Roman" w:hAnsi="Times New Roman"/>
          <w:b/>
          <w:i/>
          <w:sz w:val="20"/>
        </w:rPr>
      </w:pPr>
      <w:bookmarkStart w:id="14" w:name="tx263324_13"/>
      <w:bookmarkEnd w:id="14"/>
      <w:r>
        <w:rPr>
          <w:rFonts w:ascii="Times New Roman" w:hAnsi="Times New Roman"/>
          <w:b/>
          <w:i/>
          <w:sz w:val="20"/>
        </w:rPr>
        <w:t xml:space="preserve">Item 6.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13"/>
        <w:gridCol w:w="409"/>
        <w:gridCol w:w="9083"/>
      </w:tblGrid>
      <w:tr>
        <w:trPr/>
        <w:tc>
          <w:tcPr>
            <w:tcW w:w="71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9083"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 No.</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 of Exhibit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Paul E. Rothamel, Chief Executive Officer, pursuant to Rule 13a-14(a) under the Securities Exchange Act of 1934, as adopted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Stephen A. Stamp, Chief Financial Officer, pursuant to Rule 13a-14(a) under the Securities Exchange Act of 1934, as adopted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Certifications of Paul E. Rothamel, Chief Executive Officer, and Stephen A. Stamp, Chief Financial Officer , pursuant to 18 U.S.C. Section 1350, as adopted pursuant to Section 906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101.INS*</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Instance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101.SCH*</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Schema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101.CAL*</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Calculation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101.LAB*</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Label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101.DEF*</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Definition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101.PRE*</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Attached as Exhibit 101 to this report are the following formatted in XBRL (Extensible Business Reporting Language): (i) Consolidated Balance Sheets at December 31, 2011, December 31, 2010 and September 30, 2011; (ii) Consolidated Statements of Income for the three months ended December 31, 2011 and December 31, 2010; (iii) Consolidated Statements of Comprehensive Income for three months ended December 31, 2011 and December 31, 2010 (iv) Consolidated Statements of Cash Flows for the three months ended December 31, 2011 and December 31, 2010; and (v) Notes to Consolidated Financial Statements.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bookmarkStart w:id="15" w:name="tx263324_14"/>
      <w:bookmarkEnd w:id="15"/>
      <w:r>
        <w:rPr>
          <w:rFonts w:ascii="Times New Roman" w:hAnsi="Times New Roman"/>
          <w:b/>
          <w:sz w:val="20"/>
        </w:rPr>
        <w:t xml:space="preserve">SIGNATURE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6"/>
        <w:gridCol w:w="101"/>
        <w:gridCol w:w="407"/>
        <w:gridCol w:w="101"/>
        <w:gridCol w:w="23"/>
        <w:gridCol w:w="101"/>
        <w:gridCol w:w="4686"/>
      </w:tblGrid>
      <w:tr>
        <w:trPr/>
        <w:tc>
          <w:tcPr>
            <w:tcW w:w="478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686"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EZCORP, INC</w:t>
            </w:r>
          </w:p>
        </w:tc>
      </w:tr>
      <w:tr>
        <w:trPr>
          <w:trHeight w:val="240" w:hRule="atLeast"/>
        </w:trPr>
        <w:tc>
          <w:tcPr>
            <w:tcW w:w="478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124" w:type="dxa"/>
            <w:gridSpan w:val="2"/>
            <w:tcBorders/>
            <w:shd w:fill="auto" w:val="clear"/>
            <w:vAlign w:val="center"/>
          </w:tcPr>
          <w:p>
            <w:pPr>
              <w:pStyle w:val="TableContents"/>
              <w:spacing w:before="0" w:after="283"/>
              <w:rPr>
                <w:sz w:val="4"/>
                <w:szCs w:val="4"/>
              </w:rPr>
            </w:pPr>
            <w:r>
              <w:rPr>
                <w:sz w:val="4"/>
                <w:szCs w:val="4"/>
              </w:rPr>
            </w:r>
          </w:p>
        </w:tc>
        <w:tc>
          <w:tcPr>
            <w:tcW w:w="4787" w:type="dxa"/>
            <w:gridSpan w:val="2"/>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8, 2012</w:t>
            </w:r>
          </w:p>
        </w:tc>
        <w:tc>
          <w:tcPr>
            <w:tcW w:w="101"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468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Stephen A. Stamp</w:t>
            </w:r>
          </w:p>
        </w:tc>
      </w:tr>
      <w:tr>
        <w:trPr/>
        <w:tc>
          <w:tcPr>
            <w:tcW w:w="478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86" w:type="dxa"/>
            <w:tcBorders/>
            <w:shd w:fill="auto" w:val="clear"/>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4786"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68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Senior Vice President and</w:t>
            </w:r>
          </w:p>
          <w:p>
            <w:pPr>
              <w:pStyle w:val="TableContents"/>
              <w:spacing w:before="0" w:after="15"/>
              <w:rPr>
                <w:rFonts w:ascii="Times New Roman" w:hAnsi="Times New Roman"/>
                <w:sz w:val="20"/>
              </w:rPr>
            </w:pPr>
            <w:r>
              <w:rPr>
                <w:rFonts w:ascii="Times New Roman" w:hAnsi="Times New Roman"/>
                <w:sz w:val="20"/>
              </w:rPr>
              <w:t>Chief Financial Officer</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bookmarkStart w:id="16" w:name="tx263324_15"/>
      <w:bookmarkEnd w:id="16"/>
      <w:r>
        <w:rPr>
          <w:rFonts w:ascii="Times New Roman" w:hAnsi="Times New Roman"/>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13"/>
        <w:gridCol w:w="409"/>
        <w:gridCol w:w="9083"/>
      </w:tblGrid>
      <w:tr>
        <w:trPr/>
        <w:tc>
          <w:tcPr>
            <w:tcW w:w="71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bottom"/>
          </w:tcPr>
          <w:p>
            <w:pPr>
              <w:pStyle w:val="TableContents"/>
              <w:spacing w:before="0" w:after="283"/>
              <w:rPr>
                <w:sz w:val="4"/>
                <w:szCs w:val="4"/>
              </w:rPr>
            </w:pPr>
            <w:r>
              <w:rPr>
                <w:sz w:val="4"/>
                <w:szCs w:val="4"/>
              </w:rPr>
            </w:r>
          </w:p>
        </w:tc>
        <w:tc>
          <w:tcPr>
            <w:tcW w:w="9083"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Exhibit No.</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Description of Exhibit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Paul E. Rothamel, Chief Executive Officer, pursuant to Rule 13a-14(a) under the Securities Exchange Act of 1934, as adopted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Stephen A. Stamp, Chief Financial Officer, pursuant to Rule 13a-14(a) under the Securities Exchange Act of 1934, as adopted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Certifications of Paul E. Rothamel, Chief Executive Officer, and Stephen A. Stamp, Chief Financial Officer , pursuant to 18 U.S.C. Section 1350, as adopted pursuant to Section 906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101.INS*</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Instance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101.SCH*</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Schema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101.CAL*</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Calculation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101.LAB*</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Label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101.DEF*</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Definition Linkbase Document</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101.PRE*</w:t>
            </w:r>
          </w:p>
        </w:tc>
        <w:tc>
          <w:tcPr>
            <w:tcW w:w="409" w:type="dxa"/>
            <w:tcBorders/>
            <w:shd w:fill="auto" w:val="clear"/>
            <w:vAlign w:val="bottom"/>
          </w:tcPr>
          <w:p>
            <w:pPr>
              <w:pStyle w:val="TableContents"/>
              <w:spacing w:before="0" w:after="283"/>
              <w:rPr/>
            </w:pPr>
            <w:r>
              <w:rPr/>
              <w:t>  </w:t>
            </w:r>
          </w:p>
        </w:tc>
        <w:tc>
          <w:tcPr>
            <w:tcW w:w="90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XBRL Taxonomy Extension Presentation Linkbase Document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Attached as Exhibit 101 to this report are the following formatted in XBRL (Extensible Business Reporting Language): (i) Consolidated Balance Sheets at December 31, 2011, December 31, 2010 and September 30, 2011; (ii) Consolidated Statements of Income for the three months ended December 31, 2011 and December 31, 2010; (iii) Consolidated Statements of Comprehensive Income for three months ended December 31, 2011 and December 31, 2010 (iv) Consolidated Statements of Cash Flows for the three months ended December 31, 2011 and December 31, 2010; and (v) Notes to Consolidated Financial Statements.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TextBody"/>
        <w:spacing w:before="0" w:after="0"/>
        <w:jc w:val="right"/>
        <w:rPr>
          <w:rFonts w:ascii="Times New Roman" w:hAnsi="Times New Roman"/>
          <w:b/>
          <w:sz w:val="20"/>
        </w:rPr>
      </w:pPr>
      <w:bookmarkStart w:id="17" w:name="d263324dex311.htm"/>
      <w:bookmarkStart w:id="18" w:name="ksd263324dex311"/>
      <w:bookmarkEnd w:id="17"/>
      <w:bookmarkEnd w:id="18"/>
      <w:r>
        <w:rPr>
          <w:rFonts w:ascii="Times New Roman" w:hAnsi="Times New Roman"/>
          <w:b/>
          <w:sz w:val="20"/>
        </w:rPr>
        <w:t xml:space="preserve">Exhibit 31.1 </w:t>
      </w:r>
    </w:p>
    <w:p>
      <w:pPr>
        <w:pStyle w:val="TextBody"/>
        <w:spacing w:before="90" w:after="0"/>
        <w:jc w:val="center"/>
        <w:rPr>
          <w:rFonts w:ascii="Times New Roman" w:hAnsi="Times New Roman"/>
          <w:b/>
          <w:sz w:val="20"/>
        </w:rPr>
      </w:pPr>
      <w:r>
        <w:rPr>
          <w:rFonts w:ascii="Times New Roman" w:hAnsi="Times New Roman"/>
          <w:b/>
          <w:sz w:val="20"/>
        </w:rPr>
        <w:t xml:space="preserve">Certification of Paul E. Rothamel,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13a-14(a) under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302 of the Sarbanes-Oxley Act of 2002 </w:t>
      </w:r>
    </w:p>
    <w:p>
      <w:pPr>
        <w:pStyle w:val="TextBody"/>
        <w:spacing w:before="90" w:after="0"/>
        <w:rPr>
          <w:rFonts w:ascii="Times New Roman" w:hAnsi="Times New Roman"/>
          <w:sz w:val="20"/>
        </w:rPr>
      </w:pPr>
      <w:r>
        <w:rPr>
          <w:rFonts w:ascii="Times New Roman" w:hAnsi="Times New Roman"/>
          <w:sz w:val="20"/>
        </w:rPr>
        <w:t xml:space="preserve">I, Paul E. Rothamel,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EZCORP,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90" w:after="0"/>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5"/>
        <w:gridCol w:w="102"/>
        <w:gridCol w:w="407"/>
        <w:gridCol w:w="101"/>
        <w:gridCol w:w="23"/>
        <w:gridCol w:w="102"/>
        <w:gridCol w:w="4685"/>
      </w:tblGrid>
      <w:tr>
        <w:trPr/>
        <w:tc>
          <w:tcPr>
            <w:tcW w:w="478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785"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124" w:type="dxa"/>
            <w:gridSpan w:val="2"/>
            <w:tcBorders/>
            <w:shd w:fill="auto" w:val="clear"/>
            <w:vAlign w:val="center"/>
          </w:tcPr>
          <w:p>
            <w:pPr>
              <w:pStyle w:val="TableContents"/>
              <w:spacing w:before="0" w:after="283"/>
              <w:rPr>
                <w:sz w:val="4"/>
                <w:szCs w:val="4"/>
              </w:rPr>
            </w:pPr>
            <w:r>
              <w:rPr>
                <w:sz w:val="4"/>
                <w:szCs w:val="4"/>
              </w:rPr>
            </w:r>
          </w:p>
        </w:tc>
        <w:tc>
          <w:tcPr>
            <w:tcW w:w="4787" w:type="dxa"/>
            <w:gridSpan w:val="2"/>
            <w:tcBorders/>
            <w:shd w:fill="auto" w:val="clear"/>
            <w:vAlign w:val="center"/>
          </w:tcPr>
          <w:p>
            <w:pPr>
              <w:pStyle w:val="TableContents"/>
              <w:spacing w:before="0" w:after="283"/>
              <w:rPr>
                <w:sz w:val="4"/>
                <w:szCs w:val="4"/>
              </w:rPr>
            </w:pPr>
            <w:r>
              <w:rPr>
                <w:sz w:val="4"/>
                <w:szCs w:val="4"/>
              </w:rPr>
            </w:r>
          </w:p>
        </w:tc>
      </w:tr>
      <w:tr>
        <w:trPr/>
        <w:tc>
          <w:tcPr>
            <w:tcW w:w="4785"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8, 2012</w:t>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68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Paul E. Rothamel</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tcPr>
          <w:p>
            <w:pPr>
              <w:pStyle w:val="TableContents"/>
              <w:spacing w:before="0" w:after="283"/>
              <w:rPr>
                <w:rFonts w:ascii="Times New Roman" w:hAnsi="Times New Roman"/>
                <w:sz w:val="20"/>
              </w:rPr>
            </w:pPr>
            <w:r>
              <w:rPr>
                <w:rFonts w:ascii="Times New Roman" w:hAnsi="Times New Roman"/>
                <w:sz w:val="20"/>
              </w:rPr>
              <w:t>Paul E. Rothamel</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bl>
    <w:p>
      <w:pPr>
        <w:pStyle w:val="TextBody"/>
        <w:spacing w:before="0" w:after="0"/>
        <w:jc w:val="right"/>
        <w:rPr>
          <w:rFonts w:ascii="Times New Roman" w:hAnsi="Times New Roman"/>
          <w:b/>
          <w:sz w:val="20"/>
        </w:rPr>
      </w:pPr>
      <w:r>
        <w:br w:type="page"/>
      </w:r>
      <w:bookmarkStart w:id="19" w:name="d263324dex312.htm"/>
      <w:bookmarkStart w:id="20" w:name="ksd263324dex312"/>
      <w:bookmarkEnd w:id="19"/>
      <w:bookmarkEnd w:id="20"/>
      <w:r>
        <w:rPr>
          <w:rFonts w:ascii="Times New Roman" w:hAnsi="Times New Roman"/>
          <w:b/>
          <w:sz w:val="20"/>
        </w:rPr>
        <w:t xml:space="preserve">Exhibit 31.2 </w:t>
      </w:r>
    </w:p>
    <w:p>
      <w:pPr>
        <w:pStyle w:val="TextBody"/>
        <w:spacing w:before="90" w:after="0"/>
        <w:jc w:val="center"/>
        <w:rPr>
          <w:rFonts w:ascii="Times New Roman" w:hAnsi="Times New Roman"/>
          <w:b/>
          <w:sz w:val="20"/>
        </w:rPr>
      </w:pPr>
      <w:r>
        <w:rPr>
          <w:rFonts w:ascii="Times New Roman" w:hAnsi="Times New Roman"/>
          <w:b/>
          <w:sz w:val="20"/>
        </w:rPr>
        <w:t xml:space="preserve">Certification of Stephen A. Stamp,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Rule 13a-14(a) under the Securities Exchange Act of 1934, as adopted pursuant to </w:t>
      </w:r>
    </w:p>
    <w:p>
      <w:pPr>
        <w:pStyle w:val="TextBody"/>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spacing w:before="90" w:after="0"/>
        <w:rPr>
          <w:rFonts w:ascii="Times New Roman" w:hAnsi="Times New Roman"/>
          <w:sz w:val="20"/>
        </w:rPr>
      </w:pPr>
      <w:r>
        <w:rPr>
          <w:rFonts w:ascii="Times New Roman" w:hAnsi="Times New Roman"/>
          <w:sz w:val="20"/>
        </w:rPr>
        <w:t xml:space="preserve">I, Stephen A. Stamp, certify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 have reviewed this Quarterly Report on Form 10-Q of EZCORP, Inc.;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5"/>
        <w:gridCol w:w="9395"/>
      </w:tblGrid>
      <w:tr>
        <w:trPr/>
        <w:tc>
          <w:tcPr>
            <w:tcW w:w="405"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406"/>
        <w:gridCol w:w="9394"/>
      </w:tblGrid>
      <w:tr>
        <w:trPr/>
        <w:tc>
          <w:tcPr>
            <w:tcW w:w="4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3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10"/>
        <w:gridCol w:w="8881"/>
      </w:tblGrid>
      <w:tr>
        <w:trPr/>
        <w:tc>
          <w:tcPr>
            <w:tcW w:w="81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09"/>
        <w:gridCol w:w="8881"/>
      </w:tblGrid>
      <w:tr>
        <w:trPr/>
        <w:tc>
          <w:tcPr>
            <w:tcW w:w="81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509"/>
        <w:gridCol w:w="8882"/>
      </w:tblGrid>
      <w:tr>
        <w:trPr/>
        <w:tc>
          <w:tcPr>
            <w:tcW w:w="814"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8"/>
        <w:gridCol w:w="8881"/>
      </w:tblGrid>
      <w:tr>
        <w:trPr/>
        <w:tc>
          <w:tcPr>
            <w:tcW w:w="81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5"/>
        <w:gridCol w:w="102"/>
        <w:gridCol w:w="407"/>
        <w:gridCol w:w="101"/>
        <w:gridCol w:w="23"/>
        <w:gridCol w:w="102"/>
        <w:gridCol w:w="4685"/>
      </w:tblGrid>
      <w:tr>
        <w:trPr/>
        <w:tc>
          <w:tcPr>
            <w:tcW w:w="478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4810" w:type="dxa"/>
            <w:gridSpan w:val="3"/>
            <w:tcBorders/>
            <w:shd w:fill="auto" w:val="clear"/>
          </w:tcPr>
          <w:p>
            <w:pPr>
              <w:pStyle w:val="TableContents"/>
              <w:spacing w:before="0" w:after="283"/>
              <w:rPr>
                <w:sz w:val="4"/>
                <w:szCs w:val="4"/>
              </w:rPr>
            </w:pPr>
            <w:r>
              <w:rPr>
                <w:sz w:val="4"/>
                <w:szCs w:val="4"/>
              </w:rPr>
            </w:r>
          </w:p>
        </w:tc>
      </w:tr>
      <w:tr>
        <w:trPr>
          <w:trHeight w:val="240" w:hRule="atLeast"/>
        </w:trPr>
        <w:tc>
          <w:tcPr>
            <w:tcW w:w="4785"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124" w:type="dxa"/>
            <w:gridSpan w:val="2"/>
            <w:tcBorders/>
            <w:shd w:fill="auto" w:val="clear"/>
            <w:vAlign w:val="center"/>
          </w:tcPr>
          <w:p>
            <w:pPr>
              <w:pStyle w:val="TableContents"/>
              <w:spacing w:before="0" w:after="283"/>
              <w:rPr>
                <w:sz w:val="4"/>
                <w:szCs w:val="4"/>
              </w:rPr>
            </w:pPr>
            <w:r>
              <w:rPr>
                <w:sz w:val="4"/>
                <w:szCs w:val="4"/>
              </w:rPr>
            </w:r>
          </w:p>
        </w:tc>
        <w:tc>
          <w:tcPr>
            <w:tcW w:w="4787" w:type="dxa"/>
            <w:gridSpan w:val="2"/>
            <w:tcBorders/>
            <w:shd w:fill="auto" w:val="clear"/>
            <w:vAlign w:val="center"/>
          </w:tcPr>
          <w:p>
            <w:pPr>
              <w:pStyle w:val="TableContents"/>
              <w:spacing w:before="0" w:after="283"/>
              <w:rPr>
                <w:sz w:val="4"/>
                <w:szCs w:val="4"/>
              </w:rPr>
            </w:pPr>
            <w:r>
              <w:rPr>
                <w:sz w:val="4"/>
                <w:szCs w:val="4"/>
              </w:rPr>
            </w:r>
          </w:p>
        </w:tc>
      </w:tr>
      <w:tr>
        <w:trPr/>
        <w:tc>
          <w:tcPr>
            <w:tcW w:w="4785"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8, 2012</w:t>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68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Stephen A. Stamp</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Senior Vice President and</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r>
    </w:tbl>
    <w:p>
      <w:pPr>
        <w:pStyle w:val="TextBody"/>
        <w:spacing w:before="0" w:after="0"/>
        <w:jc w:val="right"/>
        <w:rPr>
          <w:rFonts w:ascii="Times New Roman" w:hAnsi="Times New Roman"/>
          <w:b/>
          <w:sz w:val="20"/>
        </w:rPr>
      </w:pPr>
      <w:r>
        <w:br w:type="page"/>
      </w:r>
      <w:bookmarkStart w:id="21" w:name="d263324dex321.htm"/>
      <w:bookmarkStart w:id="22" w:name="ksd263324dex321"/>
      <w:bookmarkEnd w:id="21"/>
      <w:bookmarkEnd w:id="22"/>
      <w:r>
        <w:rPr>
          <w:rFonts w:ascii="Times New Roman" w:hAnsi="Times New Roman"/>
          <w:b/>
          <w:sz w:val="20"/>
        </w:rPr>
        <w:t xml:space="preserve">Exhibit 32.1 </w:t>
      </w:r>
    </w:p>
    <w:p>
      <w:pPr>
        <w:pStyle w:val="TextBody"/>
        <w:spacing w:before="90" w:after="0"/>
        <w:jc w:val="center"/>
        <w:rPr>
          <w:rFonts w:ascii="Times New Roman" w:hAnsi="Times New Roman"/>
          <w:b/>
          <w:sz w:val="20"/>
        </w:rPr>
      </w:pPr>
      <w:r>
        <w:rPr>
          <w:rFonts w:ascii="Times New Roman" w:hAnsi="Times New Roman"/>
          <w:b/>
          <w:sz w:val="20"/>
        </w:rPr>
        <w:t xml:space="preserve">Certifications of Paul E. Rothamel, Chief Executive Officer, and Stephen A. Stamp,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18 U.S.C. Section 1350, as adopted pursuant to Section 906 of the Sarbanes-Oxley Act of 2002 </w:t>
      </w:r>
    </w:p>
    <w:p>
      <w:pPr>
        <w:pStyle w:val="TextBody"/>
        <w:spacing w:before="180" w:after="0"/>
        <w:rPr>
          <w:rFonts w:ascii="Times New Roman" w:hAnsi="Times New Roman"/>
          <w:sz w:val="20"/>
        </w:rPr>
      </w:pPr>
      <w:r>
        <w:rPr>
          <w:rFonts w:ascii="Times New Roman" w:hAnsi="Times New Roman"/>
          <w:sz w:val="20"/>
        </w:rPr>
        <w:t xml:space="preserve">The undersigned officers of EZCORP, Inc. hereby certify that (a) EZCORPs Quarterly Report on Form 10-Q for the quarter ended December 31, 2011,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5"/>
        <w:gridCol w:w="102"/>
        <w:gridCol w:w="407"/>
        <w:gridCol w:w="101"/>
        <w:gridCol w:w="23"/>
        <w:gridCol w:w="102"/>
        <w:gridCol w:w="4685"/>
      </w:tblGrid>
      <w:tr>
        <w:trPr/>
        <w:tc>
          <w:tcPr>
            <w:tcW w:w="478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785"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124" w:type="dxa"/>
            <w:gridSpan w:val="2"/>
            <w:tcBorders/>
            <w:shd w:fill="auto" w:val="clear"/>
            <w:vAlign w:val="center"/>
          </w:tcPr>
          <w:p>
            <w:pPr>
              <w:pStyle w:val="TableContents"/>
              <w:spacing w:before="0" w:after="283"/>
              <w:rPr>
                <w:sz w:val="4"/>
                <w:szCs w:val="4"/>
              </w:rPr>
            </w:pPr>
            <w:r>
              <w:rPr>
                <w:sz w:val="4"/>
                <w:szCs w:val="4"/>
              </w:rPr>
            </w:r>
          </w:p>
        </w:tc>
        <w:tc>
          <w:tcPr>
            <w:tcW w:w="4787" w:type="dxa"/>
            <w:gridSpan w:val="2"/>
            <w:tcBorders/>
            <w:shd w:fill="auto" w:val="clear"/>
            <w:vAlign w:val="center"/>
          </w:tcPr>
          <w:p>
            <w:pPr>
              <w:pStyle w:val="TableContents"/>
              <w:spacing w:before="0" w:after="283"/>
              <w:rPr>
                <w:sz w:val="4"/>
                <w:szCs w:val="4"/>
              </w:rPr>
            </w:pPr>
            <w:r>
              <w:rPr>
                <w:sz w:val="4"/>
                <w:szCs w:val="4"/>
              </w:rPr>
            </w:r>
          </w:p>
        </w:tc>
      </w:tr>
      <w:tr>
        <w:trPr/>
        <w:tc>
          <w:tcPr>
            <w:tcW w:w="4785"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8, 2012</w:t>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68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Paul E. Rothamel</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tcPr>
          <w:p>
            <w:pPr>
              <w:pStyle w:val="TableContents"/>
              <w:spacing w:before="0" w:after="283"/>
              <w:rPr>
                <w:rFonts w:ascii="Times New Roman" w:hAnsi="Times New Roman"/>
                <w:sz w:val="20"/>
              </w:rPr>
            </w:pPr>
            <w:r>
              <w:rPr>
                <w:rFonts w:ascii="Times New Roman" w:hAnsi="Times New Roman"/>
                <w:sz w:val="20"/>
              </w:rPr>
              <w:t>Paul E. Rothamel</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5"/>
        <w:gridCol w:w="102"/>
        <w:gridCol w:w="407"/>
        <w:gridCol w:w="101"/>
        <w:gridCol w:w="23"/>
        <w:gridCol w:w="102"/>
        <w:gridCol w:w="4685"/>
      </w:tblGrid>
      <w:tr>
        <w:trPr/>
        <w:tc>
          <w:tcPr>
            <w:tcW w:w="478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785" w:type="dxa"/>
            <w:tcBorders/>
            <w:shd w:fill="auto" w:val="clear"/>
            <w:vAlign w:val="center"/>
          </w:tcPr>
          <w:p>
            <w:pPr>
              <w:pStyle w:val="TableContents"/>
              <w:spacing w:before="0" w:after="283"/>
              <w:rPr>
                <w:sz w:val="4"/>
                <w:szCs w:val="4"/>
              </w:rPr>
            </w:pPr>
            <w:r>
              <w:rPr>
                <w:sz w:val="4"/>
                <w:szCs w:val="4"/>
              </w:rPr>
            </w:r>
          </w:p>
        </w:tc>
        <w:tc>
          <w:tcPr>
            <w:tcW w:w="509" w:type="dxa"/>
            <w:gridSpan w:val="2"/>
            <w:tcBorders/>
            <w:shd w:fill="auto" w:val="clear"/>
            <w:vAlign w:val="center"/>
          </w:tcPr>
          <w:p>
            <w:pPr>
              <w:pStyle w:val="TableContents"/>
              <w:spacing w:before="0" w:after="283"/>
              <w:rPr>
                <w:sz w:val="4"/>
                <w:szCs w:val="4"/>
              </w:rPr>
            </w:pPr>
            <w:r>
              <w:rPr>
                <w:sz w:val="4"/>
                <w:szCs w:val="4"/>
              </w:rPr>
            </w:r>
          </w:p>
        </w:tc>
        <w:tc>
          <w:tcPr>
            <w:tcW w:w="124" w:type="dxa"/>
            <w:gridSpan w:val="2"/>
            <w:tcBorders/>
            <w:shd w:fill="auto" w:val="clear"/>
            <w:vAlign w:val="center"/>
          </w:tcPr>
          <w:p>
            <w:pPr>
              <w:pStyle w:val="TableContents"/>
              <w:spacing w:before="0" w:after="283"/>
              <w:rPr>
                <w:sz w:val="4"/>
                <w:szCs w:val="4"/>
              </w:rPr>
            </w:pPr>
            <w:r>
              <w:rPr>
                <w:sz w:val="4"/>
                <w:szCs w:val="4"/>
              </w:rPr>
            </w:r>
          </w:p>
        </w:tc>
        <w:tc>
          <w:tcPr>
            <w:tcW w:w="4787" w:type="dxa"/>
            <w:gridSpan w:val="2"/>
            <w:tcBorders/>
            <w:shd w:fill="auto" w:val="clear"/>
            <w:vAlign w:val="center"/>
          </w:tcPr>
          <w:p>
            <w:pPr>
              <w:pStyle w:val="TableContents"/>
              <w:spacing w:before="0" w:after="283"/>
              <w:rPr>
                <w:sz w:val="4"/>
                <w:szCs w:val="4"/>
              </w:rPr>
            </w:pPr>
            <w:r>
              <w:rPr>
                <w:sz w:val="4"/>
                <w:szCs w:val="4"/>
              </w:rPr>
            </w:r>
          </w:p>
        </w:tc>
      </w:tr>
      <w:tr>
        <w:trPr/>
        <w:tc>
          <w:tcPr>
            <w:tcW w:w="4785" w:type="dxa"/>
            <w:tcBorders/>
            <w:shd w:fill="auto" w:val="clear"/>
          </w:tcPr>
          <w:p>
            <w:pPr>
              <w:pStyle w:val="TableContents"/>
              <w:spacing w:before="0" w:after="283"/>
              <w:rPr>
                <w:rFonts w:ascii="Times New Roman" w:hAnsi="Times New Roman"/>
                <w:sz w:val="20"/>
              </w:rPr>
            </w:pPr>
            <w:r>
              <w:rPr>
                <w:rFonts w:ascii="Times New Roman" w:hAnsi="Times New Roman"/>
                <w:sz w:val="20"/>
              </w:rPr>
              <w:t>Date: February 8, 2012</w:t>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468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Stephen A. Stamp</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tcPr>
          <w:p>
            <w:pPr>
              <w:pStyle w:val="TableContents"/>
              <w:spacing w:before="0" w:after="283"/>
              <w:rPr>
                <w:rFonts w:ascii="Times New Roman" w:hAnsi="Times New Roman"/>
                <w:sz w:val="20"/>
              </w:rPr>
            </w:pPr>
            <w:r>
              <w:rPr>
                <w:rFonts w:ascii="Times New Roman" w:hAnsi="Times New Roman"/>
                <w:sz w:val="20"/>
              </w:rPr>
              <w:t>Stephen A. Stamp</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Senior Vice President and</w:t>
            </w:r>
          </w:p>
        </w:tc>
      </w:tr>
      <w:tr>
        <w:trPr/>
        <w:tc>
          <w:tcPr>
            <w:tcW w:w="478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6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21697</Words>
  <CharactersWithSpaces>143398</CharactersWithSpaces>
  <Paragraphs>13222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 906 Certification of CEO and CFO</dc:title>
</cp:coreProperties>
</file>