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lineRule="auto" w:line="288" w:before="0" w:after="0"/>
        <w:rPr>
          <w:rFonts w:ascii="inherit" w:hAnsi="inherit"/>
          <w:sz w:val="17"/>
        </w:rPr>
      </w:pPr>
      <w:r>
        <w:rPr>
          <w:rFonts w:ascii="inherit" w:hAnsi="inherit"/>
          <w:sz w:val="17"/>
        </w:rPr>
      </w:r>
      <w:bookmarkStart w:id="0" w:name="s5F6A5167C045551C925C59A95D88511E"/>
      <w:bookmarkStart w:id="1" w:name="a2018-q2earningsrelease8k.htm"/>
      <w:bookmarkStart w:id="2" w:name="ksa2018q2earningsrelease8k"/>
      <w:bookmarkStart w:id="3" w:name="s5F6A5167C045551C925C59A95D88511E"/>
      <w:bookmarkStart w:id="4" w:name="a2018-q2earningsrelease8k.htm"/>
      <w:bookmarkStart w:id="5" w:name="ksa2018q2earningsrelease8k"/>
      <w:bookmarkEnd w:id="3"/>
      <w:bookmarkEnd w:id="4"/>
      <w:bookmarkEnd w:id="5"/>
    </w:p>
    <w:p>
      <w:pPr>
        <w:pStyle w:val="TextBody"/>
        <w:spacing w:before="0" w:after="0"/>
        <w:rPr/>
      </w:pPr>
      <w:r>
        <w:rPr/>
      </w:r>
    </w:p>
    <w:p>
      <w:pPr>
        <w:pStyle w:val="TextBody"/>
        <w:spacing w:lineRule="auto" w:line="288" w:before="0" w:after="0"/>
        <w:jc w:val="center"/>
        <w:rPr>
          <w:rFonts w:ascii="inherit" w:hAnsi="inherit"/>
          <w:b/>
          <w:sz w:val="30"/>
        </w:rPr>
      </w:pPr>
      <w:r>
        <w:rPr>
          <w:rFonts w:ascii="inherit" w:hAnsi="inherit"/>
          <w:b/>
          <w:sz w:val="30"/>
        </w:rPr>
        <w:t>UNITED STATES</w:t>
      </w:r>
    </w:p>
    <w:p>
      <w:pPr>
        <w:pStyle w:val="TextBody"/>
        <w:spacing w:lineRule="auto" w:line="288" w:before="0" w:after="0"/>
        <w:jc w:val="center"/>
        <w:rPr>
          <w:rFonts w:ascii="inherit" w:hAnsi="inherit"/>
          <w:b/>
          <w:sz w:val="30"/>
        </w:rPr>
      </w:pPr>
      <w:r>
        <w:rPr>
          <w:rFonts w:ascii="inherit" w:hAnsi="inherit"/>
          <w:b/>
          <w:sz w:val="30"/>
        </w:rPr>
        <w:t>SECURITIES AND EXCHANGE COMMISSION</w:t>
      </w:r>
    </w:p>
    <w:p>
      <w:pPr>
        <w:pStyle w:val="TextBody"/>
        <w:spacing w:lineRule="auto" w:line="288" w:before="0" w:after="0"/>
        <w:jc w:val="center"/>
        <w:rPr>
          <w:rFonts w:ascii="inherit" w:hAnsi="inherit"/>
          <w:b/>
          <w:sz w:val="20"/>
        </w:rPr>
      </w:pPr>
      <w:r>
        <w:rPr>
          <w:rFonts w:ascii="inherit" w:hAnsi="inherit"/>
          <w:b/>
          <w:sz w:val="20"/>
        </w:rPr>
        <w:t>Washington, D.C. 20549</w:t>
      </w:r>
    </w:p>
    <w:p>
      <w:pPr>
        <w:pStyle w:val="TextBody"/>
        <w:spacing w:lineRule="auto" w:line="288" w:before="0" w:after="0"/>
        <w:jc w:val="center"/>
        <w:rPr>
          <w:rFonts w:ascii="inherit" w:hAnsi="inherit"/>
          <w:sz w:val="20"/>
        </w:rPr>
      </w:pPr>
      <w:r>
        <w:rPr>
          <w:rFonts w:ascii="inherit" w:hAnsi="inherit"/>
          <w:sz w:val="20"/>
        </w:rPr>
      </w:r>
    </w:p>
    <w:p>
      <w:pPr>
        <w:pStyle w:val="TextBody"/>
        <w:spacing w:lineRule="auto" w:line="288" w:before="0" w:after="0"/>
        <w:jc w:val="center"/>
        <w:rPr>
          <w:rFonts w:ascii="inherit" w:hAnsi="inherit"/>
          <w:sz w:val="17"/>
        </w:rPr>
      </w:pPr>
      <w:r>
        <w:rPr>
          <w:rFonts w:ascii="inherit" w:hAnsi="inherit"/>
          <w:sz w:val="17"/>
        </w:rPr>
        <w:t>_______________________________________________________ </w:t>
      </w:r>
    </w:p>
    <w:p>
      <w:pPr>
        <w:pStyle w:val="TextBody"/>
        <w:spacing w:lineRule="auto" w:line="288" w:before="0" w:after="0"/>
        <w:jc w:val="center"/>
        <w:rPr>
          <w:rFonts w:ascii="inherit" w:hAnsi="inherit"/>
          <w:b/>
          <w:sz w:val="30"/>
        </w:rPr>
      </w:pPr>
      <w:r>
        <w:rPr>
          <w:rFonts w:ascii="inherit" w:hAnsi="inherit"/>
          <w:b/>
          <w:sz w:val="30"/>
        </w:rPr>
        <w:t>FORM 8-K</w:t>
      </w:r>
    </w:p>
    <w:p>
      <w:pPr>
        <w:pStyle w:val="TextBody"/>
        <w:spacing w:lineRule="auto" w:line="288" w:before="0" w:after="0"/>
        <w:jc w:val="center"/>
        <w:rPr>
          <w:rFonts w:ascii="inherit" w:hAnsi="inherit"/>
          <w:sz w:val="17"/>
        </w:rPr>
      </w:pPr>
      <w:r>
        <w:rPr>
          <w:rFonts w:ascii="inherit" w:hAnsi="inherit"/>
          <w:sz w:val="17"/>
        </w:rPr>
        <w:t>_______________________________________________________ </w:t>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b/>
          <w:sz w:val="23"/>
        </w:rPr>
      </w:pPr>
      <w:r>
        <w:rPr>
          <w:rFonts w:ascii="inherit" w:hAnsi="inherit"/>
          <w:b/>
          <w:sz w:val="23"/>
        </w:rPr>
        <w:t>CURRENT REPORT</w:t>
      </w:r>
    </w:p>
    <w:p>
      <w:pPr>
        <w:pStyle w:val="TextBody"/>
        <w:spacing w:lineRule="auto" w:line="288" w:before="0" w:after="0"/>
        <w:jc w:val="center"/>
        <w:rPr>
          <w:rFonts w:ascii="inherit" w:hAnsi="inherit"/>
          <w:b/>
          <w:sz w:val="20"/>
        </w:rPr>
      </w:pPr>
      <w:r>
        <w:rPr>
          <w:rFonts w:ascii="inherit" w:hAnsi="inherit"/>
          <w:b/>
          <w:sz w:val="20"/>
        </w:rPr>
        <w:t>PURSUANT TO SECTION 13 OR 15(d) OF THE</w:t>
      </w:r>
    </w:p>
    <w:p>
      <w:pPr>
        <w:pStyle w:val="TextBody"/>
        <w:spacing w:lineRule="auto" w:line="288" w:before="0" w:after="0"/>
        <w:jc w:val="center"/>
        <w:rPr>
          <w:rFonts w:ascii="inherit" w:hAnsi="inherit"/>
          <w:b/>
          <w:sz w:val="20"/>
        </w:rPr>
      </w:pPr>
      <w:r>
        <w:rPr>
          <w:rFonts w:ascii="inherit" w:hAnsi="inherit"/>
          <w:b/>
          <w:sz w:val="20"/>
        </w:rPr>
        <w:t>SECURITIES EXCHANGE ACT OF 1934</w:t>
      </w:r>
    </w:p>
    <w:p>
      <w:pPr>
        <w:pStyle w:val="TextBody"/>
        <w:spacing w:lineRule="auto" w:line="288" w:before="0" w:after="0"/>
        <w:jc w:val="center"/>
        <w:rPr>
          <w:rFonts w:ascii="inherit" w:hAnsi="inherit"/>
          <w:b/>
          <w:sz w:val="20"/>
        </w:rPr>
      </w:pPr>
      <w:r>
        <w:rPr>
          <w:rFonts w:ascii="inherit" w:hAnsi="inherit"/>
          <w:b/>
          <w:sz w:val="20"/>
        </w:rPr>
        <w:t>Date of Report (Date of earliest event reported): May 2, 2018 (May 2, 2018)</w:t>
      </w:r>
    </w:p>
    <w:p>
      <w:pPr>
        <w:pStyle w:val="TextBody"/>
        <w:spacing w:lineRule="auto" w:line="288" w:before="0" w:after="0"/>
        <w:jc w:val="center"/>
        <w:rPr/>
      </w:pPr>
      <w:r>
        <w:rPr/>
        <w:t> </w:t>
      </w:r>
      <w:r>
        <w:rPr>
          <w:rFonts w:ascii="inherit" w:hAnsi="inherit"/>
          <w:sz w:val="17"/>
        </w:rPr>
        <w:t>_______________________________________________ </w:t>
      </w:r>
    </w:p>
    <w:p>
      <w:pPr>
        <w:pStyle w:val="TextBody"/>
        <w:spacing w:lineRule="auto" w:line="288" w:before="0" w:after="0"/>
        <w:jc w:val="center"/>
        <w:rPr>
          <w:rFonts w:ascii="inherit" w:hAnsi="inherit"/>
          <w:b/>
          <w:sz w:val="40"/>
        </w:rPr>
      </w:pPr>
      <w:r>
        <w:rPr>
          <w:rFonts w:ascii="inherit" w:hAnsi="inherit"/>
          <w:b/>
          <w:sz w:val="40"/>
        </w:rPr>
        <w:t>EZCORP, Inc.</w:t>
      </w:r>
    </w:p>
    <w:p>
      <w:pPr>
        <w:pStyle w:val="TextBody"/>
        <w:spacing w:lineRule="auto" w:line="288" w:before="0" w:after="0"/>
        <w:jc w:val="center"/>
        <w:rPr>
          <w:rFonts w:ascii="inherit" w:hAnsi="inherit"/>
          <w:b/>
          <w:sz w:val="17"/>
        </w:rPr>
      </w:pPr>
      <w:r>
        <w:rPr>
          <w:rFonts w:ascii="inherit" w:hAnsi="inherit"/>
          <w:b/>
          <w:sz w:val="17"/>
        </w:rPr>
        <w:t>(Exact name of registrant as specified in its charter)</w:t>
      </w:r>
    </w:p>
    <w:p>
      <w:pPr>
        <w:pStyle w:val="TextBody"/>
        <w:spacing w:lineRule="auto" w:line="288" w:before="0" w:after="0"/>
        <w:jc w:val="center"/>
        <w:rPr/>
      </w:pPr>
      <w:r>
        <w:rPr/>
        <w:t> </w:t>
      </w:r>
      <w:r>
        <w:rPr>
          <w:rFonts w:ascii="inherit" w:hAnsi="inherit"/>
          <w:sz w:val="17"/>
        </w:rPr>
        <w:t>_______________________________________________________ </w:t>
      </w:r>
    </w:p>
    <w:p>
      <w:pPr>
        <w:pStyle w:val="TextBody"/>
        <w:spacing w:lineRule="auto" w:line="288" w:before="0" w:after="0"/>
        <w:jc w:val="center"/>
        <w:rPr>
          <w:rFonts w:ascii="inherit" w:hAnsi="inherit"/>
          <w:sz w:val="17"/>
        </w:rPr>
      </w:pPr>
      <w:r>
        <w:rPr>
          <w:rFonts w:ascii="inherit" w:hAnsi="inherit"/>
          <w:sz w:val="17"/>
        </w:rPr>
      </w:r>
    </w:p>
    <w:tbl>
      <w:tblPr>
        <w:tblW w:w="4530" w:type="dxa"/>
        <w:jc w:val="center"/>
        <w:tblInd w:w="0" w:type="dxa"/>
        <w:tblCellMar>
          <w:top w:w="0" w:type="dxa"/>
          <w:left w:w="0" w:type="dxa"/>
          <w:bottom w:w="0" w:type="dxa"/>
          <w:right w:w="0" w:type="dxa"/>
        </w:tblCellMar>
      </w:tblPr>
      <w:tblGrid>
        <w:gridCol w:w="1970"/>
        <w:gridCol w:w="90"/>
        <w:gridCol w:w="1010"/>
        <w:gridCol w:w="90"/>
        <w:gridCol w:w="1370"/>
      </w:tblGrid>
      <w:tr>
        <w:trPr/>
        <w:tc>
          <w:tcPr>
            <w:tcW w:w="4530" w:type="dxa"/>
            <w:gridSpan w:val="5"/>
            <w:tcBorders/>
            <w:shd w:fill="auto" w:val="clear"/>
            <w:vAlign w:val="center"/>
          </w:tcPr>
          <w:p>
            <w:pPr>
              <w:pStyle w:val="TableContents"/>
              <w:spacing w:before="0" w:after="283"/>
              <w:rPr>
                <w:sz w:val="4"/>
                <w:szCs w:val="4"/>
              </w:rPr>
            </w:pPr>
            <w:r>
              <w:rPr>
                <w:sz w:val="4"/>
                <w:szCs w:val="4"/>
              </w:rPr>
            </w:r>
          </w:p>
        </w:tc>
      </w:tr>
      <w:tr>
        <w:trPr/>
        <w:tc>
          <w:tcPr>
            <w:tcW w:w="197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01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37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970" w:type="dxa"/>
            <w:tcBorders/>
            <w:shd w:fill="auto" w:val="clear"/>
            <w:vAlign w:val="center"/>
          </w:tcPr>
          <w:p>
            <w:pPr>
              <w:pStyle w:val="TableContents"/>
              <w:spacing w:before="0" w:after="0"/>
              <w:ind w:left="0" w:right="0" w:firstLine="30"/>
              <w:jc w:val="center"/>
              <w:rPr>
                <w:rFonts w:ascii="inherit" w:hAnsi="inherit"/>
                <w:b/>
                <w:sz w:val="17"/>
              </w:rPr>
            </w:pPr>
            <w:r>
              <w:rPr>
                <w:rFonts w:ascii="inherit" w:hAnsi="inherit"/>
                <w:b/>
                <w:sz w:val="17"/>
              </w:rPr>
              <w:t>Delaware</w:t>
            </w:r>
          </w:p>
        </w:tc>
        <w:tc>
          <w:tcPr>
            <w:tcW w:w="90" w:type="dxa"/>
            <w:tcBorders/>
            <w:shd w:fill="auto" w:val="clear"/>
            <w:vAlign w:val="center"/>
          </w:tcPr>
          <w:p>
            <w:pPr>
              <w:pStyle w:val="TableContents"/>
              <w:spacing w:before="0" w:after="0"/>
              <w:ind w:left="0" w:right="0" w:firstLine="30"/>
              <w:jc w:val="left"/>
              <w:rPr/>
            </w:pPr>
            <w:r>
              <w:rPr/>
              <w:t> </w:t>
            </w:r>
          </w:p>
        </w:tc>
        <w:tc>
          <w:tcPr>
            <w:tcW w:w="1010" w:type="dxa"/>
            <w:tcBorders/>
            <w:shd w:fill="auto" w:val="clear"/>
            <w:vAlign w:val="center"/>
          </w:tcPr>
          <w:p>
            <w:pPr>
              <w:pStyle w:val="TableContents"/>
              <w:spacing w:before="0" w:after="0"/>
              <w:ind w:left="0" w:right="0" w:firstLine="30"/>
              <w:jc w:val="center"/>
              <w:rPr>
                <w:rFonts w:ascii="inherit" w:hAnsi="inherit"/>
                <w:b/>
                <w:sz w:val="17"/>
              </w:rPr>
            </w:pPr>
            <w:r>
              <w:rPr>
                <w:rFonts w:ascii="inherit" w:hAnsi="inherit"/>
                <w:b/>
                <w:sz w:val="17"/>
              </w:rPr>
              <w:t>0-19424</w:t>
            </w:r>
          </w:p>
        </w:tc>
        <w:tc>
          <w:tcPr>
            <w:tcW w:w="90" w:type="dxa"/>
            <w:tcBorders/>
            <w:shd w:fill="auto" w:val="clear"/>
            <w:vAlign w:val="center"/>
          </w:tcPr>
          <w:p>
            <w:pPr>
              <w:pStyle w:val="TableContents"/>
              <w:spacing w:before="0" w:after="0"/>
              <w:ind w:left="0" w:right="0" w:firstLine="30"/>
              <w:jc w:val="left"/>
              <w:rPr/>
            </w:pPr>
            <w:r>
              <w:rPr/>
              <w:t> </w:t>
            </w:r>
          </w:p>
        </w:tc>
        <w:tc>
          <w:tcPr>
            <w:tcW w:w="1370" w:type="dxa"/>
            <w:tcBorders/>
            <w:shd w:fill="auto" w:val="clear"/>
            <w:vAlign w:val="center"/>
          </w:tcPr>
          <w:p>
            <w:pPr>
              <w:pStyle w:val="TableContents"/>
              <w:spacing w:before="0" w:after="0"/>
              <w:ind w:left="0" w:right="0" w:firstLine="30"/>
              <w:jc w:val="center"/>
              <w:rPr>
                <w:rFonts w:ascii="inherit" w:hAnsi="inherit"/>
                <w:b/>
                <w:sz w:val="17"/>
              </w:rPr>
            </w:pPr>
            <w:r>
              <w:rPr>
                <w:rFonts w:ascii="inherit" w:hAnsi="inherit"/>
                <w:b/>
                <w:sz w:val="17"/>
              </w:rPr>
              <w:t>74-2540145</w:t>
            </w:r>
          </w:p>
        </w:tc>
      </w:tr>
      <w:tr>
        <w:trPr/>
        <w:tc>
          <w:tcPr>
            <w:tcW w:w="1970" w:type="dxa"/>
            <w:tcBorders/>
            <w:shd w:fill="auto" w:val="clear"/>
            <w:vAlign w:val="center"/>
          </w:tcPr>
          <w:p>
            <w:pPr>
              <w:pStyle w:val="TableContents"/>
              <w:spacing w:before="0" w:after="0"/>
              <w:jc w:val="center"/>
              <w:rPr>
                <w:rFonts w:ascii="inherit" w:hAnsi="inherit"/>
                <w:b/>
                <w:sz w:val="13"/>
              </w:rPr>
            </w:pPr>
            <w:r>
              <w:rPr>
                <w:rFonts w:ascii="inherit" w:hAnsi="inherit"/>
                <w:b/>
                <w:sz w:val="13"/>
              </w:rPr>
              <w:t>(State or other jurisdiction</w:t>
            </w:r>
          </w:p>
          <w:p>
            <w:pPr>
              <w:pStyle w:val="TableContents"/>
              <w:spacing w:before="0" w:after="0"/>
              <w:ind w:left="0" w:right="0" w:firstLine="30"/>
              <w:jc w:val="center"/>
              <w:rPr>
                <w:rFonts w:ascii="inherit" w:hAnsi="inherit"/>
                <w:b/>
                <w:sz w:val="13"/>
              </w:rPr>
            </w:pPr>
            <w:r>
              <w:rPr>
                <w:rFonts w:ascii="inherit" w:hAnsi="inherit"/>
                <w:b/>
                <w:sz w:val="13"/>
              </w:rPr>
              <w:t>of incorporation)</w:t>
            </w:r>
          </w:p>
        </w:tc>
        <w:tc>
          <w:tcPr>
            <w:tcW w:w="90" w:type="dxa"/>
            <w:tcBorders/>
            <w:shd w:fill="auto" w:val="clear"/>
            <w:vAlign w:val="center"/>
          </w:tcPr>
          <w:p>
            <w:pPr>
              <w:pStyle w:val="TableContents"/>
              <w:spacing w:before="0" w:after="0"/>
              <w:ind w:left="0" w:right="0" w:firstLine="30"/>
              <w:jc w:val="left"/>
              <w:rPr/>
            </w:pPr>
            <w:r>
              <w:rPr/>
              <w:t> </w:t>
            </w:r>
          </w:p>
        </w:tc>
        <w:tc>
          <w:tcPr>
            <w:tcW w:w="1010" w:type="dxa"/>
            <w:tcBorders/>
            <w:shd w:fill="auto" w:val="clear"/>
            <w:vAlign w:val="center"/>
          </w:tcPr>
          <w:p>
            <w:pPr>
              <w:pStyle w:val="TableContents"/>
              <w:spacing w:before="0" w:after="0"/>
              <w:jc w:val="center"/>
              <w:rPr>
                <w:rFonts w:ascii="inherit" w:hAnsi="inherit"/>
                <w:b/>
                <w:sz w:val="13"/>
              </w:rPr>
            </w:pPr>
            <w:r>
              <w:rPr>
                <w:rFonts w:ascii="inherit" w:hAnsi="inherit"/>
                <w:b/>
                <w:sz w:val="13"/>
              </w:rPr>
              <w:t>(Commission</w:t>
            </w:r>
          </w:p>
          <w:p>
            <w:pPr>
              <w:pStyle w:val="TableContents"/>
              <w:spacing w:before="0" w:after="0"/>
              <w:ind w:left="0" w:right="0" w:firstLine="30"/>
              <w:jc w:val="center"/>
              <w:rPr>
                <w:rFonts w:ascii="inherit" w:hAnsi="inherit"/>
                <w:b/>
                <w:sz w:val="13"/>
              </w:rPr>
            </w:pPr>
            <w:r>
              <w:rPr>
                <w:rFonts w:ascii="inherit" w:hAnsi="inherit"/>
                <w:b/>
                <w:sz w:val="13"/>
              </w:rPr>
              <w:t>File Number)</w:t>
            </w:r>
          </w:p>
        </w:tc>
        <w:tc>
          <w:tcPr>
            <w:tcW w:w="90" w:type="dxa"/>
            <w:tcBorders/>
            <w:shd w:fill="auto" w:val="clear"/>
            <w:vAlign w:val="center"/>
          </w:tcPr>
          <w:p>
            <w:pPr>
              <w:pStyle w:val="TableContents"/>
              <w:spacing w:before="0" w:after="0"/>
              <w:ind w:left="0" w:right="0" w:firstLine="30"/>
              <w:jc w:val="left"/>
              <w:rPr/>
            </w:pPr>
            <w:r>
              <w:rPr/>
              <w:t> </w:t>
            </w:r>
          </w:p>
        </w:tc>
        <w:tc>
          <w:tcPr>
            <w:tcW w:w="1370" w:type="dxa"/>
            <w:tcBorders/>
            <w:shd w:fill="auto" w:val="clear"/>
            <w:vAlign w:val="center"/>
          </w:tcPr>
          <w:p>
            <w:pPr>
              <w:pStyle w:val="TableContents"/>
              <w:spacing w:before="0" w:after="0"/>
              <w:jc w:val="center"/>
              <w:rPr>
                <w:rFonts w:ascii="inherit" w:hAnsi="inherit"/>
                <w:b/>
                <w:sz w:val="13"/>
              </w:rPr>
            </w:pPr>
            <w:r>
              <w:rPr>
                <w:rFonts w:ascii="inherit" w:hAnsi="inherit"/>
                <w:b/>
                <w:sz w:val="13"/>
              </w:rPr>
              <w:t>(IRS Employer</w:t>
            </w:r>
          </w:p>
          <w:p>
            <w:pPr>
              <w:pStyle w:val="TableContents"/>
              <w:spacing w:before="0" w:after="0"/>
              <w:jc w:val="center"/>
              <w:rPr>
                <w:rFonts w:ascii="inherit" w:hAnsi="inherit"/>
                <w:b/>
                <w:sz w:val="13"/>
              </w:rPr>
            </w:pPr>
            <w:r>
              <w:rPr>
                <w:rFonts w:ascii="inherit" w:hAnsi="inherit"/>
                <w:b/>
                <w:sz w:val="13"/>
              </w:rPr>
              <w:t>Identification No.)</w:t>
            </w:r>
          </w:p>
        </w:tc>
      </w:tr>
    </w:tbl>
    <w:p>
      <w:pPr>
        <w:pStyle w:val="TextBody"/>
        <w:spacing w:lineRule="auto" w:line="288" w:before="0" w:after="0"/>
        <w:jc w:val="center"/>
        <w:rPr>
          <w:rFonts w:ascii="inherit" w:hAnsi="inherit"/>
          <w:b/>
          <w:sz w:val="17"/>
        </w:rPr>
      </w:pPr>
      <w:r>
        <w:rPr>
          <w:rFonts w:ascii="inherit" w:hAnsi="inherit"/>
          <w:b/>
          <w:sz w:val="17"/>
        </w:rPr>
        <w:t>2500 Bee Cave Road, Bldg One, Suite 200, Rollingwood, Texas 78746</w:t>
      </w:r>
    </w:p>
    <w:p>
      <w:pPr>
        <w:pStyle w:val="TextBody"/>
        <w:spacing w:lineRule="auto" w:line="288" w:before="0" w:after="0"/>
        <w:jc w:val="center"/>
        <w:rPr>
          <w:rFonts w:ascii="inherit" w:hAnsi="inherit"/>
          <w:b/>
          <w:sz w:val="13"/>
        </w:rPr>
      </w:pPr>
      <w:r>
        <w:rPr>
          <w:rFonts w:ascii="inherit" w:hAnsi="inherit"/>
          <w:b/>
          <w:sz w:val="13"/>
        </w:rPr>
        <w:t>(Address of principal executive offices) (zip code)</w:t>
      </w:r>
    </w:p>
    <w:p>
      <w:pPr>
        <w:pStyle w:val="TextBody"/>
        <w:spacing w:lineRule="auto" w:line="288" w:before="0" w:after="0"/>
        <w:jc w:val="center"/>
        <w:rPr>
          <w:rFonts w:ascii="inherit" w:hAnsi="inherit"/>
          <w:b/>
          <w:sz w:val="17"/>
        </w:rPr>
      </w:pPr>
      <w:r>
        <w:rPr>
          <w:rFonts w:ascii="inherit" w:hAnsi="inherit"/>
          <w:b/>
          <w:sz w:val="17"/>
        </w:rPr>
        <w:t>Registrant’s telephone number, including area code: (512) 314-3400</w:t>
      </w:r>
    </w:p>
    <w:p>
      <w:pPr>
        <w:pStyle w:val="TextBody"/>
        <w:spacing w:lineRule="auto" w:line="288" w:before="0" w:after="0"/>
        <w:jc w:val="center"/>
        <w:rPr>
          <w:rFonts w:ascii="inherit" w:hAnsi="inherit"/>
          <w:sz w:val="17"/>
        </w:rPr>
      </w:pPr>
      <w:r>
        <w:rPr>
          <w:rFonts w:ascii="inherit" w:hAnsi="inherit"/>
          <w:sz w:val="17"/>
        </w:rPr>
        <w:t>_______________________________________________________ </w:t>
      </w:r>
    </w:p>
    <w:p>
      <w:pPr>
        <w:pStyle w:val="TextBody"/>
        <w:spacing w:lineRule="auto" w:line="288" w:before="0" w:after="0"/>
        <w:jc w:val="center"/>
        <w:rPr/>
      </w:pPr>
      <w:r>
        <w:rPr/>
        <w:t> </w:t>
      </w:r>
    </w:p>
    <w:p>
      <w:pPr>
        <w:pStyle w:val="TextBody"/>
        <w:spacing w:lineRule="auto" w:line="288" w:before="0" w:after="0"/>
        <w:rPr>
          <w:rFonts w:ascii="inherit" w:hAnsi="inherit"/>
          <w:sz w:val="17"/>
        </w:rPr>
      </w:pPr>
      <w:r>
        <w:rPr>
          <w:rFonts w:ascii="inherit" w:hAnsi="inherit"/>
          <w:sz w:val="17"/>
        </w:rPr>
        <w:t>Check the appropriate box below if the Form 8-K filing is intended to simultaneously satisfy the filing obligation of the registrant under any of the following provisions:</w:t>
      </w:r>
    </w:p>
    <w:tbl>
      <w:tblPr>
        <w:tblW w:w="9520" w:type="dxa"/>
        <w:jc w:val="center"/>
        <w:tblInd w:w="0" w:type="dxa"/>
        <w:tblCellMar>
          <w:top w:w="0" w:type="dxa"/>
          <w:left w:w="0" w:type="dxa"/>
          <w:bottom w:w="0" w:type="dxa"/>
          <w:right w:w="0" w:type="dxa"/>
        </w:tblCellMar>
      </w:tblPr>
      <w:tblGrid>
        <w:gridCol w:w="155"/>
        <w:gridCol w:w="9260"/>
        <w:gridCol w:w="105"/>
      </w:tblGrid>
      <w:tr>
        <w:trPr/>
        <w:tc>
          <w:tcPr>
            <w:tcW w:w="9520" w:type="dxa"/>
            <w:gridSpan w:val="3"/>
            <w:tcBorders/>
            <w:shd w:fill="auto" w:val="clear"/>
            <w:vAlign w:val="center"/>
          </w:tcPr>
          <w:p>
            <w:pPr>
              <w:pStyle w:val="TableContents"/>
              <w:spacing w:before="0" w:after="283"/>
              <w:rPr>
                <w:sz w:val="4"/>
                <w:szCs w:val="4"/>
              </w:rPr>
            </w:pPr>
            <w:r>
              <w:rPr>
                <w:sz w:val="4"/>
                <w:szCs w:val="4"/>
              </w:rPr>
            </w:r>
          </w:p>
        </w:tc>
      </w:tr>
      <w:tr>
        <w:trPr/>
        <w:tc>
          <w:tcPr>
            <w:tcW w:w="155" w:type="dxa"/>
            <w:tcBorders/>
            <w:shd w:fill="auto" w:val="clear"/>
            <w:vAlign w:val="center"/>
          </w:tcPr>
          <w:p>
            <w:pPr>
              <w:pStyle w:val="TableContents"/>
              <w:spacing w:before="0" w:after="283"/>
              <w:rPr>
                <w:sz w:val="4"/>
                <w:szCs w:val="4"/>
              </w:rPr>
            </w:pPr>
            <w:r>
              <w:rPr>
                <w:sz w:val="4"/>
                <w:szCs w:val="4"/>
              </w:rPr>
            </w:r>
          </w:p>
        </w:tc>
        <w:tc>
          <w:tcPr>
            <w:tcW w:w="9260"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55" w:type="dxa"/>
            <w:tcBorders/>
            <w:shd w:fill="auto" w:val="clear"/>
            <w:vAlign w:val="center"/>
          </w:tcPr>
          <w:p>
            <w:pPr>
              <w:pStyle w:val="TableContents"/>
              <w:spacing w:before="0" w:after="0"/>
              <w:ind w:left="0" w:right="0" w:firstLine="30"/>
              <w:jc w:val="left"/>
              <w:rPr>
                <w:rFonts w:ascii="Wingdings" w:hAnsi="Wingdings"/>
                <w:sz w:val="13"/>
              </w:rPr>
            </w:pPr>
            <w:r>
              <w:rPr>
                <w:rFonts w:ascii="Wingdings" w:hAnsi="Wingdings"/>
                <w:sz w:val="13"/>
              </w:rPr>
              <w:t>o</w:t>
            </w:r>
          </w:p>
        </w:tc>
        <w:tc>
          <w:tcPr>
            <w:tcW w:w="92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Written communications pursuant to Rule 425 under the Securities Act (17 CFR 230.425)</w:t>
            </w:r>
          </w:p>
        </w:tc>
        <w:tc>
          <w:tcPr>
            <w:tcW w:w="105" w:type="dxa"/>
            <w:tcBorders/>
            <w:shd w:fill="auto" w:val="clear"/>
            <w:vAlign w:val="center"/>
          </w:tcPr>
          <w:p>
            <w:pPr>
              <w:pStyle w:val="TableContents"/>
              <w:spacing w:before="0" w:after="0"/>
              <w:ind w:left="0" w:right="0" w:firstLine="30"/>
              <w:rPr/>
            </w:pPr>
            <w:r>
              <w:rPr/>
              <w:t> </w:t>
            </w:r>
          </w:p>
        </w:tc>
      </w:tr>
      <w:tr>
        <w:trPr/>
        <w:tc>
          <w:tcPr>
            <w:tcW w:w="155" w:type="dxa"/>
            <w:tcBorders/>
            <w:shd w:fill="auto" w:val="clear"/>
            <w:vAlign w:val="center"/>
          </w:tcPr>
          <w:p>
            <w:pPr>
              <w:pStyle w:val="TableContents"/>
              <w:spacing w:before="0" w:after="0"/>
              <w:ind w:left="0" w:right="0" w:firstLine="30"/>
              <w:rPr/>
            </w:pPr>
            <w:r>
              <w:rPr/>
              <w:t> </w:t>
            </w:r>
          </w:p>
        </w:tc>
        <w:tc>
          <w:tcPr>
            <w:tcW w:w="9260" w:type="dxa"/>
            <w:tcBorders/>
            <w:shd w:fill="auto" w:val="clear"/>
            <w:vAlign w:val="center"/>
          </w:tcPr>
          <w:p>
            <w:pPr>
              <w:pStyle w:val="TableContents"/>
              <w:spacing w:before="0" w:after="0"/>
              <w:ind w:left="0" w:right="0" w:firstLine="30"/>
              <w:rPr/>
            </w:pPr>
            <w:r>
              <w:rPr/>
              <w:t> </w:t>
            </w:r>
          </w:p>
        </w:tc>
        <w:tc>
          <w:tcPr>
            <w:tcW w:w="105" w:type="dxa"/>
            <w:tcBorders/>
            <w:shd w:fill="auto" w:val="clear"/>
            <w:vAlign w:val="center"/>
          </w:tcPr>
          <w:p>
            <w:pPr>
              <w:pStyle w:val="TableContents"/>
              <w:spacing w:before="0" w:after="0"/>
              <w:ind w:left="0" w:right="0" w:firstLine="30"/>
              <w:rPr/>
            </w:pPr>
            <w:r>
              <w:rPr/>
              <w:t> </w:t>
            </w:r>
          </w:p>
        </w:tc>
      </w:tr>
      <w:tr>
        <w:trPr/>
        <w:tc>
          <w:tcPr>
            <w:tcW w:w="155" w:type="dxa"/>
            <w:tcBorders/>
            <w:shd w:fill="auto" w:val="clear"/>
            <w:vAlign w:val="center"/>
          </w:tcPr>
          <w:p>
            <w:pPr>
              <w:pStyle w:val="TableContents"/>
              <w:spacing w:before="0" w:after="0"/>
              <w:ind w:left="0" w:right="0" w:firstLine="30"/>
              <w:jc w:val="left"/>
              <w:rPr>
                <w:rFonts w:ascii="Wingdings" w:hAnsi="Wingdings"/>
                <w:sz w:val="15"/>
              </w:rPr>
            </w:pPr>
            <w:r>
              <w:rPr>
                <w:rFonts w:ascii="Wingdings" w:hAnsi="Wingdings"/>
                <w:sz w:val="15"/>
              </w:rPr>
              <w:t>o</w:t>
            </w:r>
          </w:p>
        </w:tc>
        <w:tc>
          <w:tcPr>
            <w:tcW w:w="92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Soliciting material pursuant to Rule 14a-12 under the Exchange Act (17 CFR 240.14a-12)</w:t>
            </w:r>
          </w:p>
        </w:tc>
        <w:tc>
          <w:tcPr>
            <w:tcW w:w="105" w:type="dxa"/>
            <w:tcBorders/>
            <w:shd w:fill="auto" w:val="clear"/>
            <w:vAlign w:val="center"/>
          </w:tcPr>
          <w:p>
            <w:pPr>
              <w:pStyle w:val="TableContents"/>
              <w:spacing w:before="0" w:after="0"/>
              <w:ind w:left="0" w:right="0" w:firstLine="30"/>
              <w:rPr/>
            </w:pPr>
            <w:r>
              <w:rPr/>
              <w:t> </w:t>
            </w:r>
          </w:p>
        </w:tc>
      </w:tr>
      <w:tr>
        <w:trPr/>
        <w:tc>
          <w:tcPr>
            <w:tcW w:w="155" w:type="dxa"/>
            <w:tcBorders/>
            <w:shd w:fill="auto" w:val="clear"/>
            <w:vAlign w:val="center"/>
          </w:tcPr>
          <w:p>
            <w:pPr>
              <w:pStyle w:val="TableContents"/>
              <w:spacing w:before="0" w:after="0"/>
              <w:ind w:left="0" w:right="0" w:firstLine="30"/>
              <w:rPr/>
            </w:pPr>
            <w:r>
              <w:rPr/>
              <w:t> </w:t>
            </w:r>
          </w:p>
        </w:tc>
        <w:tc>
          <w:tcPr>
            <w:tcW w:w="9260" w:type="dxa"/>
            <w:tcBorders/>
            <w:shd w:fill="auto" w:val="clear"/>
            <w:vAlign w:val="center"/>
          </w:tcPr>
          <w:p>
            <w:pPr>
              <w:pStyle w:val="TableContents"/>
              <w:spacing w:before="0" w:after="0"/>
              <w:ind w:left="0" w:right="0" w:firstLine="30"/>
              <w:rPr/>
            </w:pPr>
            <w:r>
              <w:rPr/>
              <w:t> </w:t>
            </w:r>
          </w:p>
        </w:tc>
        <w:tc>
          <w:tcPr>
            <w:tcW w:w="105" w:type="dxa"/>
            <w:tcBorders/>
            <w:shd w:fill="auto" w:val="clear"/>
            <w:vAlign w:val="center"/>
          </w:tcPr>
          <w:p>
            <w:pPr>
              <w:pStyle w:val="TableContents"/>
              <w:spacing w:before="0" w:after="0"/>
              <w:ind w:left="0" w:right="0" w:firstLine="30"/>
              <w:rPr/>
            </w:pPr>
            <w:r>
              <w:rPr/>
              <w:t> </w:t>
            </w:r>
          </w:p>
        </w:tc>
      </w:tr>
      <w:tr>
        <w:trPr/>
        <w:tc>
          <w:tcPr>
            <w:tcW w:w="155" w:type="dxa"/>
            <w:tcBorders/>
            <w:shd w:fill="auto" w:val="clear"/>
            <w:vAlign w:val="center"/>
          </w:tcPr>
          <w:p>
            <w:pPr>
              <w:pStyle w:val="TableContents"/>
              <w:spacing w:before="0" w:after="0"/>
              <w:ind w:left="0" w:right="0" w:firstLine="30"/>
              <w:jc w:val="left"/>
              <w:rPr>
                <w:rFonts w:ascii="Wingdings" w:hAnsi="Wingdings"/>
                <w:sz w:val="15"/>
              </w:rPr>
            </w:pPr>
            <w:r>
              <w:rPr>
                <w:rFonts w:ascii="Wingdings" w:hAnsi="Wingdings"/>
                <w:sz w:val="15"/>
              </w:rPr>
              <w:t>o</w:t>
            </w:r>
          </w:p>
        </w:tc>
        <w:tc>
          <w:tcPr>
            <w:tcW w:w="92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Pre-commencement communications pursuant to Rule 14d-2(b) under the Exchange Act (17 CFR 240.14d-2(b))</w:t>
            </w:r>
          </w:p>
        </w:tc>
        <w:tc>
          <w:tcPr>
            <w:tcW w:w="105" w:type="dxa"/>
            <w:tcBorders/>
            <w:shd w:fill="auto" w:val="clear"/>
            <w:vAlign w:val="center"/>
          </w:tcPr>
          <w:p>
            <w:pPr>
              <w:pStyle w:val="TableContents"/>
              <w:spacing w:before="0" w:after="0"/>
              <w:ind w:left="0" w:right="0" w:firstLine="30"/>
              <w:rPr/>
            </w:pPr>
            <w:r>
              <w:rPr/>
              <w:t> </w:t>
            </w:r>
          </w:p>
        </w:tc>
      </w:tr>
      <w:tr>
        <w:trPr/>
        <w:tc>
          <w:tcPr>
            <w:tcW w:w="155" w:type="dxa"/>
            <w:tcBorders/>
            <w:shd w:fill="auto" w:val="clear"/>
            <w:vAlign w:val="center"/>
          </w:tcPr>
          <w:p>
            <w:pPr>
              <w:pStyle w:val="TableContents"/>
              <w:spacing w:before="0" w:after="0"/>
              <w:ind w:left="0" w:right="0" w:firstLine="30"/>
              <w:rPr/>
            </w:pPr>
            <w:r>
              <w:rPr/>
              <w:t> </w:t>
            </w:r>
          </w:p>
        </w:tc>
        <w:tc>
          <w:tcPr>
            <w:tcW w:w="9260" w:type="dxa"/>
            <w:tcBorders/>
            <w:shd w:fill="auto" w:val="clear"/>
            <w:vAlign w:val="center"/>
          </w:tcPr>
          <w:p>
            <w:pPr>
              <w:pStyle w:val="TableContents"/>
              <w:spacing w:before="0" w:after="0"/>
              <w:ind w:left="0" w:right="0" w:firstLine="30"/>
              <w:rPr/>
            </w:pPr>
            <w:r>
              <w:rPr/>
              <w:t> </w:t>
            </w:r>
          </w:p>
        </w:tc>
        <w:tc>
          <w:tcPr>
            <w:tcW w:w="105" w:type="dxa"/>
            <w:tcBorders/>
            <w:shd w:fill="auto" w:val="clear"/>
            <w:vAlign w:val="center"/>
          </w:tcPr>
          <w:p>
            <w:pPr>
              <w:pStyle w:val="TableContents"/>
              <w:spacing w:before="0" w:after="0"/>
              <w:ind w:left="0" w:right="0" w:firstLine="30"/>
              <w:rPr/>
            </w:pPr>
            <w:r>
              <w:rPr/>
              <w:t> </w:t>
            </w:r>
          </w:p>
        </w:tc>
      </w:tr>
      <w:tr>
        <w:trPr/>
        <w:tc>
          <w:tcPr>
            <w:tcW w:w="155" w:type="dxa"/>
            <w:tcBorders/>
            <w:shd w:fill="auto" w:val="clear"/>
            <w:vAlign w:val="center"/>
          </w:tcPr>
          <w:p>
            <w:pPr>
              <w:pStyle w:val="TableContents"/>
              <w:spacing w:before="0" w:after="0"/>
              <w:ind w:left="0" w:right="0" w:firstLine="30"/>
              <w:jc w:val="left"/>
              <w:rPr>
                <w:rFonts w:ascii="Wingdings" w:hAnsi="Wingdings"/>
                <w:sz w:val="15"/>
              </w:rPr>
            </w:pPr>
            <w:r>
              <w:rPr>
                <w:rFonts w:ascii="Wingdings" w:hAnsi="Wingdings"/>
                <w:sz w:val="15"/>
              </w:rPr>
              <w:t>o</w:t>
            </w:r>
          </w:p>
        </w:tc>
        <w:tc>
          <w:tcPr>
            <w:tcW w:w="92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Pre-commencement communications pursuant to Rule 13e-4(c) under the Exchange Act (17 CFR 240.13e-4(c))</w:t>
            </w:r>
          </w:p>
        </w:tc>
        <w:tc>
          <w:tcPr>
            <w:tcW w:w="105" w:type="dxa"/>
            <w:tcBorders/>
            <w:shd w:fill="auto" w:val="clear"/>
            <w:vAlign w:val="center"/>
          </w:tcPr>
          <w:p>
            <w:pPr>
              <w:pStyle w:val="TableContents"/>
              <w:spacing w:before="0" w:after="0"/>
              <w:rPr/>
            </w:pPr>
            <w:r>
              <w:rPr/>
              <w:t> </w:t>
            </w:r>
          </w:p>
        </w:tc>
      </w:tr>
    </w:tbl>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both"/>
        <w:rPr>
          <w:rFonts w:ascii="inherit" w:hAnsi="inherit"/>
          <w:sz w:val="17"/>
        </w:rPr>
      </w:pPr>
      <w:r>
        <w:rPr>
          <w:rFonts w:ascii="inherit" w:hAnsi="inherit"/>
          <w:sz w:val="17"/>
        </w:rPr>
        <w:t>Indicate by check mark whether the registrant is an emerging growth company as defined in Rule 405 of the Securities Act of 1933 (§230.405 of this chapter) or Rule 12b-2 of the Securities Exchange Act of 1934 (§240.12b-2 of this chapter).</w:t>
      </w:r>
    </w:p>
    <w:tbl>
      <w:tblPr>
        <w:tblW w:w="2635" w:type="dxa"/>
        <w:jc w:val="center"/>
        <w:tblInd w:w="0" w:type="dxa"/>
        <w:tblCellMar>
          <w:top w:w="0" w:type="dxa"/>
          <w:left w:w="0" w:type="dxa"/>
          <w:bottom w:w="0" w:type="dxa"/>
          <w:right w:w="0" w:type="dxa"/>
        </w:tblCellMar>
      </w:tblPr>
      <w:tblGrid>
        <w:gridCol w:w="105"/>
        <w:gridCol w:w="90"/>
        <w:gridCol w:w="2315"/>
        <w:gridCol w:w="125"/>
      </w:tblGrid>
      <w:tr>
        <w:trPr/>
        <w:tc>
          <w:tcPr>
            <w:tcW w:w="2635" w:type="dxa"/>
            <w:gridSpan w:val="4"/>
            <w:tcBorders/>
            <w:shd w:fill="auto" w:val="clear"/>
            <w:vAlign w:val="center"/>
          </w:tcPr>
          <w:p>
            <w:pPr>
              <w:pStyle w:val="TableContents"/>
              <w:spacing w:before="0" w:after="283"/>
              <w:rPr>
                <w:sz w:val="4"/>
                <w:szCs w:val="4"/>
              </w:rPr>
            </w:pPr>
            <w:r>
              <w:rPr>
                <w:sz w:val="4"/>
                <w:szCs w:val="4"/>
              </w:rPr>
            </w:r>
          </w:p>
        </w:tc>
      </w:tr>
      <w:tr>
        <w:trPr/>
        <w:tc>
          <w:tcPr>
            <w:tcW w:w="10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31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05" w:type="dxa"/>
            <w:tcBorders/>
            <w:shd w:fill="auto" w:val="clear"/>
            <w:vAlign w:val="center"/>
          </w:tcPr>
          <w:p>
            <w:pPr>
              <w:pStyle w:val="TableContents"/>
              <w:spacing w:before="0" w:after="0"/>
              <w:ind w:left="0" w:right="0" w:firstLine="30"/>
              <w:jc w:val="left"/>
              <w:rPr/>
            </w:pPr>
            <w:r>
              <w:rPr/>
              <w:t> </w:t>
            </w:r>
          </w:p>
        </w:tc>
        <w:tc>
          <w:tcPr>
            <w:tcW w:w="90" w:type="dxa"/>
            <w:tcBorders/>
            <w:shd w:fill="auto" w:val="clear"/>
            <w:vAlign w:val="center"/>
          </w:tcPr>
          <w:p>
            <w:pPr>
              <w:pStyle w:val="TableContents"/>
              <w:spacing w:before="0" w:after="0"/>
              <w:ind w:left="0" w:right="0" w:firstLine="30"/>
              <w:jc w:val="left"/>
              <w:rPr/>
            </w:pPr>
            <w:r>
              <w:rPr/>
              <w:t> </w:t>
            </w:r>
          </w:p>
        </w:tc>
        <w:tc>
          <w:tcPr>
            <w:tcW w:w="2315"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Emerging growth company</w:t>
            </w:r>
          </w:p>
        </w:tc>
        <w:tc>
          <w:tcPr>
            <w:tcW w:w="125" w:type="dxa"/>
            <w:tcBorders/>
            <w:shd w:fill="auto" w:val="clear"/>
            <w:vAlign w:val="center"/>
          </w:tcPr>
          <w:p>
            <w:pPr>
              <w:pStyle w:val="TableContents"/>
              <w:spacing w:before="0" w:after="0"/>
              <w:jc w:val="left"/>
              <w:rPr>
                <w:rFonts w:ascii="Wingdings" w:hAnsi="Wingdings"/>
                <w:sz w:val="15"/>
              </w:rPr>
            </w:pPr>
            <w:r>
              <w:rPr>
                <w:rFonts w:ascii="Wingdings" w:hAnsi="Wingdings"/>
                <w:sz w:val="15"/>
              </w:rPr>
              <w:t>o</w:t>
            </w:r>
          </w:p>
        </w:tc>
      </w:tr>
    </w:tbl>
    <w:p>
      <w:pPr>
        <w:pStyle w:val="TextBody"/>
        <w:spacing w:lineRule="auto" w:line="288" w:before="0" w:after="0"/>
        <w:jc w:val="both"/>
        <w:rPr>
          <w:sz w:val="17"/>
        </w:rPr>
      </w:pPr>
      <w:r>
        <w:rPr>
          <w:rFonts w:ascii="inherit" w:hAnsi="inherit"/>
          <w:sz w:val="17"/>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sz w:val="17"/>
        </w:rPr>
        <w:t>☐</w:t>
      </w:r>
    </w:p>
    <w:p>
      <w:pPr>
        <w:pStyle w:val="TextBody"/>
        <w:spacing w:before="0" w:after="0"/>
        <w:rPr/>
      </w:pPr>
      <w:r>
        <w:rPr/>
      </w:r>
    </w:p>
    <w:p>
      <w:pPr>
        <w:pStyle w:val="TextBody"/>
        <w:spacing w:lineRule="auto" w:line="288"/>
        <w:rPr>
          <w:rFonts w:ascii="inherit" w:hAnsi="inherit"/>
          <w:sz w:val="17"/>
        </w:rPr>
      </w:pPr>
      <w:r>
        <w:rPr>
          <w:rFonts w:ascii="inherit" w:hAnsi="inherit"/>
          <w:sz w:val="17"/>
        </w:rPr>
      </w:r>
      <w:r>
        <w:br w:type="page"/>
      </w:r>
    </w:p>
    <w:p>
      <w:pPr>
        <w:pStyle w:val="TextBody"/>
        <w:spacing w:lineRule="auto" w:line="288" w:before="0" w:after="0"/>
        <w:rPr>
          <w:rFonts w:ascii="inherit" w:hAnsi="inherit"/>
          <w:sz w:val="17"/>
        </w:rPr>
      </w:pPr>
      <w:r>
        <w:rPr>
          <w:rFonts w:ascii="inherit" w:hAnsi="inherit"/>
          <w:sz w:val="17"/>
        </w:rPr>
      </w:r>
      <w:bookmarkStart w:id="6" w:name="s6820EE4277515B719BB5414EB49D4CDD"/>
      <w:bookmarkStart w:id="7" w:name="s6820EE4277515B719BB5414EB49D4CDD"/>
      <w:bookmarkEnd w:id="7"/>
    </w:p>
    <w:p>
      <w:pPr>
        <w:pStyle w:val="TextBody"/>
        <w:spacing w:before="0" w:after="0"/>
        <w:rPr/>
      </w:pPr>
      <w:r>
        <w:rPr/>
      </w:r>
    </w:p>
    <w:p>
      <w:pPr>
        <w:pStyle w:val="TextBody"/>
        <w:spacing w:lineRule="auto" w:line="288" w:before="0" w:after="0"/>
        <w:rPr>
          <w:rFonts w:ascii="inherit" w:hAnsi="inherit"/>
          <w:b/>
          <w:sz w:val="17"/>
        </w:rPr>
      </w:pPr>
      <w:r>
        <w:rPr>
          <w:rFonts w:ascii="inherit" w:hAnsi="inherit"/>
          <w:b/>
          <w:sz w:val="17"/>
        </w:rPr>
        <w:t>Item 2.02 — Results of Operations and Financial Condition</w:t>
      </w:r>
    </w:p>
    <w:p>
      <w:pPr>
        <w:pStyle w:val="TextBody"/>
        <w:spacing w:lineRule="auto" w:line="288" w:before="0" w:after="0"/>
        <w:rPr>
          <w:rFonts w:ascii="inherit" w:hAnsi="inherit"/>
          <w:sz w:val="17"/>
        </w:rPr>
      </w:pPr>
      <w:r>
        <w:rPr>
          <w:rFonts w:ascii="inherit" w:hAnsi="inherit"/>
          <w:sz w:val="17"/>
        </w:rPr>
        <w:t>On May 2, 2018, EZCORP, Inc. issued a press release announcing its results of operations and financial condition for the quarter ended March 31, 2018. A copy of that press release is attached as Exhibit 99.1.</w:t>
      </w:r>
    </w:p>
    <w:p>
      <w:pPr>
        <w:pStyle w:val="TextBody"/>
        <w:spacing w:lineRule="auto" w:line="288" w:before="0" w:after="0"/>
        <w:jc w:val="left"/>
        <w:rPr>
          <w:sz w:val="17"/>
        </w:rPr>
      </w:pPr>
      <w:r>
        <w:rPr>
          <w:rFonts w:ascii="inherit" w:hAnsi="inherit"/>
          <w:sz w:val="17"/>
        </w:rPr>
        <w:t>In addition to the financial information prepared in conformity with generally accepted accounting principles in the United States of America ("GAAP"), we provide certain other non-GAAP financial information on a constant currency basis ("constant currency") and on an adjusted basis. We use constant currency results to evaluate our Latin America Pawn operations, which are denominated primarily in Mexican pesos and other Latin American currencies. As Camira Administration Corp. and subsidiaries GPMX was not acquired until fiscal 2018, such results included on a constant currency basis reflect the actual exchange rates in effect during the three and six</w:t>
      </w:r>
      <w:r>
        <w:rPr>
          <w:sz w:val="17"/>
        </w:rPr>
        <w:t xml:space="preserve"> </w:t>
      </w:r>
      <w:r>
        <w:rPr>
          <w:rFonts w:ascii="inherit" w:hAnsi="inherit"/>
          <w:sz w:val="17"/>
        </w:rPr>
        <w:t>months ended March 31, 2018</w:t>
      </w:r>
      <w:r>
        <w:rPr>
          <w:sz w:val="17"/>
        </w:rPr>
        <w:t xml:space="preserve"> </w:t>
      </w:r>
      <w:r>
        <w:rPr>
          <w:rFonts w:ascii="inherit" w:hAnsi="inherit"/>
          <w:sz w:val="17"/>
        </w:rPr>
        <w:t>without adjustment. We believe that presentation of constant currency results is meaningful and useful in understanding the activities and business metrics of our Latin America Pawn operations and reflect an additional way of viewing aspects of our business that, when viewed with GAAP results, provide a more complete understanding of factors and trends affecting our business. We believe that presentation of results on an adjusted basis is meaningful and useful in understanding the activities and business metrics of our operations and reflect an additional way of viewing aspects of our business that, when viewed with GAAP results, provide a more complete understanding of factors and trends affecting our business. We provide non-GAAP financial information for informational purposes and to enhance understanding of our GAAP consolidated financial statements. We use this non-GAAP financial information to evaluate and compare operating results across accounting periods. Readers should consider the information in addition to, but not instead of or superior to, our financial statements prepared in accordance with GAAP. This non-GAAP financial information may be determined or calculated differently by other companies, limiting the usefulness of those measures for comparative purposes.</w:t>
      </w:r>
    </w:p>
    <w:p>
      <w:pPr>
        <w:pStyle w:val="TextBody"/>
        <w:spacing w:lineRule="auto" w:line="288" w:before="0" w:after="0"/>
        <w:rPr>
          <w:rFonts w:ascii="inherit" w:hAnsi="inherit"/>
          <w:sz w:val="17"/>
        </w:rPr>
      </w:pPr>
      <w:r>
        <w:rPr>
          <w:rFonts w:ascii="inherit" w:hAnsi="inherit"/>
          <w:sz w:val="17"/>
        </w:rPr>
        <w:t>The information set forth under this Item 2.02, including Exhibit 99.1, shall not be deemed “filed” for purposes of Section 18 of the Securities Exchange Act of 1934 or otherwise subject to the liabilities of that section, and shall not be deemed to be incorporated by reference in any filing made by EZCORP under the Securities Act of 1933 or the Securities Exchange Act of 1934.</w:t>
      </w:r>
    </w:p>
    <w:p>
      <w:pPr>
        <w:pStyle w:val="TextBody"/>
        <w:spacing w:lineRule="auto" w:line="288" w:before="0" w:after="0"/>
        <w:rPr>
          <w:rFonts w:ascii="inherit" w:hAnsi="inherit"/>
          <w:b/>
          <w:sz w:val="17"/>
        </w:rPr>
      </w:pPr>
      <w:bookmarkStart w:id="8" w:name="sE6DDB3A05008598CB355B5B386545870"/>
      <w:bookmarkEnd w:id="8"/>
      <w:r>
        <w:rPr>
          <w:rFonts w:ascii="inherit" w:hAnsi="inherit"/>
          <w:b/>
          <w:sz w:val="17"/>
        </w:rPr>
        <w:t>Item 7.01 — Regulation FD Disclosure</w:t>
      </w:r>
    </w:p>
    <w:p>
      <w:pPr>
        <w:pStyle w:val="TextBody"/>
        <w:spacing w:lineRule="auto" w:line="288" w:before="0" w:after="0"/>
        <w:rPr>
          <w:sz w:val="17"/>
        </w:rPr>
      </w:pPr>
      <w:r>
        <w:rPr>
          <w:rFonts w:ascii="inherit" w:hAnsi="inherit"/>
          <w:sz w:val="17"/>
        </w:rPr>
        <w:t xml:space="preserve">A copy of the presentation materials that management will review during the Company’s second quarter 2018 earnings conference call (to be held on May 3, 2018) will be posted in the Investor Relations section of the Company’s website at </w:t>
      </w:r>
      <w:r>
        <w:rPr>
          <w:rFonts w:ascii="inherit" w:hAnsi="inherit"/>
          <w:color w:val="0000FF"/>
          <w:sz w:val="17"/>
          <w:u w:val="single"/>
        </w:rPr>
        <w:t>www.ezcorp.com</w:t>
      </w:r>
      <w:r>
        <w:rPr>
          <w:rFonts w:ascii="inherit" w:hAnsi="inherit"/>
          <w:sz w:val="17"/>
        </w:rPr>
        <w:t>.</w:t>
      </w:r>
    </w:p>
    <w:p>
      <w:pPr>
        <w:pStyle w:val="TextBody"/>
        <w:spacing w:lineRule="auto" w:line="288" w:before="0" w:after="0"/>
        <w:rPr>
          <w:rFonts w:ascii="inherit" w:hAnsi="inherit"/>
          <w:b/>
          <w:sz w:val="17"/>
        </w:rPr>
      </w:pPr>
      <w:bookmarkStart w:id="9" w:name="s7AF31AF517EC5AA0B38C22A5EF2937A1"/>
      <w:bookmarkEnd w:id="9"/>
      <w:r>
        <w:rPr>
          <w:rFonts w:ascii="inherit" w:hAnsi="inherit"/>
          <w:b/>
          <w:sz w:val="17"/>
        </w:rPr>
        <w:t>Item 9.01 — Financial Statements and Exhibits</w:t>
      </w:r>
    </w:p>
    <w:tbl>
      <w:tblPr>
        <w:tblW w:w="1030" w:type="dxa"/>
        <w:jc w:val="left"/>
        <w:tblInd w:w="0" w:type="dxa"/>
        <w:tblCellMar>
          <w:top w:w="0" w:type="dxa"/>
          <w:left w:w="0" w:type="dxa"/>
          <w:bottom w:w="0" w:type="dxa"/>
          <w:right w:w="0" w:type="dxa"/>
        </w:tblCellMar>
      </w:tblPr>
      <w:tblGrid>
        <w:gridCol w:w="290"/>
        <w:gridCol w:w="740"/>
      </w:tblGrid>
      <w:tr>
        <w:trPr/>
        <w:tc>
          <w:tcPr>
            <w:tcW w:w="1030" w:type="dxa"/>
            <w:gridSpan w:val="2"/>
            <w:tcBorders/>
            <w:shd w:fill="auto" w:val="clear"/>
            <w:vAlign w:val="center"/>
          </w:tcPr>
          <w:p>
            <w:pPr>
              <w:pStyle w:val="TableContents"/>
              <w:spacing w:before="0" w:after="283"/>
              <w:rPr>
                <w:sz w:val="4"/>
                <w:szCs w:val="4"/>
              </w:rPr>
            </w:pPr>
            <w:r>
              <w:rPr>
                <w:sz w:val="4"/>
                <w:szCs w:val="4"/>
              </w:rPr>
            </w:r>
          </w:p>
        </w:tc>
      </w:tr>
      <w:tr>
        <w:trPr/>
        <w:tc>
          <w:tcPr>
            <w:tcW w:w="290"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w:t>
            </w:r>
          </w:p>
        </w:tc>
        <w:tc>
          <w:tcPr>
            <w:tcW w:w="740" w:type="dxa"/>
            <w:tcBorders/>
            <w:shd w:fill="auto" w:val="clear"/>
            <w:vAlign w:val="center"/>
          </w:tcPr>
          <w:p>
            <w:pPr>
              <w:pStyle w:val="TableContents"/>
              <w:spacing w:before="0" w:after="0"/>
              <w:jc w:val="left"/>
              <w:rPr>
                <w:rFonts w:ascii="inherit" w:hAnsi="inherit"/>
                <w:sz w:val="17"/>
              </w:rPr>
            </w:pPr>
            <w:r>
              <w:rPr>
                <w:rFonts w:ascii="inherit" w:hAnsi="inherit"/>
                <w:sz w:val="17"/>
              </w:rPr>
              <w:t>Exhibits.</w:t>
            </w:r>
          </w:p>
        </w:tc>
      </w:tr>
    </w:tbl>
    <w:tbl>
      <w:tblPr>
        <w:tblW w:w="10205" w:type="dxa"/>
        <w:jc w:val="left"/>
        <w:tblInd w:w="0" w:type="dxa"/>
        <w:tblCellMar>
          <w:top w:w="0" w:type="dxa"/>
          <w:left w:w="0" w:type="dxa"/>
          <w:bottom w:w="0" w:type="dxa"/>
          <w:right w:w="0" w:type="dxa"/>
        </w:tblCellMar>
      </w:tblPr>
      <w:tblGrid>
        <w:gridCol w:w="425"/>
        <w:gridCol w:w="9780"/>
      </w:tblGrid>
      <w:tr>
        <w:trPr/>
        <w:tc>
          <w:tcPr>
            <w:tcW w:w="10205" w:type="dxa"/>
            <w:gridSpan w:val="2"/>
            <w:tcBorders/>
            <w:shd w:fill="auto" w:val="clear"/>
            <w:vAlign w:val="center"/>
          </w:tcPr>
          <w:p>
            <w:pPr>
              <w:pStyle w:val="TableContents"/>
              <w:spacing w:before="0" w:after="283"/>
              <w:rPr>
                <w:sz w:val="4"/>
                <w:szCs w:val="4"/>
              </w:rPr>
            </w:pPr>
            <w:r>
              <w:rPr>
                <w:sz w:val="4"/>
                <w:szCs w:val="4"/>
              </w:rPr>
            </w:r>
          </w:p>
        </w:tc>
      </w:tr>
      <w:tr>
        <w:trPr/>
        <w:tc>
          <w:tcPr>
            <w:tcW w:w="425" w:type="dxa"/>
            <w:tcBorders/>
            <w:shd w:fill="auto" w:val="clear"/>
            <w:vAlign w:val="center"/>
          </w:tcPr>
          <w:p>
            <w:pPr>
              <w:pStyle w:val="TableContents"/>
              <w:spacing w:before="0" w:after="283"/>
              <w:rPr>
                <w:sz w:val="4"/>
                <w:szCs w:val="4"/>
              </w:rPr>
            </w:pPr>
            <w:r>
              <w:rPr>
                <w:sz w:val="4"/>
                <w:szCs w:val="4"/>
              </w:rPr>
            </w:r>
          </w:p>
        </w:tc>
        <w:tc>
          <w:tcPr>
            <w:tcW w:w="978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25" w:type="dxa"/>
            <w:tcBorders/>
            <w:shd w:fill="auto" w:val="clear"/>
            <w:vAlign w:val="center"/>
          </w:tcPr>
          <w:p>
            <w:pPr>
              <w:pStyle w:val="TableContents"/>
              <w:spacing w:before="0" w:after="0"/>
              <w:ind w:left="0" w:right="0" w:firstLine="30"/>
              <w:jc w:val="center"/>
              <w:rPr/>
            </w:pPr>
            <w:hyperlink w:anchor="a2018-q2earningsreleaseexh.htm">
              <w:r>
                <w:rPr>
                  <w:rStyle w:val="InternetLink"/>
                  <w:rFonts w:ascii="inherit" w:hAnsi="inherit"/>
                  <w:color w:val="0000FF"/>
                  <w:sz w:val="17"/>
                  <w:u w:val="single"/>
                </w:rPr>
                <w:t>99.1</w:t>
              </w:r>
            </w:hyperlink>
          </w:p>
        </w:tc>
        <w:tc>
          <w:tcPr>
            <w:tcW w:w="9780" w:type="dxa"/>
            <w:tcBorders/>
            <w:shd w:fill="auto" w:val="clear"/>
            <w:vAlign w:val="center"/>
          </w:tcPr>
          <w:p>
            <w:pPr>
              <w:pStyle w:val="TableContents"/>
              <w:spacing w:before="0" w:after="0"/>
              <w:rPr/>
            </w:pPr>
            <w:hyperlink w:anchor="a2018-q2earningsreleaseexh.htm">
              <w:r>
                <w:rPr>
                  <w:rStyle w:val="InternetLink"/>
                  <w:rFonts w:ascii="inherit" w:hAnsi="inherit"/>
                  <w:color w:val="0000FF"/>
                  <w:sz w:val="17"/>
                  <w:u w:val="single"/>
                </w:rPr>
                <w:t>Press Release, dated May 2, 2018, announcing EZCORP, Inc.’s results of operations and financial condition for the quarter ended March 31, 2018.</w:t>
              </w:r>
            </w:hyperlink>
          </w:p>
        </w:tc>
      </w:tr>
    </w:tbl>
    <w:p>
      <w:pPr>
        <w:pStyle w:val="TextBody"/>
        <w:spacing w:before="0" w:after="0"/>
        <w:rPr/>
      </w:pPr>
      <w:r>
        <w:rPr/>
      </w:r>
    </w:p>
    <w:p>
      <w:pPr>
        <w:pStyle w:val="TextBody"/>
        <w:spacing w:lineRule="auto" w:line="288"/>
        <w:rPr>
          <w:rFonts w:ascii="inherit" w:hAnsi="inherit"/>
          <w:sz w:val="17"/>
        </w:rPr>
      </w:pPr>
      <w:r>
        <w:rPr>
          <w:rFonts w:ascii="inherit" w:hAnsi="inherit"/>
          <w:sz w:val="17"/>
        </w:rPr>
      </w:r>
      <w:r>
        <w:br w:type="page"/>
      </w:r>
    </w:p>
    <w:p>
      <w:pPr>
        <w:pStyle w:val="TextBody"/>
        <w:spacing w:lineRule="auto" w:line="288" w:before="0" w:after="0"/>
        <w:rPr>
          <w:rFonts w:ascii="inherit" w:hAnsi="inherit"/>
          <w:sz w:val="17"/>
        </w:rPr>
      </w:pPr>
      <w:r>
        <w:rPr>
          <w:rFonts w:ascii="inherit" w:hAnsi="inherit"/>
          <w:sz w:val="17"/>
        </w:rPr>
      </w:r>
      <w:bookmarkStart w:id="10" w:name="s42F43D2DF907539BB75353E1FE0DD0A9"/>
      <w:bookmarkStart w:id="11" w:name="s42F43D2DF907539BB75353E1FE0DD0A9"/>
      <w:bookmarkEnd w:id="11"/>
    </w:p>
    <w:p>
      <w:pPr>
        <w:pStyle w:val="TextBody"/>
        <w:spacing w:before="0" w:after="0"/>
        <w:rPr/>
      </w:pPr>
      <w:r>
        <w:rPr/>
      </w:r>
    </w:p>
    <w:p>
      <w:pPr>
        <w:pStyle w:val="TextBody"/>
        <w:spacing w:lineRule="auto" w:line="288" w:before="0" w:after="0"/>
        <w:ind w:left="0" w:right="0" w:firstLine="60"/>
        <w:jc w:val="center"/>
        <w:rPr>
          <w:rFonts w:ascii="inherit" w:hAnsi="inherit"/>
          <w:b/>
          <w:sz w:val="17"/>
        </w:rPr>
      </w:pPr>
      <w:r>
        <w:rPr>
          <w:rFonts w:ascii="inherit" w:hAnsi="inherit"/>
          <w:b/>
          <w:sz w:val="17"/>
        </w:rPr>
        <w:t>SIGNATURES</w:t>
      </w:r>
    </w:p>
    <w:p>
      <w:pPr>
        <w:pStyle w:val="TextBody"/>
        <w:spacing w:lineRule="auto" w:line="288" w:before="0" w:after="0"/>
        <w:rPr>
          <w:rFonts w:ascii="inherit" w:hAnsi="inherit"/>
          <w:sz w:val="17"/>
        </w:rPr>
      </w:pPr>
      <w:r>
        <w:rPr>
          <w:rFonts w:ascii="inherit" w:hAnsi="inherit"/>
          <w:sz w:val="17"/>
        </w:rPr>
        <w:t>Pursuant to the requirements of the Securities Exchange Act of 1934, the registrant has duly caused this report to be signed on its behalf by the undersigned hereunto duly authorized.</w:t>
      </w:r>
    </w:p>
    <w:tbl>
      <w:tblPr>
        <w:tblW w:w="7205" w:type="dxa"/>
        <w:jc w:val="left"/>
        <w:tblInd w:w="0" w:type="dxa"/>
        <w:tblCellMar>
          <w:top w:w="0" w:type="dxa"/>
          <w:left w:w="0" w:type="dxa"/>
          <w:bottom w:w="0" w:type="dxa"/>
          <w:right w:w="0" w:type="dxa"/>
        </w:tblCellMar>
      </w:tblPr>
      <w:tblGrid>
        <w:gridCol w:w="515"/>
        <w:gridCol w:w="1055"/>
        <w:gridCol w:w="90"/>
        <w:gridCol w:w="90"/>
        <w:gridCol w:w="90"/>
        <w:gridCol w:w="335"/>
        <w:gridCol w:w="90"/>
        <w:gridCol w:w="4940"/>
      </w:tblGrid>
      <w:tr>
        <w:trPr/>
        <w:tc>
          <w:tcPr>
            <w:tcW w:w="7205" w:type="dxa"/>
            <w:gridSpan w:val="8"/>
            <w:tcBorders/>
            <w:shd w:fill="auto" w:val="clear"/>
            <w:vAlign w:val="center"/>
          </w:tcPr>
          <w:p>
            <w:pPr>
              <w:pStyle w:val="TableContents"/>
              <w:spacing w:before="0" w:after="283"/>
              <w:rPr>
                <w:sz w:val="4"/>
                <w:szCs w:val="4"/>
              </w:rPr>
            </w:pPr>
            <w:r>
              <w:rPr>
                <w:sz w:val="4"/>
                <w:szCs w:val="4"/>
              </w:rPr>
            </w:r>
          </w:p>
        </w:tc>
      </w:tr>
      <w:tr>
        <w:trPr/>
        <w:tc>
          <w:tcPr>
            <w:tcW w:w="515"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494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15" w:type="dxa"/>
            <w:tcBorders/>
            <w:shd w:fill="auto" w:val="clear"/>
            <w:vAlign w:val="center"/>
          </w:tcPr>
          <w:p>
            <w:pPr>
              <w:pStyle w:val="TableContents"/>
              <w:spacing w:before="0" w:after="0"/>
              <w:ind w:left="0" w:right="0" w:firstLine="30"/>
              <w:rPr/>
            </w:pPr>
            <w:r>
              <w:rPr/>
              <w:t> </w:t>
            </w:r>
          </w:p>
        </w:tc>
        <w:tc>
          <w:tcPr>
            <w:tcW w:w="105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jc w:val="left"/>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jc w:val="left"/>
              <w:rPr/>
            </w:pPr>
            <w:r>
              <w:rPr/>
              <w:t> </w:t>
            </w:r>
          </w:p>
        </w:tc>
        <w:tc>
          <w:tcPr>
            <w:tcW w:w="5365" w:type="dxa"/>
            <w:gridSpan w:val="3"/>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EZCORP, INC.</w:t>
            </w:r>
          </w:p>
        </w:tc>
      </w:tr>
      <w:tr>
        <w:trPr/>
        <w:tc>
          <w:tcPr>
            <w:tcW w:w="515" w:type="dxa"/>
            <w:tcBorders/>
            <w:shd w:fill="auto" w:val="clear"/>
            <w:vAlign w:val="center"/>
          </w:tcPr>
          <w:p>
            <w:pPr>
              <w:pStyle w:val="TableContents"/>
              <w:spacing w:before="0" w:after="0"/>
              <w:ind w:left="0" w:right="0" w:firstLine="30"/>
              <w:rPr/>
            </w:pPr>
            <w:r>
              <w:rPr/>
              <w:t> </w:t>
            </w:r>
          </w:p>
        </w:tc>
        <w:tc>
          <w:tcPr>
            <w:tcW w:w="105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33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4940" w:type="dxa"/>
            <w:tcBorders/>
            <w:shd w:fill="auto" w:val="clear"/>
            <w:vAlign w:val="center"/>
          </w:tcPr>
          <w:p>
            <w:pPr>
              <w:pStyle w:val="TableContents"/>
              <w:spacing w:before="0" w:after="0"/>
              <w:ind w:left="0" w:right="0" w:firstLine="30"/>
              <w:rPr/>
            </w:pPr>
            <w:r>
              <w:rPr/>
              <w:t> </w:t>
            </w:r>
          </w:p>
        </w:tc>
      </w:tr>
      <w:tr>
        <w:trPr/>
        <w:tc>
          <w:tcPr>
            <w:tcW w:w="5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Date:</w:t>
            </w:r>
          </w:p>
        </w:tc>
        <w:tc>
          <w:tcPr>
            <w:tcW w:w="10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May 2, 2018</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3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By:</w:t>
            </w:r>
          </w:p>
        </w:tc>
        <w:tc>
          <w:tcPr>
            <w:tcW w:w="90" w:type="dxa"/>
            <w:tcBorders/>
            <w:shd w:fill="auto" w:val="clear"/>
            <w:vAlign w:val="center"/>
          </w:tcPr>
          <w:p>
            <w:pPr>
              <w:pStyle w:val="TableContents"/>
              <w:spacing w:before="0" w:after="0"/>
              <w:ind w:left="0" w:right="0" w:firstLine="30"/>
              <w:jc w:val="left"/>
              <w:rPr/>
            </w:pPr>
            <w:r>
              <w:rPr/>
              <w:t> </w:t>
            </w:r>
          </w:p>
        </w:tc>
        <w:tc>
          <w:tcPr>
            <w:tcW w:w="494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/s/ David McGuire</w:t>
            </w:r>
          </w:p>
        </w:tc>
      </w:tr>
      <w:tr>
        <w:trPr/>
        <w:tc>
          <w:tcPr>
            <w:tcW w:w="515" w:type="dxa"/>
            <w:tcBorders/>
            <w:shd w:fill="auto" w:val="clear"/>
            <w:vAlign w:val="center"/>
          </w:tcPr>
          <w:p>
            <w:pPr>
              <w:pStyle w:val="TableContents"/>
              <w:spacing w:before="0" w:after="0"/>
              <w:ind w:left="0" w:right="0" w:firstLine="30"/>
              <w:rPr/>
            </w:pPr>
            <w:r>
              <w:rPr/>
              <w:t> </w:t>
            </w:r>
          </w:p>
        </w:tc>
        <w:tc>
          <w:tcPr>
            <w:tcW w:w="105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jc w:val="left"/>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jc w:val="left"/>
              <w:rPr/>
            </w:pPr>
            <w:r>
              <w:rPr/>
              <w:t> </w:t>
            </w:r>
          </w:p>
        </w:tc>
        <w:tc>
          <w:tcPr>
            <w:tcW w:w="33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jc w:val="left"/>
              <w:rPr/>
            </w:pPr>
            <w:r>
              <w:rPr/>
              <w:t> </w:t>
            </w:r>
          </w:p>
        </w:tc>
        <w:tc>
          <w:tcPr>
            <w:tcW w:w="49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David McGuire</w:t>
            </w:r>
          </w:p>
        </w:tc>
      </w:tr>
      <w:tr>
        <w:trPr/>
        <w:tc>
          <w:tcPr>
            <w:tcW w:w="515" w:type="dxa"/>
            <w:tcBorders/>
            <w:shd w:fill="auto" w:val="clear"/>
            <w:vAlign w:val="center"/>
          </w:tcPr>
          <w:p>
            <w:pPr>
              <w:pStyle w:val="TableContents"/>
              <w:spacing w:before="0" w:after="0"/>
              <w:ind w:left="0" w:right="0" w:firstLine="30"/>
              <w:rPr/>
            </w:pPr>
            <w:r>
              <w:rPr/>
              <w:t> </w:t>
            </w:r>
          </w:p>
        </w:tc>
        <w:tc>
          <w:tcPr>
            <w:tcW w:w="105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jc w:val="left"/>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jc w:val="left"/>
              <w:rPr/>
            </w:pPr>
            <w:r>
              <w:rPr/>
              <w:t> </w:t>
            </w:r>
          </w:p>
        </w:tc>
        <w:tc>
          <w:tcPr>
            <w:tcW w:w="33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jc w:val="left"/>
              <w:rPr/>
            </w:pPr>
            <w:r>
              <w:rPr/>
              <w:t> </w:t>
            </w:r>
          </w:p>
        </w:tc>
        <w:tc>
          <w:tcPr>
            <w:tcW w:w="4940" w:type="dxa"/>
            <w:tcBorders/>
            <w:shd w:fill="auto" w:val="clear"/>
            <w:vAlign w:val="center"/>
          </w:tcPr>
          <w:p>
            <w:pPr>
              <w:pStyle w:val="TableContents"/>
              <w:spacing w:before="0" w:after="0"/>
              <w:jc w:val="left"/>
              <w:rPr>
                <w:rFonts w:ascii="inherit" w:hAnsi="inherit"/>
                <w:sz w:val="17"/>
              </w:rPr>
            </w:pPr>
            <w:r>
              <w:rPr>
                <w:rFonts w:ascii="inherit" w:hAnsi="inherit"/>
                <w:sz w:val="17"/>
              </w:rPr>
              <w:t>Deputy Chief Financial Officer and Chief Accounting Officer</w:t>
            </w:r>
          </w:p>
        </w:tc>
      </w:tr>
    </w:tbl>
    <w:p>
      <w:pPr>
        <w:pStyle w:val="TextBody"/>
        <w:spacing w:before="0" w:after="0"/>
        <w:rPr/>
      </w:pPr>
      <w:r>
        <w:rPr/>
      </w:r>
    </w:p>
    <w:p>
      <w:pPr>
        <w:pStyle w:val="TextBody"/>
        <w:spacing w:lineRule="auto" w:line="288"/>
        <w:rPr>
          <w:rFonts w:ascii="inherit" w:hAnsi="inherit"/>
          <w:sz w:val="17"/>
        </w:rPr>
      </w:pPr>
      <w:r>
        <w:rPr>
          <w:rFonts w:ascii="inherit" w:hAnsi="inherit"/>
          <w:sz w:val="17"/>
        </w:rPr>
      </w:r>
      <w:r>
        <w:br w:type="page"/>
      </w:r>
    </w:p>
    <w:p>
      <w:pPr>
        <w:pStyle w:val="TextBody"/>
        <w:spacing w:lineRule="auto" w:line="288" w:before="0" w:after="0"/>
        <w:rPr>
          <w:rFonts w:ascii="inherit" w:hAnsi="inherit"/>
          <w:sz w:val="17"/>
        </w:rPr>
      </w:pPr>
      <w:r>
        <w:rPr>
          <w:rFonts w:ascii="inherit" w:hAnsi="inherit"/>
          <w:sz w:val="17"/>
        </w:rPr>
      </w:r>
      <w:bookmarkStart w:id="12" w:name="s9A639C26BDD55906BC0D56BB0DC69416"/>
      <w:bookmarkStart w:id="13" w:name="a2018-q2earningsreleaseexh.htm"/>
      <w:bookmarkStart w:id="14" w:name="ksa2018q2earningsreleaseexh"/>
      <w:bookmarkStart w:id="15" w:name="s9A639C26BDD55906BC0D56BB0DC69416"/>
      <w:bookmarkStart w:id="16" w:name="a2018-q2earningsreleaseexh.htm"/>
      <w:bookmarkStart w:id="17" w:name="ksa2018q2earningsreleaseexh"/>
      <w:bookmarkEnd w:id="15"/>
      <w:bookmarkEnd w:id="16"/>
      <w:bookmarkEnd w:id="17"/>
    </w:p>
    <w:p>
      <w:pPr>
        <w:pStyle w:val="TextBody"/>
        <w:spacing w:before="0" w:after="0"/>
        <w:rPr/>
      </w:pPr>
      <w:r>
        <w:rPr/>
      </w:r>
    </w:p>
    <w:p>
      <w:pPr>
        <w:pStyle w:val="TextBody"/>
        <w:spacing w:lineRule="auto" w:line="288" w:before="0" w:after="0"/>
        <w:jc w:val="center"/>
        <w:rPr/>
      </w:pPr>
      <w:r>
        <w:rPr/>
        <w:drawing>
          <wp:inline distT="0" distB="0" distL="0" distR="0">
            <wp:extent cx="2228850" cy="390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28850" cy="390525"/>
                    </a:xfrm>
                    <a:prstGeom prst="rect">
                      <a:avLst/>
                    </a:prstGeom>
                  </pic:spPr>
                </pic:pic>
              </a:graphicData>
            </a:graphic>
          </wp:inline>
        </w:drawing>
      </w:r>
    </w:p>
    <w:p>
      <w:pPr>
        <w:pStyle w:val="TextBody"/>
        <w:spacing w:lineRule="auto" w:line="288" w:before="0" w:after="0"/>
        <w:jc w:val="center"/>
        <w:rPr>
          <w:sz w:val="23"/>
        </w:rPr>
      </w:pPr>
      <w:r>
        <w:rPr>
          <w:rFonts w:ascii="inherit" w:hAnsi="inherit"/>
          <w:b/>
          <w:sz w:val="23"/>
        </w:rPr>
        <w:t>EZCORP Reports 47%</w:t>
      </w:r>
      <w:r>
        <w:rPr>
          <w:sz w:val="23"/>
        </w:rPr>
        <w:t xml:space="preserve"> </w:t>
      </w:r>
      <w:r>
        <w:rPr>
          <w:rFonts w:ascii="inherit" w:hAnsi="inherit"/>
          <w:b/>
          <w:sz w:val="23"/>
        </w:rPr>
        <w:t>Increase in Second Quarter Net Income</w:t>
      </w:r>
    </w:p>
    <w:p>
      <w:pPr>
        <w:pStyle w:val="TextBody"/>
        <w:spacing w:lineRule="auto" w:line="288" w:before="0" w:after="0"/>
        <w:jc w:val="left"/>
        <w:rPr>
          <w:sz w:val="17"/>
        </w:rPr>
      </w:pPr>
      <w:r>
        <w:rPr>
          <w:rFonts w:ascii="inherit" w:hAnsi="inherit"/>
          <w:b/>
          <w:sz w:val="17"/>
        </w:rPr>
        <w:t xml:space="preserve">Austin, Texas (May 2, 2018) - </w:t>
      </w:r>
      <w:r>
        <w:rPr>
          <w:rFonts w:ascii="inherit" w:hAnsi="inherit"/>
          <w:sz w:val="17"/>
        </w:rPr>
        <w:t>EZCORP, Inc. (NASDAQ: EZPW), a leading provider of pawn loans in the United States and Latin America, today announced strong results for its second quarter ended March 31, 2018.</w:t>
      </w:r>
    </w:p>
    <w:p>
      <w:pPr>
        <w:pStyle w:val="TextBody"/>
        <w:spacing w:lineRule="auto" w:line="288" w:before="0" w:after="0"/>
        <w:rPr>
          <w:rFonts w:ascii="inherit" w:hAnsi="inherit"/>
          <w:i/>
          <w:sz w:val="15"/>
        </w:rPr>
      </w:pPr>
      <w:r>
        <w:rPr>
          <w:rFonts w:ascii="inherit" w:hAnsi="inherit"/>
          <w:i/>
          <w:sz w:val="15"/>
        </w:rPr>
        <w:t>All amounts in this release are from EZCORP continuing operations and in conformity with U.S. generally accepted accounting principles ("GAAP") unless otherwise noted. Comparisons shown in this release are to the same period in the prior year unless otherwise noted.</w:t>
      </w:r>
    </w:p>
    <w:p>
      <w:pPr>
        <w:pStyle w:val="TextBody"/>
        <w:spacing w:lineRule="auto" w:line="417" w:before="0" w:after="0"/>
        <w:jc w:val="left"/>
        <w:rPr>
          <w:rFonts w:ascii="inherit" w:hAnsi="inherit"/>
          <w:b/>
          <w:sz w:val="17"/>
        </w:rPr>
      </w:pPr>
      <w:r>
        <w:rPr>
          <w:rFonts w:ascii="inherit" w:hAnsi="inherit"/>
          <w:b/>
          <w:sz w:val="17"/>
        </w:rPr>
        <w:t>HIGHLIGHTS FOR SECOND QUARTER OF FISCAL 2018</w:t>
      </w:r>
    </w:p>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sz w:val="17"/>
              </w:rPr>
            </w:pPr>
            <w:r>
              <w:rPr>
                <w:rFonts w:ascii="inherit" w:hAnsi="inherit"/>
                <w:b/>
                <w:i/>
                <w:sz w:val="17"/>
              </w:rPr>
              <w:t>Net income from continuing operations attributable to EZCORP increased 47%</w:t>
            </w:r>
            <w:r>
              <w:rPr>
                <w:sz w:val="17"/>
              </w:rPr>
              <w:t xml:space="preserve"> </w:t>
            </w:r>
            <w:r>
              <w:rPr>
                <w:rFonts w:ascii="inherit" w:hAnsi="inherit"/>
                <w:b/>
                <w:i/>
                <w:sz w:val="17"/>
              </w:rPr>
              <w:t>to $12.3 million, and basic earnings per share increased 53%</w:t>
            </w:r>
            <w:r>
              <w:rPr>
                <w:sz w:val="17"/>
              </w:rPr>
              <w:t xml:space="preserve"> </w:t>
            </w:r>
            <w:r>
              <w:rPr>
                <w:rFonts w:ascii="inherit" w:hAnsi="inherit"/>
                <w:b/>
                <w:i/>
                <w:sz w:val="17"/>
              </w:rPr>
              <w:t>to $0.23</w:t>
            </w:r>
            <w:r>
              <w:rPr>
                <w:sz w:val="17"/>
              </w:rPr>
              <w:t xml:space="preserve"> </w:t>
            </w:r>
            <w:r>
              <w:rPr>
                <w:rFonts w:ascii="inherit" w:hAnsi="inherit"/>
                <w:b/>
                <w:i/>
                <w:sz w:val="17"/>
              </w:rPr>
              <w:t xml:space="preserve">- </w:t>
            </w:r>
            <w:r>
              <w:rPr>
                <w:rFonts w:ascii="inherit" w:hAnsi="inherit"/>
                <w:sz w:val="17"/>
              </w:rPr>
              <w:t>Ninth consecutive quarter of year-over-year (YOY) earnings growth in both measures.</w:t>
            </w:r>
          </w:p>
        </w:tc>
      </w:tr>
    </w:tbl>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sz w:val="17"/>
              </w:rPr>
            </w:pPr>
            <w:r>
              <w:rPr>
                <w:rFonts w:ascii="inherit" w:hAnsi="inherit"/>
                <w:b/>
                <w:i/>
                <w:sz w:val="17"/>
              </w:rPr>
              <w:t xml:space="preserve">U.S. Pawn extends its significant earnings and cash flow contribution with industry leading returns </w:t>
            </w:r>
            <w:r>
              <w:rPr>
                <w:rFonts w:ascii="inherit" w:hAnsi="inherit"/>
                <w:sz w:val="17"/>
              </w:rPr>
              <w:t>- Industry-high Pawn Loans Outstanding (PLO) of $243,000 per store combined with market leading pawn loan yield to drive 28% higher Pawn Service Charges (PSC) per store compared to the primary competitor. Improved store metrics include a 3%</w:t>
            </w:r>
            <w:r>
              <w:rPr>
                <w:sz w:val="17"/>
              </w:rPr>
              <w:t xml:space="preserve"> </w:t>
            </w:r>
            <w:r>
              <w:rPr>
                <w:rFonts w:ascii="inherit" w:hAnsi="inherit"/>
                <w:sz w:val="17"/>
              </w:rPr>
              <w:t>increase in sales gross profit and excellent margins up 100bps to an industry leading 38%. With its scale and operating leverage, the segment generates significant cash flow as well as 80% of the company’s pawn profit before tax, even as it continues recovery from Hurricanes Harvey and Irma.</w:t>
            </w:r>
          </w:p>
        </w:tc>
      </w:tr>
    </w:tbl>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sz w:val="17"/>
              </w:rPr>
            </w:pPr>
            <w:r>
              <w:rPr>
                <w:rFonts w:ascii="inherit" w:hAnsi="inherit"/>
                <w:b/>
                <w:i/>
                <w:sz w:val="17"/>
              </w:rPr>
              <w:t xml:space="preserve">Latin America Pawn accelerates company's earnings growth - </w:t>
            </w:r>
            <w:r>
              <w:rPr>
                <w:rFonts w:ascii="inherit" w:hAnsi="inherit"/>
                <w:sz w:val="17"/>
              </w:rPr>
              <w:t>Latin America Pawn segment contribution increased 119%</w:t>
            </w:r>
            <w:r>
              <w:rPr>
                <w:sz w:val="17"/>
              </w:rPr>
              <w:t xml:space="preserve"> </w:t>
            </w:r>
            <w:r>
              <w:rPr>
                <w:rFonts w:ascii="inherit" w:hAnsi="inherit"/>
                <w:sz w:val="17"/>
              </w:rPr>
              <w:t>to $7.1 million</w:t>
            </w:r>
            <w:r>
              <w:rPr>
                <w:sz w:val="17"/>
              </w:rPr>
              <w:t xml:space="preserve"> </w:t>
            </w:r>
            <w:r>
              <w:rPr>
                <w:rFonts w:ascii="inherit" w:hAnsi="inherit"/>
                <w:sz w:val="17"/>
              </w:rPr>
              <w:t>on a 98%</w:t>
            </w:r>
            <w:r>
              <w:rPr>
                <w:sz w:val="17"/>
              </w:rPr>
              <w:t xml:space="preserve"> </w:t>
            </w:r>
            <w:r>
              <w:rPr>
                <w:rFonts w:ascii="inherit" w:hAnsi="inherit"/>
                <w:sz w:val="17"/>
              </w:rPr>
              <w:t>increase in PLO YOY to $35.3 million. This includes a robust contribution from the 133 stores acquired in Q1, along with outstanding organic growth. Latin America Pawn comprises 43% of our total consolidated pawn stores.</w:t>
            </w:r>
          </w:p>
        </w:tc>
      </w:tr>
    </w:tbl>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sz w:val="17"/>
              </w:rPr>
            </w:pPr>
            <w:r>
              <w:rPr>
                <w:rFonts w:ascii="inherit" w:hAnsi="inherit"/>
                <w:b/>
                <w:i/>
                <w:sz w:val="17"/>
              </w:rPr>
              <w:t>Consolidated PLO increased 11%</w:t>
            </w:r>
            <w:r>
              <w:rPr>
                <w:sz w:val="17"/>
              </w:rPr>
              <w:t xml:space="preserve"> </w:t>
            </w:r>
            <w:r>
              <w:rPr>
                <w:rFonts w:ascii="inherit" w:hAnsi="inherit"/>
                <w:b/>
                <w:i/>
                <w:sz w:val="17"/>
              </w:rPr>
              <w:t xml:space="preserve">- </w:t>
            </w:r>
            <w:r>
              <w:rPr>
                <w:rFonts w:ascii="inherit" w:hAnsi="inherit"/>
                <w:sz w:val="17"/>
              </w:rPr>
              <w:t>Total consolidated PLO grew 11%, including acquired stores. Latin America Pawn same store PLO expanded 10%, or 9%</w:t>
            </w:r>
            <w:r>
              <w:rPr>
                <w:sz w:val="17"/>
              </w:rPr>
              <w:t xml:space="preserve"> </w:t>
            </w:r>
            <w:r>
              <w:rPr>
                <w:rFonts w:ascii="inherit" w:hAnsi="inherit"/>
                <w:sz w:val="17"/>
              </w:rPr>
              <w:t>on a constant currency basis</w:t>
            </w:r>
            <w:r>
              <w:rPr>
                <w:rFonts w:ascii="inherit" w:hAnsi="inherit"/>
                <w:sz w:val="12"/>
              </w:rPr>
              <w:t>1</w:t>
            </w:r>
            <w:r>
              <w:rPr>
                <w:rFonts w:ascii="inherit" w:hAnsi="inherit"/>
                <w:sz w:val="17"/>
              </w:rPr>
              <w:t>. This represents the segment's 16</w:t>
            </w:r>
            <w:r>
              <w:rPr>
                <w:rFonts w:ascii="inherit" w:hAnsi="inherit"/>
                <w:sz w:val="12"/>
              </w:rPr>
              <w:t>th</w:t>
            </w:r>
            <w:r>
              <w:rPr>
                <w:sz w:val="17"/>
              </w:rPr>
              <w:t xml:space="preserve"> </w:t>
            </w:r>
            <w:r>
              <w:rPr>
                <w:rFonts w:ascii="inherit" w:hAnsi="inherit"/>
                <w:sz w:val="17"/>
              </w:rPr>
              <w:t>consecutive quarter of same store PLO growth YOY on a constant currency basis. While U.S. Pawn same store PLO was flat, it was up 2%</w:t>
            </w:r>
            <w:r>
              <w:rPr>
                <w:rFonts w:ascii="inherit" w:hAnsi="inherit"/>
                <w:sz w:val="12"/>
              </w:rPr>
              <w:t>2</w:t>
            </w:r>
            <w:r>
              <w:rPr>
                <w:sz w:val="17"/>
              </w:rPr>
              <w:t xml:space="preserve"> </w:t>
            </w:r>
            <w:r>
              <w:rPr>
                <w:rFonts w:ascii="inherit" w:hAnsi="inherit"/>
                <w:sz w:val="17"/>
              </w:rPr>
              <w:t>in stores unaffected by Hurricanes Harvey and Irma.</w:t>
            </w:r>
          </w:p>
        </w:tc>
      </w:tr>
    </w:tbl>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sz w:val="17"/>
              </w:rPr>
            </w:pPr>
            <w:r>
              <w:rPr>
                <w:rFonts w:ascii="inherit" w:hAnsi="inherit"/>
                <w:b/>
                <w:i/>
                <w:sz w:val="17"/>
              </w:rPr>
              <w:t xml:space="preserve">Liquidity continues to strengthen - </w:t>
            </w:r>
            <w:r>
              <w:rPr>
                <w:rFonts w:ascii="inherit" w:hAnsi="inherit"/>
                <w:sz w:val="17"/>
              </w:rPr>
              <w:t>Cash and cash equivalents increased 33%</w:t>
            </w:r>
            <w:r>
              <w:rPr>
                <w:sz w:val="17"/>
              </w:rPr>
              <w:t xml:space="preserve"> </w:t>
            </w:r>
            <w:r>
              <w:rPr>
                <w:rFonts w:ascii="inherit" w:hAnsi="inherit"/>
                <w:sz w:val="17"/>
              </w:rPr>
              <w:t>YOY and 41% in the current quarter, to $159.9 million.</w:t>
            </w:r>
          </w:p>
        </w:tc>
      </w:tr>
    </w:tbl>
    <w:p>
      <w:pPr>
        <w:pStyle w:val="TextBody"/>
        <w:spacing w:lineRule="auto" w:line="288" w:before="0" w:after="0"/>
        <w:jc w:val="left"/>
        <w:rPr>
          <w:rFonts w:ascii="inherit" w:hAnsi="inherit"/>
          <w:b/>
          <w:sz w:val="17"/>
        </w:rPr>
      </w:pPr>
      <w:bookmarkStart w:id="18" w:name="s7B18083D87EF5CC5A0CE5ACA2F52EFBC"/>
      <w:bookmarkEnd w:id="18"/>
      <w:r>
        <w:rPr>
          <w:rFonts w:ascii="inherit" w:hAnsi="inherit"/>
          <w:b/>
          <w:sz w:val="17"/>
        </w:rPr>
        <w:t>CEO COMMENTARY AND OUTLOOK</w:t>
      </w:r>
    </w:p>
    <w:p>
      <w:pPr>
        <w:pStyle w:val="TextBody"/>
        <w:spacing w:lineRule="auto" w:line="288" w:before="0" w:after="0"/>
        <w:jc w:val="left"/>
        <w:rPr>
          <w:sz w:val="17"/>
        </w:rPr>
      </w:pPr>
      <w:r>
        <w:rPr>
          <w:rFonts w:ascii="inherit" w:hAnsi="inherit"/>
          <w:sz w:val="17"/>
        </w:rPr>
        <w:t>Chief Executive Officer Stuart Grimshaw said, “We had an excellent second quarter, delivering 47%</w:t>
      </w:r>
      <w:r>
        <w:rPr>
          <w:sz w:val="17"/>
        </w:rPr>
        <w:t xml:space="preserve"> </w:t>
      </w:r>
      <w:r>
        <w:rPr>
          <w:rFonts w:ascii="inherit" w:hAnsi="inherit"/>
          <w:sz w:val="17"/>
        </w:rPr>
        <w:t xml:space="preserve">higher net income year-over-year, and continued strengthening of the balance sheet. These results extended the positive momentum we saw in Q1, with three key drivers: we maintained our intense focus on meeting the needs of customers and enhancing their experience; we continued to experience solid growth in U.S. Pawn, which produces the majority of our earnings and cash flow; and we further expanded our revenue base in the high-growth Latin America market. </w:t>
      </w:r>
    </w:p>
    <w:p>
      <w:pPr>
        <w:pStyle w:val="TextBody"/>
        <w:spacing w:lineRule="auto" w:line="288" w:before="0" w:after="0"/>
        <w:jc w:val="left"/>
        <w:rPr/>
      </w:pPr>
      <w:r>
        <w:rPr/>
        <w:t>“</w:t>
      </w:r>
      <w:r>
        <w:rPr>
          <w:rFonts w:ascii="inherit" w:hAnsi="inherit"/>
          <w:sz w:val="17"/>
        </w:rPr>
        <w:t>The biggest growth contributor was our outstanding results in Latin America,” Mr. Grimshaw explained. “The segment's PLO increased 98%</w:t>
      </w:r>
      <w:r>
        <w:rPr>
          <w:sz w:val="17"/>
        </w:rPr>
        <w:t xml:space="preserve"> </w:t>
      </w:r>
      <w:r>
        <w:rPr>
          <w:rFonts w:ascii="inherit" w:hAnsi="inherit"/>
          <w:sz w:val="17"/>
        </w:rPr>
        <w:t>year-over-year to $35 million, and profit before tax more than doubled for the second consecutive quarter. We have added 141 stores through acquisition and store openings so far this year, including four de novo openings in the second quarter. That represents a 57% increase in our Latin America store count since the beginning of the fiscal year to 387 stores, and provides a strategic beachhead for further expansion in existing and adjacent geographical areas. These new stores are adding to the outstanding earnings performance of our existing pawn stores, and we see plenty of opportunities to open and acquire more stores to accentuate the outsized growth.</w:t>
      </w:r>
    </w:p>
    <w:p>
      <w:pPr>
        <w:pStyle w:val="TextBody"/>
        <w:spacing w:lineRule="auto" w:line="288" w:before="0" w:after="0"/>
        <w:jc w:val="left"/>
        <w:rPr/>
      </w:pPr>
      <w:r>
        <w:rPr/>
        <w:t>“</w:t>
      </w:r>
      <w:r>
        <w:rPr>
          <w:rFonts w:ascii="inherit" w:hAnsi="inherit"/>
          <w:sz w:val="17"/>
        </w:rPr>
        <w:t>In the U.S., we are focused on business execution and pawn fundamentals as this larger, more mature market is our largest earnings and cash flow generator,” Mr. Grimshaw added. “As a result, of that focus, the segment produced market leading returns, and for the 10</w:t>
      </w:r>
      <w:r>
        <w:rPr>
          <w:rFonts w:ascii="inherit" w:hAnsi="inherit"/>
          <w:sz w:val="12"/>
        </w:rPr>
        <w:t xml:space="preserve">th </w:t>
      </w:r>
      <w:r>
        <w:rPr>
          <w:rFonts w:ascii="inherit" w:hAnsi="inherit"/>
          <w:sz w:val="17"/>
        </w:rPr>
        <w:t>consecutive quarter, we outperformed the U.S. market in same store PLO growth, with a 100</w:t>
      </w:r>
      <w:r>
        <w:rPr>
          <w:sz w:val="17"/>
        </w:rPr>
        <w:t xml:space="preserve"> </w:t>
      </w:r>
      <w:r>
        <w:rPr>
          <w:rFonts w:ascii="inherit" w:hAnsi="inherit"/>
          <w:sz w:val="17"/>
        </w:rPr>
        <w:t xml:space="preserve">basis point improvement in gross margins to 38%. Included in the quarter’s results was the hurricanes’ impact on PLO and resulting pawn </w:t>
      </w:r>
    </w:p>
    <w:p>
      <w:pPr>
        <w:pStyle w:val="TextBody"/>
        <w:rPr/>
      </w:pPr>
      <w:r>
        <w:rPr/>
      </w:r>
      <w:r>
        <w:br w:type="page"/>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left"/>
        <w:rPr>
          <w:sz w:val="17"/>
        </w:rPr>
      </w:pPr>
      <w:r>
        <w:rPr>
          <w:rFonts w:ascii="inherit" w:hAnsi="inherit"/>
          <w:sz w:val="17"/>
        </w:rPr>
        <w:t>service charges, resulting in 1%</w:t>
      </w:r>
      <w:r>
        <w:rPr>
          <w:sz w:val="17"/>
        </w:rPr>
        <w:t xml:space="preserve"> </w:t>
      </w:r>
      <w:r>
        <w:rPr>
          <w:rFonts w:ascii="inherit" w:hAnsi="inherit"/>
          <w:sz w:val="17"/>
        </w:rPr>
        <w:t>higher net revenue and 5%</w:t>
      </w:r>
      <w:r>
        <w:rPr>
          <w:sz w:val="17"/>
        </w:rPr>
        <w:t xml:space="preserve"> </w:t>
      </w:r>
      <w:r>
        <w:rPr>
          <w:rFonts w:ascii="inherit" w:hAnsi="inherit"/>
          <w:sz w:val="17"/>
        </w:rPr>
        <w:t>lower segment contribution. Excluding the hurricane impact and other discrete items</w:t>
      </w:r>
      <w:r>
        <w:rPr>
          <w:rFonts w:ascii="inherit" w:hAnsi="inherit"/>
          <w:sz w:val="12"/>
        </w:rPr>
        <w:t>2</w:t>
      </w:r>
      <w:r>
        <w:rPr>
          <w:rFonts w:ascii="inherit" w:hAnsi="inherit"/>
          <w:sz w:val="17"/>
        </w:rPr>
        <w:t>, U.S. Pawn performance reflected continued growth, with estimated net revenue and segment contribution up 4% and 5%, respectively.</w:t>
      </w:r>
    </w:p>
    <w:p>
      <w:pPr>
        <w:pStyle w:val="TextBody"/>
        <w:spacing w:lineRule="auto" w:line="288" w:before="0" w:after="0"/>
        <w:jc w:val="left"/>
        <w:rPr/>
      </w:pPr>
      <w:r>
        <w:rPr/>
        <w:t>“</w:t>
      </w:r>
      <w:r>
        <w:rPr>
          <w:rFonts w:ascii="inherit" w:hAnsi="inherit"/>
          <w:sz w:val="17"/>
        </w:rPr>
        <w:t>We are very optimistic about the growth potential of the company, given the hard work undertaken to reestablish strong operational fundamentals in the U.S., coupled with outstanding compound growth achieved in Latin America driven by terrific execution at the local level on organic and inorganic opportunities.”</w:t>
      </w:r>
    </w:p>
    <w:p>
      <w:pPr>
        <w:pStyle w:val="TextBody"/>
        <w:spacing w:lineRule="auto" w:line="288" w:before="0" w:after="0"/>
        <w:jc w:val="left"/>
        <w:rPr>
          <w:rFonts w:ascii="inherit" w:hAnsi="inherit"/>
          <w:b/>
          <w:sz w:val="17"/>
        </w:rPr>
      </w:pPr>
      <w:bookmarkStart w:id="19" w:name="s6C7B3C8C83E65138ADC1FE7A89198E1C"/>
      <w:bookmarkEnd w:id="19"/>
      <w:r>
        <w:rPr>
          <w:rFonts w:ascii="inherit" w:hAnsi="inherit"/>
          <w:b/>
          <w:sz w:val="17"/>
        </w:rPr>
        <w:t>CONSOLIDATED RESULTS</w:t>
      </w:r>
    </w:p>
    <w:tbl>
      <w:tblPr>
        <w:tblW w:w="10205" w:type="dxa"/>
        <w:jc w:val="left"/>
        <w:tblInd w:w="0" w:type="dxa"/>
        <w:tblCellMar>
          <w:top w:w="0" w:type="dxa"/>
          <w:left w:w="0" w:type="dxa"/>
          <w:bottom w:w="0" w:type="dxa"/>
          <w:right w:w="0" w:type="dxa"/>
        </w:tblCellMar>
      </w:tblPr>
      <w:tblGrid>
        <w:gridCol w:w="575"/>
        <w:gridCol w:w="9630"/>
      </w:tblGrid>
      <w:tr>
        <w:trPr/>
        <w:tc>
          <w:tcPr>
            <w:tcW w:w="575" w:type="dxa"/>
            <w:tcBorders/>
            <w:shd w:fill="auto" w:val="clear"/>
            <w:vAlign w:val="center"/>
          </w:tcPr>
          <w:p>
            <w:pPr>
              <w:pStyle w:val="TableContents"/>
              <w:spacing w:before="0" w:after="283"/>
              <w:rPr>
                <w:sz w:val="4"/>
                <w:szCs w:val="4"/>
              </w:rPr>
            </w:pPr>
            <w:r>
              <w:rPr>
                <w:sz w:val="4"/>
                <w:szCs w:val="4"/>
              </w:rPr>
            </w:r>
          </w:p>
        </w:tc>
        <w:tc>
          <w:tcPr>
            <w:tcW w:w="9630" w:type="dxa"/>
            <w:tcBorders/>
            <w:shd w:fill="auto" w:val="clear"/>
            <w:vAlign w:val="center"/>
          </w:tcPr>
          <w:p>
            <w:pPr>
              <w:pStyle w:val="TableContents"/>
              <w:spacing w:before="0" w:after="283"/>
              <w:rPr>
                <w:sz w:val="4"/>
                <w:szCs w:val="4"/>
              </w:rPr>
            </w:pPr>
            <w:r>
              <w:rPr>
                <w:sz w:val="4"/>
                <w:szCs w:val="4"/>
              </w:rPr>
            </w:r>
          </w:p>
        </w:tc>
      </w:tr>
      <w:tr>
        <w:trPr/>
        <w:tc>
          <w:tcPr>
            <w:tcW w:w="575" w:type="dxa"/>
            <w:tcBorders/>
            <w:shd w:fill="auto" w:val="clear"/>
            <w:vAlign w:val="center"/>
          </w:tcPr>
          <w:p>
            <w:pPr>
              <w:pStyle w:val="TableContents"/>
              <w:spacing w:lineRule="auto" w:line="288" w:before="0" w:after="0"/>
              <w:ind w:left="0" w:right="0" w:firstLine="450"/>
              <w:rPr/>
            </w:pPr>
            <w:r>
              <w:rPr/>
              <w:t>•</w:t>
            </w:r>
          </w:p>
        </w:tc>
        <w:tc>
          <w:tcPr>
            <w:tcW w:w="963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Net income increased 47% to $12.3 million. The growth and expansion in Latin America drove the improvement in earnings, with a robust base of earnings provided by U.S. Pawn.</w:t>
            </w:r>
          </w:p>
        </w:tc>
      </w:tr>
    </w:tbl>
    <w:tbl>
      <w:tblPr>
        <w:tblW w:w="8020" w:type="dxa"/>
        <w:jc w:val="left"/>
        <w:tblInd w:w="0" w:type="dxa"/>
        <w:tblCellMar>
          <w:top w:w="0" w:type="dxa"/>
          <w:left w:w="0" w:type="dxa"/>
          <w:bottom w:w="0" w:type="dxa"/>
          <w:right w:w="0" w:type="dxa"/>
        </w:tblCellMar>
      </w:tblPr>
      <w:tblGrid>
        <w:gridCol w:w="575"/>
        <w:gridCol w:w="7445"/>
      </w:tblGrid>
      <w:tr>
        <w:trPr/>
        <w:tc>
          <w:tcPr>
            <w:tcW w:w="575" w:type="dxa"/>
            <w:tcBorders/>
            <w:shd w:fill="auto" w:val="clear"/>
            <w:vAlign w:val="center"/>
          </w:tcPr>
          <w:p>
            <w:pPr>
              <w:pStyle w:val="TableContents"/>
              <w:spacing w:before="0" w:after="283"/>
              <w:rPr>
                <w:sz w:val="4"/>
                <w:szCs w:val="4"/>
              </w:rPr>
            </w:pPr>
            <w:r>
              <w:rPr>
                <w:sz w:val="4"/>
                <w:szCs w:val="4"/>
              </w:rPr>
            </w:r>
          </w:p>
        </w:tc>
        <w:tc>
          <w:tcPr>
            <w:tcW w:w="7445" w:type="dxa"/>
            <w:tcBorders/>
            <w:shd w:fill="auto" w:val="clear"/>
            <w:vAlign w:val="center"/>
          </w:tcPr>
          <w:p>
            <w:pPr>
              <w:pStyle w:val="TableContents"/>
              <w:spacing w:before="0" w:after="283"/>
              <w:rPr>
                <w:sz w:val="4"/>
                <w:szCs w:val="4"/>
              </w:rPr>
            </w:pPr>
            <w:r>
              <w:rPr>
                <w:sz w:val="4"/>
                <w:szCs w:val="4"/>
              </w:rPr>
            </w:r>
          </w:p>
        </w:tc>
      </w:tr>
      <w:tr>
        <w:trPr/>
        <w:tc>
          <w:tcPr>
            <w:tcW w:w="575" w:type="dxa"/>
            <w:tcBorders/>
            <w:shd w:fill="auto" w:val="clear"/>
            <w:vAlign w:val="center"/>
          </w:tcPr>
          <w:p>
            <w:pPr>
              <w:pStyle w:val="TableContents"/>
              <w:spacing w:lineRule="auto" w:line="288" w:before="0" w:after="0"/>
              <w:ind w:left="0" w:right="0" w:firstLine="450"/>
              <w:rPr/>
            </w:pPr>
            <w:r>
              <w:rPr/>
              <w:t>•</w:t>
            </w:r>
          </w:p>
        </w:tc>
        <w:tc>
          <w:tcPr>
            <w:tcW w:w="744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Consolidated PLO, the most influential driver of revenue and profitability, increased 11%.</w:t>
            </w:r>
          </w:p>
        </w:tc>
      </w:tr>
    </w:tbl>
    <w:tbl>
      <w:tblPr>
        <w:tblW w:w="10205" w:type="dxa"/>
        <w:jc w:val="left"/>
        <w:tblInd w:w="0" w:type="dxa"/>
        <w:tblCellMar>
          <w:top w:w="0" w:type="dxa"/>
          <w:left w:w="0" w:type="dxa"/>
          <w:bottom w:w="0" w:type="dxa"/>
          <w:right w:w="0" w:type="dxa"/>
        </w:tblCellMar>
      </w:tblPr>
      <w:tblGrid>
        <w:gridCol w:w="575"/>
        <w:gridCol w:w="9630"/>
      </w:tblGrid>
      <w:tr>
        <w:trPr/>
        <w:tc>
          <w:tcPr>
            <w:tcW w:w="575" w:type="dxa"/>
            <w:tcBorders/>
            <w:shd w:fill="auto" w:val="clear"/>
            <w:vAlign w:val="center"/>
          </w:tcPr>
          <w:p>
            <w:pPr>
              <w:pStyle w:val="TableContents"/>
              <w:spacing w:before="0" w:after="283"/>
              <w:rPr>
                <w:sz w:val="4"/>
                <w:szCs w:val="4"/>
              </w:rPr>
            </w:pPr>
            <w:r>
              <w:rPr>
                <w:sz w:val="4"/>
                <w:szCs w:val="4"/>
              </w:rPr>
            </w:r>
          </w:p>
        </w:tc>
        <w:tc>
          <w:tcPr>
            <w:tcW w:w="9630" w:type="dxa"/>
            <w:tcBorders/>
            <w:shd w:fill="auto" w:val="clear"/>
            <w:vAlign w:val="center"/>
          </w:tcPr>
          <w:p>
            <w:pPr>
              <w:pStyle w:val="TableContents"/>
              <w:spacing w:before="0" w:after="283"/>
              <w:rPr>
                <w:sz w:val="4"/>
                <w:szCs w:val="4"/>
              </w:rPr>
            </w:pPr>
            <w:r>
              <w:rPr>
                <w:sz w:val="4"/>
                <w:szCs w:val="4"/>
              </w:rPr>
            </w:r>
          </w:p>
        </w:tc>
      </w:tr>
      <w:tr>
        <w:trPr/>
        <w:tc>
          <w:tcPr>
            <w:tcW w:w="575" w:type="dxa"/>
            <w:tcBorders/>
            <w:shd w:fill="auto" w:val="clear"/>
            <w:vAlign w:val="center"/>
          </w:tcPr>
          <w:p>
            <w:pPr>
              <w:pStyle w:val="TableContents"/>
              <w:spacing w:lineRule="auto" w:line="288" w:before="0" w:after="0"/>
              <w:ind w:left="0" w:right="0" w:firstLine="450"/>
              <w:rPr/>
            </w:pPr>
            <w:r>
              <w:rPr/>
              <w:t>•</w:t>
            </w:r>
          </w:p>
        </w:tc>
        <w:tc>
          <w:tcPr>
            <w:tcW w:w="9630" w:type="dxa"/>
            <w:tcBorders/>
            <w:shd w:fill="auto" w:val="clear"/>
            <w:vAlign w:val="center"/>
          </w:tcPr>
          <w:p>
            <w:pPr>
              <w:pStyle w:val="TableContents"/>
              <w:spacing w:lineRule="auto" w:line="288" w:before="0" w:after="0"/>
              <w:jc w:val="left"/>
              <w:rPr>
                <w:sz w:val="17"/>
              </w:rPr>
            </w:pPr>
            <w:r>
              <w:rPr>
                <w:rFonts w:ascii="inherit" w:hAnsi="inherit"/>
                <w:sz w:val="17"/>
              </w:rPr>
              <w:t>Higher PLO led to an 11%</w:t>
            </w:r>
            <w:r>
              <w:rPr>
                <w:sz w:val="17"/>
              </w:rPr>
              <w:t xml:space="preserve"> </w:t>
            </w:r>
            <w:r>
              <w:rPr>
                <w:rFonts w:ascii="inherit" w:hAnsi="inherit"/>
                <w:sz w:val="17"/>
              </w:rPr>
              <w:t>increase in PSC, driving a 10%</w:t>
            </w:r>
            <w:r>
              <w:rPr>
                <w:sz w:val="17"/>
              </w:rPr>
              <w:t xml:space="preserve"> </w:t>
            </w:r>
            <w:r>
              <w:rPr>
                <w:rFonts w:ascii="inherit" w:hAnsi="inherit"/>
                <w:sz w:val="17"/>
              </w:rPr>
              <w:t>improvement in net revenues to $120.6 million</w:t>
            </w:r>
            <w:r>
              <w:rPr>
                <w:sz w:val="17"/>
              </w:rPr>
              <w:t xml:space="preserve"> </w:t>
            </w:r>
            <w:r>
              <w:rPr>
                <w:rFonts w:ascii="inherit" w:hAnsi="inherit"/>
                <w:sz w:val="17"/>
              </w:rPr>
              <w:t>(up 9%</w:t>
            </w:r>
            <w:r>
              <w:rPr>
                <w:sz w:val="17"/>
              </w:rPr>
              <w:t xml:space="preserve"> </w:t>
            </w:r>
            <w:r>
              <w:rPr>
                <w:rFonts w:ascii="inherit" w:hAnsi="inherit"/>
                <w:sz w:val="17"/>
              </w:rPr>
              <w:t>to $119.4 million</w:t>
            </w:r>
            <w:r>
              <w:rPr>
                <w:sz w:val="17"/>
              </w:rPr>
              <w:t xml:space="preserve"> </w:t>
            </w:r>
            <w:r>
              <w:rPr>
                <w:rFonts w:ascii="inherit" w:hAnsi="inherit"/>
                <w:sz w:val="17"/>
              </w:rPr>
              <w:t>on a constant currency basis). Sales gross profit increased 7% to $42.7 million on a 4%</w:t>
            </w:r>
            <w:r>
              <w:rPr>
                <w:sz w:val="17"/>
              </w:rPr>
              <w:t xml:space="preserve"> </w:t>
            </w:r>
            <w:r>
              <w:rPr>
                <w:rFonts w:ascii="inherit" w:hAnsi="inherit"/>
                <w:sz w:val="17"/>
              </w:rPr>
              <w:t>rise in merchandise sales and a 100bps improvement in consolidated sales margins to 37%. On a constant currency basis, PSC improved 10%</w:t>
            </w:r>
            <w:r>
              <w:rPr>
                <w:sz w:val="17"/>
              </w:rPr>
              <w:t xml:space="preserve"> </w:t>
            </w:r>
            <w:r>
              <w:rPr>
                <w:rFonts w:ascii="inherit" w:hAnsi="inherit"/>
                <w:sz w:val="17"/>
              </w:rPr>
              <w:t>and merchandise sales increased 3%.</w:t>
            </w:r>
          </w:p>
        </w:tc>
      </w:tr>
    </w:tbl>
    <w:tbl>
      <w:tblPr>
        <w:tblW w:w="10205" w:type="dxa"/>
        <w:jc w:val="left"/>
        <w:tblInd w:w="0" w:type="dxa"/>
        <w:tblCellMar>
          <w:top w:w="0" w:type="dxa"/>
          <w:left w:w="0" w:type="dxa"/>
          <w:bottom w:w="0" w:type="dxa"/>
          <w:right w:w="0" w:type="dxa"/>
        </w:tblCellMar>
      </w:tblPr>
      <w:tblGrid>
        <w:gridCol w:w="575"/>
        <w:gridCol w:w="9630"/>
      </w:tblGrid>
      <w:tr>
        <w:trPr/>
        <w:tc>
          <w:tcPr>
            <w:tcW w:w="575" w:type="dxa"/>
            <w:tcBorders/>
            <w:shd w:fill="auto" w:val="clear"/>
            <w:vAlign w:val="center"/>
          </w:tcPr>
          <w:p>
            <w:pPr>
              <w:pStyle w:val="TableContents"/>
              <w:spacing w:before="0" w:after="283"/>
              <w:rPr>
                <w:sz w:val="4"/>
                <w:szCs w:val="4"/>
              </w:rPr>
            </w:pPr>
            <w:r>
              <w:rPr>
                <w:sz w:val="4"/>
                <w:szCs w:val="4"/>
              </w:rPr>
            </w:r>
          </w:p>
        </w:tc>
        <w:tc>
          <w:tcPr>
            <w:tcW w:w="9630" w:type="dxa"/>
            <w:tcBorders/>
            <w:shd w:fill="auto" w:val="clear"/>
            <w:vAlign w:val="center"/>
          </w:tcPr>
          <w:p>
            <w:pPr>
              <w:pStyle w:val="TableContents"/>
              <w:spacing w:before="0" w:after="283"/>
              <w:rPr>
                <w:sz w:val="4"/>
                <w:szCs w:val="4"/>
              </w:rPr>
            </w:pPr>
            <w:r>
              <w:rPr>
                <w:sz w:val="4"/>
                <w:szCs w:val="4"/>
              </w:rPr>
            </w:r>
          </w:p>
        </w:tc>
      </w:tr>
      <w:tr>
        <w:trPr/>
        <w:tc>
          <w:tcPr>
            <w:tcW w:w="575" w:type="dxa"/>
            <w:tcBorders/>
            <w:shd w:fill="auto" w:val="clear"/>
            <w:vAlign w:val="center"/>
          </w:tcPr>
          <w:p>
            <w:pPr>
              <w:pStyle w:val="TableContents"/>
              <w:spacing w:lineRule="auto" w:line="288" w:before="0" w:after="0"/>
              <w:ind w:left="0" w:right="0" w:firstLine="450"/>
              <w:rPr/>
            </w:pPr>
            <w:r>
              <w:rPr/>
              <w:t>•</w:t>
            </w:r>
          </w:p>
        </w:tc>
        <w:tc>
          <w:tcPr>
            <w:tcW w:w="9630" w:type="dxa"/>
            <w:tcBorders/>
            <w:shd w:fill="auto" w:val="clear"/>
            <w:vAlign w:val="center"/>
          </w:tcPr>
          <w:p>
            <w:pPr>
              <w:pStyle w:val="TableContents"/>
              <w:spacing w:lineRule="auto" w:line="288" w:before="0" w:after="0"/>
              <w:jc w:val="left"/>
              <w:rPr>
                <w:sz w:val="17"/>
              </w:rPr>
            </w:pPr>
            <w:r>
              <w:rPr>
                <w:rFonts w:ascii="inherit" w:hAnsi="inherit"/>
                <w:sz w:val="17"/>
              </w:rPr>
              <w:t>Business expansion in Latin America caused consolidated operations expenses to rise 10%</w:t>
            </w:r>
            <w:r>
              <w:rPr>
                <w:sz w:val="17"/>
              </w:rPr>
              <w:t xml:space="preserve"> </w:t>
            </w:r>
            <w:r>
              <w:rPr>
                <w:rFonts w:ascii="inherit" w:hAnsi="inherit"/>
                <w:sz w:val="17"/>
              </w:rPr>
              <w:t>to $82.2 million</w:t>
            </w:r>
            <w:r>
              <w:rPr>
                <w:sz w:val="17"/>
              </w:rPr>
              <w:t xml:space="preserve"> </w:t>
            </w:r>
            <w:r>
              <w:rPr>
                <w:rFonts w:ascii="inherit" w:hAnsi="inherit"/>
                <w:sz w:val="17"/>
              </w:rPr>
              <w:t>(up 9%</w:t>
            </w:r>
            <w:r>
              <w:rPr>
                <w:sz w:val="17"/>
              </w:rPr>
              <w:t xml:space="preserve"> </w:t>
            </w:r>
            <w:r>
              <w:rPr>
                <w:rFonts w:ascii="inherit" w:hAnsi="inherit"/>
                <w:sz w:val="17"/>
              </w:rPr>
              <w:t>to $81.3 million</w:t>
            </w:r>
            <w:r>
              <w:rPr>
                <w:sz w:val="17"/>
              </w:rPr>
              <w:t xml:space="preserve"> </w:t>
            </w:r>
            <w:r>
              <w:rPr>
                <w:rFonts w:ascii="inherit" w:hAnsi="inherit"/>
                <w:sz w:val="17"/>
              </w:rPr>
              <w:t>on a constant currency basis). As a percentage of net revenues, operations expenses were consistent at 68%</w:t>
            </w:r>
            <w:r>
              <w:rPr>
                <w:sz w:val="17"/>
              </w:rPr>
              <w:t xml:space="preserve"> </w:t>
            </w:r>
            <w:r>
              <w:rPr>
                <w:rFonts w:ascii="inherit" w:hAnsi="inherit"/>
                <w:sz w:val="17"/>
              </w:rPr>
              <w:t>in the second quarter and improved 100bps to 68% year-to-date.</w:t>
            </w:r>
          </w:p>
        </w:tc>
      </w:tr>
    </w:tbl>
    <w:tbl>
      <w:tblPr>
        <w:tblW w:w="10205" w:type="dxa"/>
        <w:jc w:val="left"/>
        <w:tblInd w:w="0" w:type="dxa"/>
        <w:tblCellMar>
          <w:top w:w="0" w:type="dxa"/>
          <w:left w:w="0" w:type="dxa"/>
          <w:bottom w:w="0" w:type="dxa"/>
          <w:right w:w="0" w:type="dxa"/>
        </w:tblCellMar>
      </w:tblPr>
      <w:tblGrid>
        <w:gridCol w:w="575"/>
        <w:gridCol w:w="9630"/>
      </w:tblGrid>
      <w:tr>
        <w:trPr/>
        <w:tc>
          <w:tcPr>
            <w:tcW w:w="575" w:type="dxa"/>
            <w:tcBorders/>
            <w:shd w:fill="auto" w:val="clear"/>
            <w:vAlign w:val="center"/>
          </w:tcPr>
          <w:p>
            <w:pPr>
              <w:pStyle w:val="TableContents"/>
              <w:spacing w:before="0" w:after="283"/>
              <w:rPr>
                <w:sz w:val="4"/>
                <w:szCs w:val="4"/>
              </w:rPr>
            </w:pPr>
            <w:r>
              <w:rPr>
                <w:sz w:val="4"/>
                <w:szCs w:val="4"/>
              </w:rPr>
            </w:r>
          </w:p>
        </w:tc>
        <w:tc>
          <w:tcPr>
            <w:tcW w:w="9630" w:type="dxa"/>
            <w:tcBorders/>
            <w:shd w:fill="auto" w:val="clear"/>
            <w:vAlign w:val="center"/>
          </w:tcPr>
          <w:p>
            <w:pPr>
              <w:pStyle w:val="TableContents"/>
              <w:spacing w:before="0" w:after="283"/>
              <w:rPr>
                <w:sz w:val="4"/>
                <w:szCs w:val="4"/>
              </w:rPr>
            </w:pPr>
            <w:r>
              <w:rPr>
                <w:sz w:val="4"/>
                <w:szCs w:val="4"/>
              </w:rPr>
            </w:r>
          </w:p>
        </w:tc>
      </w:tr>
      <w:tr>
        <w:trPr/>
        <w:tc>
          <w:tcPr>
            <w:tcW w:w="575" w:type="dxa"/>
            <w:tcBorders/>
            <w:shd w:fill="auto" w:val="clear"/>
            <w:vAlign w:val="center"/>
          </w:tcPr>
          <w:p>
            <w:pPr>
              <w:pStyle w:val="TableContents"/>
              <w:spacing w:lineRule="auto" w:line="288" w:before="0" w:after="0"/>
              <w:ind w:left="0" w:right="0" w:firstLine="450"/>
              <w:rPr/>
            </w:pPr>
            <w:r>
              <w:rPr/>
              <w:t>•</w:t>
            </w:r>
          </w:p>
        </w:tc>
        <w:tc>
          <w:tcPr>
            <w:tcW w:w="9630" w:type="dxa"/>
            <w:tcBorders/>
            <w:shd w:fill="auto" w:val="clear"/>
            <w:vAlign w:val="center"/>
          </w:tcPr>
          <w:p>
            <w:pPr>
              <w:pStyle w:val="TableContents"/>
              <w:spacing w:lineRule="auto" w:line="288" w:before="0" w:after="0"/>
              <w:jc w:val="left"/>
              <w:rPr>
                <w:sz w:val="17"/>
              </w:rPr>
            </w:pPr>
            <w:r>
              <w:rPr>
                <w:rFonts w:ascii="inherit" w:hAnsi="inherit"/>
                <w:sz w:val="17"/>
              </w:rPr>
              <w:t>Cash and cash equivalents at the end of the quarter were $159.9 million, up 33%</w:t>
            </w:r>
            <w:r>
              <w:rPr>
                <w:sz w:val="17"/>
              </w:rPr>
              <w:t xml:space="preserve"> </w:t>
            </w:r>
            <w:r>
              <w:rPr>
                <w:rFonts w:ascii="inherit" w:hAnsi="inherit"/>
                <w:sz w:val="17"/>
              </w:rPr>
              <w:t>YOY and 41% in the quarter. Year-to-date, the company has collected $12.3 million in principal and interest, as scheduled, on the notes receivable related to the sale of Grupo Finmart in September 2016.</w:t>
            </w:r>
          </w:p>
        </w:tc>
      </w:tr>
    </w:tbl>
    <w:tbl>
      <w:tblPr>
        <w:tblW w:w="10205" w:type="dxa"/>
        <w:jc w:val="left"/>
        <w:tblInd w:w="0" w:type="dxa"/>
        <w:tblCellMar>
          <w:top w:w="0" w:type="dxa"/>
          <w:left w:w="0" w:type="dxa"/>
          <w:bottom w:w="0" w:type="dxa"/>
          <w:right w:w="0" w:type="dxa"/>
        </w:tblCellMar>
      </w:tblPr>
      <w:tblGrid>
        <w:gridCol w:w="575"/>
        <w:gridCol w:w="9630"/>
      </w:tblGrid>
      <w:tr>
        <w:trPr/>
        <w:tc>
          <w:tcPr>
            <w:tcW w:w="575" w:type="dxa"/>
            <w:tcBorders/>
            <w:shd w:fill="auto" w:val="clear"/>
            <w:vAlign w:val="center"/>
          </w:tcPr>
          <w:p>
            <w:pPr>
              <w:pStyle w:val="TableContents"/>
              <w:spacing w:before="0" w:after="283"/>
              <w:rPr>
                <w:sz w:val="4"/>
                <w:szCs w:val="4"/>
              </w:rPr>
            </w:pPr>
            <w:r>
              <w:rPr>
                <w:sz w:val="4"/>
                <w:szCs w:val="4"/>
              </w:rPr>
            </w:r>
          </w:p>
        </w:tc>
        <w:tc>
          <w:tcPr>
            <w:tcW w:w="9630" w:type="dxa"/>
            <w:tcBorders/>
            <w:shd w:fill="auto" w:val="clear"/>
            <w:vAlign w:val="center"/>
          </w:tcPr>
          <w:p>
            <w:pPr>
              <w:pStyle w:val="TableContents"/>
              <w:spacing w:before="0" w:after="283"/>
              <w:rPr>
                <w:sz w:val="4"/>
                <w:szCs w:val="4"/>
              </w:rPr>
            </w:pPr>
            <w:r>
              <w:rPr>
                <w:sz w:val="4"/>
                <w:szCs w:val="4"/>
              </w:rPr>
            </w:r>
          </w:p>
        </w:tc>
      </w:tr>
      <w:tr>
        <w:trPr/>
        <w:tc>
          <w:tcPr>
            <w:tcW w:w="575" w:type="dxa"/>
            <w:tcBorders/>
            <w:shd w:fill="auto" w:val="clear"/>
            <w:vAlign w:val="center"/>
          </w:tcPr>
          <w:p>
            <w:pPr>
              <w:pStyle w:val="TableContents"/>
              <w:spacing w:lineRule="auto" w:line="288" w:before="0" w:after="0"/>
              <w:ind w:left="0" w:right="0" w:firstLine="450"/>
              <w:rPr/>
            </w:pPr>
            <w:r>
              <w:rPr/>
              <w:t>•</w:t>
            </w:r>
          </w:p>
        </w:tc>
        <w:tc>
          <w:tcPr>
            <w:tcW w:w="963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Basic earnings per share increased 53% to $0.23 and diluted earnings per share rose 40% to $0.21. The calculation of fully diluted shares includes the hypothetical conversion of our convertible notes to the extent our average share price in the quarter exceeds their conversion price. However, the 2019 convertible notes must be settled in cash and the company may choose to satisfy all or some of its 2024 convertible notes with cash rather than shares to minimize actual share dilution.</w:t>
            </w:r>
          </w:p>
        </w:tc>
      </w:tr>
    </w:tbl>
    <w:p>
      <w:pPr>
        <w:pStyle w:val="TextBody"/>
        <w:spacing w:lineRule="auto" w:line="288" w:before="0" w:after="0"/>
        <w:jc w:val="left"/>
        <w:rPr>
          <w:rFonts w:ascii="inherit" w:hAnsi="inherit"/>
          <w:b/>
          <w:sz w:val="17"/>
        </w:rPr>
      </w:pPr>
      <w:bookmarkStart w:id="20" w:name="s719DA97A410855DE8952BF15F1D5785C"/>
      <w:bookmarkEnd w:id="20"/>
      <w:r>
        <w:rPr>
          <w:rFonts w:ascii="inherit" w:hAnsi="inherit"/>
          <w:b/>
          <w:sz w:val="17"/>
        </w:rPr>
        <w:t>SEGMENT RESULTS</w:t>
      </w:r>
    </w:p>
    <w:p>
      <w:pPr>
        <w:pStyle w:val="TextBody"/>
        <w:spacing w:lineRule="auto" w:line="288" w:before="0" w:after="0"/>
        <w:ind w:left="0" w:right="0" w:firstLine="360"/>
        <w:jc w:val="left"/>
        <w:rPr>
          <w:rFonts w:ascii="inherit" w:hAnsi="inherit"/>
          <w:sz w:val="17"/>
        </w:rPr>
      </w:pPr>
      <w:r>
        <w:rPr>
          <w:rFonts w:ascii="inherit" w:hAnsi="inherit"/>
          <w:sz w:val="17"/>
        </w:rPr>
        <w:t>U.S. Pawn</w:t>
      </w:r>
    </w:p>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sz w:val="17"/>
              </w:rPr>
            </w:pPr>
            <w:r>
              <w:rPr>
                <w:rFonts w:ascii="inherit" w:hAnsi="inherit"/>
                <w:sz w:val="17"/>
              </w:rPr>
              <w:t>Segment contribution was down 5%</w:t>
            </w:r>
            <w:r>
              <w:rPr>
                <w:sz w:val="17"/>
              </w:rPr>
              <w:t xml:space="preserve"> </w:t>
            </w:r>
            <w:r>
              <w:rPr>
                <w:rFonts w:ascii="inherit" w:hAnsi="inherit"/>
                <w:sz w:val="17"/>
              </w:rPr>
              <w:t>to $28.2 million</w:t>
            </w:r>
            <w:r>
              <w:rPr>
                <w:sz w:val="17"/>
              </w:rPr>
              <w:t xml:space="preserve"> </w:t>
            </w:r>
            <w:r>
              <w:rPr>
                <w:rFonts w:ascii="inherit" w:hAnsi="inherit"/>
                <w:sz w:val="17"/>
              </w:rPr>
              <w:t>in the second quarter and down 1%</w:t>
            </w:r>
            <w:r>
              <w:rPr>
                <w:sz w:val="17"/>
              </w:rPr>
              <w:t xml:space="preserve"> </w:t>
            </w:r>
            <w:r>
              <w:rPr>
                <w:rFonts w:ascii="inherit" w:hAnsi="inherit"/>
                <w:sz w:val="17"/>
              </w:rPr>
              <w:t>to $56.0 million</w:t>
            </w:r>
            <w:r>
              <w:rPr>
                <w:sz w:val="17"/>
              </w:rPr>
              <w:t xml:space="preserve"> </w:t>
            </w:r>
            <w:r>
              <w:rPr>
                <w:rFonts w:ascii="inherit" w:hAnsi="inherit"/>
                <w:sz w:val="17"/>
              </w:rPr>
              <w:t>year-to-date. Included in the quarter is the PSC impact of Hurricanes Harvey and Irma and technology change related costs. Adjusting for those discrete items, we estimate that our U.S. Pawn segment contribution would have been up 5% in the quarter and 10% year-to-date.</w:t>
            </w:r>
          </w:p>
        </w:tc>
      </w:tr>
    </w:tbl>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The segment delivered market leading returns from the loan portfolio with industry highest PLO, PLO yield and PSC per store, driven by disciplined lending practices and a focus on meeting the customers’ need for cash. Same store PLO in the U.S. was flat to the prior year including stores affected by the hurricanes. In unaffected stores, same store PLO increased 2%. This was the second full quarter that operations were affected by the impact of Hurricanes Harvey and Irma on PLO, PSC and sales.</w:t>
            </w:r>
          </w:p>
        </w:tc>
      </w:tr>
    </w:tbl>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sz w:val="17"/>
              </w:rPr>
            </w:pPr>
            <w:r>
              <w:rPr>
                <w:rFonts w:ascii="inherit" w:hAnsi="inherit"/>
                <w:sz w:val="17"/>
              </w:rPr>
              <w:t>Net revenues were up 1%. A 1%</w:t>
            </w:r>
            <w:r>
              <w:rPr>
                <w:sz w:val="17"/>
              </w:rPr>
              <w:t xml:space="preserve"> </w:t>
            </w:r>
            <w:r>
              <w:rPr>
                <w:rFonts w:ascii="inherit" w:hAnsi="inherit"/>
                <w:sz w:val="17"/>
              </w:rPr>
              <w:t>decrease in PSC was offset by a 3%</w:t>
            </w:r>
            <w:r>
              <w:rPr>
                <w:sz w:val="17"/>
              </w:rPr>
              <w:t xml:space="preserve"> </w:t>
            </w:r>
            <w:r>
              <w:rPr>
                <w:rFonts w:ascii="inherit" w:hAnsi="inherit"/>
                <w:sz w:val="17"/>
              </w:rPr>
              <w:t>increase in sales gross profit with margin improving 100bps to 38%. Industry leading sales per store and sales margins combined to drive sales gross profit per store 16% higher than the competition. After adjustment for the estimated impact of hurricanes and other discrete items</w:t>
            </w:r>
            <w:r>
              <w:rPr>
                <w:rFonts w:ascii="inherit" w:hAnsi="inherit"/>
                <w:sz w:val="12"/>
              </w:rPr>
              <w:t>2</w:t>
            </w:r>
            <w:r>
              <w:rPr>
                <w:rFonts w:ascii="inherit" w:hAnsi="inherit"/>
                <w:sz w:val="17"/>
              </w:rPr>
              <w:t>, net revenues increased 4%.</w:t>
            </w:r>
          </w:p>
        </w:tc>
      </w:tr>
    </w:tbl>
    <w:p>
      <w:pPr>
        <w:pStyle w:val="TextBody"/>
        <w:spacing w:lineRule="auto" w:line="288" w:before="0" w:after="0"/>
        <w:ind w:left="0" w:right="0" w:firstLine="360"/>
        <w:jc w:val="left"/>
        <w:rPr>
          <w:rFonts w:ascii="inherit" w:hAnsi="inherit"/>
          <w:sz w:val="17"/>
        </w:rPr>
      </w:pPr>
      <w:r>
        <w:rPr>
          <w:rFonts w:ascii="inherit" w:hAnsi="inherit"/>
          <w:sz w:val="17"/>
        </w:rPr>
        <w:t>Latin America Pawn</w:t>
      </w:r>
    </w:p>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sz w:val="17"/>
              </w:rPr>
            </w:pPr>
            <w:r>
              <w:rPr>
                <w:rFonts w:ascii="inherit" w:hAnsi="inherit"/>
                <w:sz w:val="17"/>
              </w:rPr>
              <w:t>This segment again delivered outstanding growth. Segment contribution increased 119%</w:t>
            </w:r>
            <w:r>
              <w:rPr>
                <w:sz w:val="17"/>
              </w:rPr>
              <w:t xml:space="preserve"> </w:t>
            </w:r>
            <w:r>
              <w:rPr>
                <w:rFonts w:ascii="inherit" w:hAnsi="inherit"/>
                <w:sz w:val="17"/>
              </w:rPr>
              <w:t>to $7.1 million</w:t>
            </w:r>
            <w:r>
              <w:rPr>
                <w:sz w:val="17"/>
              </w:rPr>
              <w:t xml:space="preserve"> </w:t>
            </w:r>
            <w:r>
              <w:rPr>
                <w:rFonts w:ascii="inherit" w:hAnsi="inherit"/>
                <w:sz w:val="17"/>
              </w:rPr>
              <w:t>(up 109%</w:t>
            </w:r>
            <w:r>
              <w:rPr>
                <w:sz w:val="17"/>
              </w:rPr>
              <w:t xml:space="preserve"> </w:t>
            </w:r>
            <w:r>
              <w:rPr>
                <w:rFonts w:ascii="inherit" w:hAnsi="inherit"/>
                <w:sz w:val="17"/>
              </w:rPr>
              <w:t>to $6.7 million</w:t>
            </w:r>
            <w:r>
              <w:rPr>
                <w:sz w:val="17"/>
              </w:rPr>
              <w:t xml:space="preserve"> </w:t>
            </w:r>
            <w:r>
              <w:rPr>
                <w:rFonts w:ascii="inherit" w:hAnsi="inherit"/>
                <w:sz w:val="17"/>
              </w:rPr>
              <w:t>on a constant currency basis). Year-to-date contribution increased 116%</w:t>
            </w:r>
            <w:r>
              <w:rPr>
                <w:sz w:val="17"/>
              </w:rPr>
              <w:t xml:space="preserve"> </w:t>
            </w:r>
            <w:r>
              <w:rPr>
                <w:rFonts w:ascii="inherit" w:hAnsi="inherit"/>
                <w:sz w:val="17"/>
              </w:rPr>
              <w:t>to $16.1 million</w:t>
            </w:r>
            <w:r>
              <w:rPr>
                <w:sz w:val="17"/>
              </w:rPr>
              <w:t xml:space="preserve"> </w:t>
            </w:r>
            <w:r>
              <w:rPr>
                <w:rFonts w:ascii="inherit" w:hAnsi="inherit"/>
                <w:sz w:val="17"/>
              </w:rPr>
              <w:t>(up 107%</w:t>
            </w:r>
            <w:r>
              <w:rPr>
                <w:sz w:val="17"/>
              </w:rPr>
              <w:t xml:space="preserve"> </w:t>
            </w:r>
            <w:r>
              <w:rPr>
                <w:rFonts w:ascii="inherit" w:hAnsi="inherit"/>
                <w:sz w:val="17"/>
              </w:rPr>
              <w:t>to $15.4 million</w:t>
            </w:r>
            <w:r>
              <w:rPr>
                <w:sz w:val="17"/>
              </w:rPr>
              <w:t xml:space="preserve"> </w:t>
            </w:r>
            <w:r>
              <w:rPr>
                <w:rFonts w:ascii="inherit" w:hAnsi="inherit"/>
                <w:sz w:val="17"/>
              </w:rPr>
              <w:t>on a constant currency basis).</w:t>
            </w:r>
          </w:p>
        </w:tc>
      </w:tr>
    </w:tbl>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 xml:space="preserve">Pawn store count has expanded 57% from the beginning of FY18, with 133 pawn stores acquired in the first quarter, and four stores opened during each of the first and second quarters. </w:t>
            </w:r>
          </w:p>
        </w:tc>
      </w:tr>
    </w:tbl>
    <w:p>
      <w:pPr>
        <w:pStyle w:val="TextBody"/>
        <w:rPr/>
      </w:pPr>
      <w:r>
        <w:rPr/>
      </w:r>
      <w:r>
        <w:br w:type="page"/>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sz w:val="17"/>
              </w:rPr>
            </w:pPr>
            <w:r>
              <w:rPr>
                <w:rFonts w:ascii="inherit" w:hAnsi="inherit"/>
                <w:sz w:val="17"/>
              </w:rPr>
              <w:t>PLO rose 98%</w:t>
            </w:r>
            <w:r>
              <w:rPr>
                <w:sz w:val="17"/>
              </w:rPr>
              <w:t xml:space="preserve"> </w:t>
            </w:r>
            <w:r>
              <w:rPr>
                <w:rFonts w:ascii="inherit" w:hAnsi="inherit"/>
                <w:sz w:val="17"/>
              </w:rPr>
              <w:t>to $35.3 million</w:t>
            </w:r>
            <w:r>
              <w:rPr>
                <w:sz w:val="17"/>
              </w:rPr>
              <w:t xml:space="preserve"> </w:t>
            </w:r>
            <w:r>
              <w:rPr>
                <w:rFonts w:ascii="inherit" w:hAnsi="inherit"/>
                <w:sz w:val="17"/>
              </w:rPr>
              <w:t>(up 96%</w:t>
            </w:r>
            <w:r>
              <w:rPr>
                <w:sz w:val="17"/>
              </w:rPr>
              <w:t xml:space="preserve"> </w:t>
            </w:r>
            <w:r>
              <w:rPr>
                <w:rFonts w:ascii="inherit" w:hAnsi="inherit"/>
                <w:sz w:val="17"/>
              </w:rPr>
              <w:t>to $34.9 million</w:t>
            </w:r>
            <w:r>
              <w:rPr>
                <w:sz w:val="17"/>
              </w:rPr>
              <w:t xml:space="preserve"> </w:t>
            </w:r>
            <w:r>
              <w:rPr>
                <w:rFonts w:ascii="inherit" w:hAnsi="inherit"/>
                <w:sz w:val="17"/>
              </w:rPr>
              <w:t>on a constant currency basis).</w:t>
            </w:r>
            <w:r>
              <w:rPr>
                <w:color w:val="EE2724"/>
                <w:sz w:val="17"/>
              </w:rPr>
              <w:t xml:space="preserve"> </w:t>
            </w:r>
            <w:r>
              <w:rPr>
                <w:rFonts w:ascii="inherit" w:hAnsi="inherit"/>
                <w:sz w:val="17"/>
              </w:rPr>
              <w:t>Same store PLO increased 10%</w:t>
            </w:r>
            <w:r>
              <w:rPr>
                <w:sz w:val="17"/>
              </w:rPr>
              <w:t xml:space="preserve"> </w:t>
            </w:r>
            <w:r>
              <w:rPr>
                <w:rFonts w:ascii="inherit" w:hAnsi="inherit"/>
                <w:sz w:val="17"/>
              </w:rPr>
              <w:t>(up 9%</w:t>
            </w:r>
            <w:r>
              <w:rPr>
                <w:sz w:val="17"/>
              </w:rPr>
              <w:t xml:space="preserve"> </w:t>
            </w:r>
            <w:r>
              <w:rPr>
                <w:rFonts w:ascii="inherit" w:hAnsi="inherit"/>
                <w:sz w:val="17"/>
              </w:rPr>
              <w:t xml:space="preserve">on a constant currency basis). </w:t>
            </w:r>
          </w:p>
        </w:tc>
      </w:tr>
    </w:tbl>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sz w:val="17"/>
              </w:rPr>
            </w:pPr>
            <w:r>
              <w:rPr>
                <w:rFonts w:ascii="inherit" w:hAnsi="inherit"/>
                <w:sz w:val="17"/>
              </w:rPr>
              <w:t>Net revenues expanded 78%</w:t>
            </w:r>
            <w:r>
              <w:rPr>
                <w:sz w:val="17"/>
              </w:rPr>
              <w:t xml:space="preserve"> </w:t>
            </w:r>
            <w:r>
              <w:rPr>
                <w:rFonts w:ascii="inherit" w:hAnsi="inherit"/>
                <w:sz w:val="17"/>
              </w:rPr>
              <w:t>to $22.2 million</w:t>
            </w:r>
            <w:r>
              <w:rPr>
                <w:sz w:val="17"/>
              </w:rPr>
              <w:t xml:space="preserve"> </w:t>
            </w:r>
            <w:r>
              <w:rPr>
                <w:rFonts w:ascii="inherit" w:hAnsi="inherit"/>
                <w:sz w:val="17"/>
              </w:rPr>
              <w:t>(up 69%</w:t>
            </w:r>
            <w:r>
              <w:rPr>
                <w:sz w:val="17"/>
              </w:rPr>
              <w:t> </w:t>
            </w:r>
            <w:r>
              <w:rPr>
                <w:rFonts w:ascii="inherit" w:hAnsi="inherit"/>
                <w:sz w:val="17"/>
              </w:rPr>
              <w:t>to $21.1 million</w:t>
            </w:r>
            <w:r>
              <w:rPr>
                <w:sz w:val="17"/>
              </w:rPr>
              <w:t xml:space="preserve"> </w:t>
            </w:r>
            <w:r>
              <w:rPr>
                <w:rFonts w:ascii="inherit" w:hAnsi="inherit"/>
                <w:sz w:val="17"/>
              </w:rPr>
              <w:t>on a constant currency basis), and PSC increased 105%</w:t>
            </w:r>
            <w:r>
              <w:rPr>
                <w:sz w:val="17"/>
              </w:rPr>
              <w:t xml:space="preserve"> </w:t>
            </w:r>
            <w:r>
              <w:rPr>
                <w:rFonts w:ascii="inherit" w:hAnsi="inherit"/>
                <w:sz w:val="17"/>
              </w:rPr>
              <w:t>to $15.3 million</w:t>
            </w:r>
            <w:r>
              <w:rPr>
                <w:sz w:val="17"/>
              </w:rPr>
              <w:t xml:space="preserve"> </w:t>
            </w:r>
            <w:r>
              <w:rPr>
                <w:rFonts w:ascii="inherit" w:hAnsi="inherit"/>
                <w:sz w:val="17"/>
              </w:rPr>
              <w:t>(up 96%</w:t>
            </w:r>
            <w:r>
              <w:rPr>
                <w:sz w:val="17"/>
              </w:rPr>
              <w:t> </w:t>
            </w:r>
            <w:r>
              <w:rPr>
                <w:rFonts w:ascii="inherit" w:hAnsi="inherit"/>
                <w:sz w:val="17"/>
              </w:rPr>
              <w:t>to $14.6 million</w:t>
            </w:r>
            <w:r>
              <w:rPr>
                <w:sz w:val="17"/>
              </w:rPr>
              <w:t xml:space="preserve"> </w:t>
            </w:r>
            <w:r>
              <w:rPr>
                <w:rFonts w:ascii="inherit" w:hAnsi="inherit"/>
                <w:sz w:val="17"/>
              </w:rPr>
              <w:t>on a constant currency basis).</w:t>
            </w:r>
          </w:p>
        </w:tc>
      </w:tr>
    </w:tbl>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sz w:val="17"/>
              </w:rPr>
            </w:pPr>
            <w:r>
              <w:rPr>
                <w:rFonts w:ascii="inherit" w:hAnsi="inherit"/>
                <w:sz w:val="17"/>
              </w:rPr>
              <w:t>Merchandise sales improved 37%</w:t>
            </w:r>
            <w:r>
              <w:rPr>
                <w:sz w:val="17"/>
              </w:rPr>
              <w:t xml:space="preserve"> </w:t>
            </w:r>
            <w:r>
              <w:rPr>
                <w:rFonts w:ascii="inherit" w:hAnsi="inherit"/>
                <w:sz w:val="17"/>
              </w:rPr>
              <w:t>in total and 9%</w:t>
            </w:r>
            <w:r>
              <w:rPr>
                <w:sz w:val="17"/>
              </w:rPr>
              <w:t xml:space="preserve"> </w:t>
            </w:r>
            <w:r>
              <w:rPr>
                <w:rFonts w:ascii="inherit" w:hAnsi="inherit"/>
                <w:sz w:val="17"/>
              </w:rPr>
              <w:t>on a same store basis (up 28%</w:t>
            </w:r>
            <w:r>
              <w:rPr>
                <w:sz w:val="17"/>
              </w:rPr>
              <w:t xml:space="preserve"> </w:t>
            </w:r>
            <w:r>
              <w:rPr>
                <w:rFonts w:ascii="inherit" w:hAnsi="inherit"/>
                <w:sz w:val="17"/>
              </w:rPr>
              <w:t>in total and 8%</w:t>
            </w:r>
            <w:r>
              <w:rPr>
                <w:sz w:val="17"/>
              </w:rPr>
              <w:t xml:space="preserve"> </w:t>
            </w:r>
            <w:r>
              <w:rPr>
                <w:rFonts w:ascii="inherit" w:hAnsi="inherit"/>
                <w:sz w:val="17"/>
              </w:rPr>
              <w:t>in same stores on a constant currency basis). Merchandise sales margin of 32%</w:t>
            </w:r>
            <w:r>
              <w:rPr>
                <w:sz w:val="17"/>
              </w:rPr>
              <w:t xml:space="preserve"> </w:t>
            </w:r>
            <w:r>
              <w:rPr>
                <w:rFonts w:ascii="inherit" w:hAnsi="inherit"/>
                <w:sz w:val="17"/>
              </w:rPr>
              <w:t>remained stable. Latin America operations expenses improved to 67% of net revenues from 71% in the prior-year quarter.</w:t>
            </w:r>
          </w:p>
        </w:tc>
      </w:tr>
    </w:tbl>
    <w:p>
      <w:pPr>
        <w:pStyle w:val="TextBody"/>
        <w:spacing w:lineRule="auto" w:line="288" w:before="0" w:after="0"/>
        <w:jc w:val="left"/>
        <w:rPr>
          <w:rFonts w:ascii="inherit" w:hAnsi="inherit"/>
          <w:b/>
          <w:sz w:val="17"/>
        </w:rPr>
      </w:pPr>
      <w:bookmarkStart w:id="21" w:name="sC65B9AB7E33951E7A7E222F091D67335"/>
      <w:bookmarkEnd w:id="21"/>
      <w:r>
        <w:rPr>
          <w:rFonts w:ascii="inherit" w:hAnsi="inherit"/>
          <w:b/>
          <w:sz w:val="17"/>
        </w:rPr>
        <w:t>CONFERENCE CALL &amp; WEBCAST INFORMATION</w:t>
      </w:r>
    </w:p>
    <w:p>
      <w:pPr>
        <w:pStyle w:val="TextBody"/>
        <w:spacing w:lineRule="auto" w:line="288" w:before="0" w:after="0"/>
        <w:jc w:val="left"/>
        <w:rPr>
          <w:sz w:val="17"/>
        </w:rPr>
      </w:pPr>
      <w:r>
        <w:rPr>
          <w:rFonts w:ascii="inherit" w:hAnsi="inherit"/>
          <w:sz w:val="17"/>
        </w:rPr>
        <w:t xml:space="preserve">EZCORP will host a conference call on Thursday, May 3, 2018, at 7:30am Central Time to discuss first quarter results. Analysts and institutional investors may participate on the conference call by dialing (877) 201-0168, Conference ID: 8569817, or internationally by dialing (647) 788-4901. The conference call will be webcast simultaneously to the public through this link: </w:t>
      </w:r>
      <w:r>
        <w:rPr>
          <w:rFonts w:ascii="inherit" w:hAnsi="inherit"/>
          <w:color w:val="0000FF"/>
          <w:sz w:val="17"/>
          <w:u w:val="single"/>
        </w:rPr>
        <w:t>http://investors.ezcorp.com/</w:t>
      </w:r>
      <w:r>
        <w:rPr>
          <w:rFonts w:ascii="inherit" w:hAnsi="inherit"/>
          <w:sz w:val="17"/>
        </w:rPr>
        <w:t xml:space="preserve">. A replay of the conference call will be available online at </w:t>
      </w:r>
      <w:r>
        <w:rPr>
          <w:rFonts w:ascii="inherit" w:hAnsi="inherit"/>
          <w:color w:val="0000FF"/>
          <w:sz w:val="17"/>
          <w:u w:val="single"/>
        </w:rPr>
        <w:t>http://investors.ezcorp.com/</w:t>
      </w:r>
      <w:r>
        <w:rPr>
          <w:sz w:val="17"/>
        </w:rPr>
        <w:t xml:space="preserve"> </w:t>
      </w:r>
      <w:r>
        <w:rPr>
          <w:rFonts w:ascii="inherit" w:hAnsi="inherit"/>
          <w:sz w:val="17"/>
        </w:rPr>
        <w:t>shortly after the call ends.</w:t>
      </w:r>
    </w:p>
    <w:p>
      <w:pPr>
        <w:pStyle w:val="TextBody"/>
        <w:spacing w:lineRule="auto" w:line="288" w:before="0" w:after="0"/>
        <w:jc w:val="left"/>
        <w:rPr>
          <w:rFonts w:ascii="inherit" w:hAnsi="inherit"/>
          <w:b/>
          <w:sz w:val="17"/>
        </w:rPr>
      </w:pPr>
      <w:bookmarkStart w:id="22" w:name="sB80BD7FE19C05930ACB292C3F8D48FF2"/>
      <w:bookmarkEnd w:id="22"/>
      <w:r>
        <w:rPr>
          <w:rFonts w:ascii="inherit" w:hAnsi="inherit"/>
          <w:b/>
          <w:sz w:val="17"/>
        </w:rPr>
        <w:t>ABOUT EZCORP</w:t>
      </w:r>
    </w:p>
    <w:p>
      <w:pPr>
        <w:pStyle w:val="TextBody"/>
        <w:spacing w:lineRule="auto" w:line="288" w:before="0" w:after="0"/>
        <w:jc w:val="left"/>
        <w:rPr>
          <w:rFonts w:ascii="inherit" w:hAnsi="inherit"/>
          <w:sz w:val="17"/>
        </w:rPr>
      </w:pPr>
      <w:r>
        <w:rPr>
          <w:rFonts w:ascii="inherit" w:hAnsi="inherit"/>
          <w:sz w:val="17"/>
        </w:rPr>
        <w:t>Formed in 1989, EZCORP has grown into a leading provider of pawn loans in the United States and Latin America. It also sells merchandise, primarily collateral forfeited from pawn lending operations and used merchandise purchased from customers. We are dedicated to satisfying the short-term cash needs of consumers who are both cash and credit constrained, focusing on an industry-leading customer experience. EZCORP is traded on NASDAQ under the symbol EZPW and is a member of the Russell 2000 Index, S&amp;P SmallCap 600 Index, S&amp;P 1000 Index and Nasdaq Composite Index.</w:t>
      </w:r>
    </w:p>
    <w:p>
      <w:pPr>
        <w:pStyle w:val="TextBody"/>
        <w:rPr/>
      </w:pPr>
      <w:r>
        <w:rPr/>
      </w:r>
      <w:r>
        <w:br w:type="page"/>
      </w:r>
    </w:p>
    <w:p>
      <w:pPr>
        <w:pStyle w:val="TextBody"/>
        <w:spacing w:lineRule="auto" w:line="288" w:before="0" w:after="0"/>
        <w:rPr>
          <w:rFonts w:ascii="inherit" w:hAnsi="inherit"/>
          <w:sz w:val="17"/>
        </w:rPr>
      </w:pPr>
      <w:r>
        <w:rPr>
          <w:rFonts w:ascii="inherit" w:hAnsi="inherit"/>
          <w:sz w:val="17"/>
        </w:rPr>
      </w:r>
      <w:bookmarkStart w:id="23" w:name="s52822857e7ff45e1b68ede0b3c5bebcd"/>
      <w:bookmarkStart w:id="24" w:name="s52822857e7ff45e1b68ede0b3c5bebcd"/>
      <w:bookmarkEnd w:id="24"/>
    </w:p>
    <w:p>
      <w:pPr>
        <w:pStyle w:val="TextBody"/>
        <w:spacing w:before="0" w:after="0"/>
        <w:rPr/>
      </w:pPr>
      <w:r>
        <w:rPr/>
      </w:r>
    </w:p>
    <w:p>
      <w:pPr>
        <w:pStyle w:val="TextBody"/>
        <w:spacing w:lineRule="auto" w:line="288" w:before="0" w:after="0"/>
        <w:jc w:val="left"/>
        <w:rPr>
          <w:rFonts w:ascii="inherit" w:hAnsi="inherit"/>
          <w:b/>
          <w:sz w:val="17"/>
        </w:rPr>
      </w:pPr>
      <w:r>
        <w:rPr>
          <w:rFonts w:ascii="inherit" w:hAnsi="inherit"/>
          <w:b/>
          <w:sz w:val="17"/>
        </w:rPr>
        <w:t>FORWARD LOOKING STATEMENTS</w:t>
      </w:r>
    </w:p>
    <w:p>
      <w:pPr>
        <w:pStyle w:val="TextBody"/>
        <w:spacing w:lineRule="auto" w:line="288" w:before="0" w:after="0"/>
        <w:jc w:val="left"/>
        <w:rPr>
          <w:rFonts w:ascii="inherit" w:hAnsi="inherit"/>
          <w:sz w:val="17"/>
        </w:rPr>
      </w:pPr>
      <w:r>
        <w:rPr>
          <w:rFonts w:ascii="inherit" w:hAnsi="inherit"/>
          <w:sz w:val="17"/>
        </w:rPr>
        <w:t>This announcement contains certain forward-looking statements regarding the company’s strategy, initiatives and expected performance. These statements are based on the company’s current expectations as to the outcome and timing of future events. All statements, other than statements of historical facts, including all statements regarding the company's strategy, initiatives and future performance, that address activities or results that the company plans, expects, believes, projects, estimates or anticipates, will, should or may occur in the future, including future financial or operating results, are forward-looking statements. Actual results for future periods may differ materially from those expressed or implied by these forward-looking statements due to a number of uncertainties and other factors, including operating risks, liquidity risks, legislative or regulatory developments, market factors or current or future litigation. For a discussion of these and other factors affecting the company’s business and prospects, see the company’s annual, quarterly and other reports filed with the Securities and Exchange Commission. The company undertakes no obligation to update or revise forward-looking statements to reflect changed assumptions, the occurrence of unanticipated events or changes to future operating results over time.</w:t>
      </w:r>
    </w:p>
    <w:p>
      <w:pPr>
        <w:pStyle w:val="TextBody"/>
        <w:spacing w:lineRule="auto" w:line="288" w:before="0" w:after="0"/>
        <w:jc w:val="left"/>
        <w:rPr>
          <w:rFonts w:ascii="inherit" w:hAnsi="inherit"/>
          <w:b/>
          <w:sz w:val="17"/>
        </w:rPr>
      </w:pPr>
      <w:r>
        <w:rPr>
          <w:rFonts w:ascii="inherit" w:hAnsi="inherit"/>
          <w:b/>
          <w:sz w:val="17"/>
        </w:rPr>
        <w:t>Contact:</w:t>
      </w:r>
    </w:p>
    <w:p>
      <w:pPr>
        <w:pStyle w:val="TextBody"/>
        <w:spacing w:lineRule="auto" w:line="288" w:before="0" w:after="0"/>
        <w:jc w:val="left"/>
        <w:rPr>
          <w:rFonts w:ascii="inherit" w:hAnsi="inherit"/>
          <w:sz w:val="17"/>
        </w:rPr>
      </w:pPr>
      <w:r>
        <w:rPr>
          <w:rFonts w:ascii="inherit" w:hAnsi="inherit"/>
          <w:sz w:val="17"/>
        </w:rPr>
        <w:t>Jeff Christensen</w:t>
      </w:r>
    </w:p>
    <w:p>
      <w:pPr>
        <w:pStyle w:val="TextBody"/>
        <w:spacing w:lineRule="auto" w:line="288" w:before="0" w:after="0"/>
        <w:jc w:val="left"/>
        <w:rPr>
          <w:rFonts w:ascii="inherit" w:hAnsi="inherit"/>
          <w:sz w:val="17"/>
        </w:rPr>
      </w:pPr>
      <w:r>
        <w:rPr>
          <w:rFonts w:ascii="inherit" w:hAnsi="inherit"/>
          <w:sz w:val="17"/>
        </w:rPr>
        <w:t>Vice President, Investor Relations</w:t>
      </w:r>
    </w:p>
    <w:p>
      <w:pPr>
        <w:pStyle w:val="TextBody"/>
        <w:spacing w:lineRule="auto" w:line="288" w:before="0" w:after="0"/>
        <w:jc w:val="left"/>
        <w:rPr>
          <w:rFonts w:ascii="inherit" w:hAnsi="inherit"/>
          <w:sz w:val="17"/>
        </w:rPr>
      </w:pPr>
      <w:r>
        <w:rPr>
          <w:rFonts w:ascii="inherit" w:hAnsi="inherit"/>
          <w:sz w:val="17"/>
        </w:rPr>
        <w:t>Email: jeff_christensen@ezcorp.com</w:t>
      </w:r>
    </w:p>
    <w:p>
      <w:pPr>
        <w:pStyle w:val="TextBody"/>
        <w:spacing w:lineRule="auto" w:line="288" w:before="0" w:after="0"/>
        <w:jc w:val="left"/>
        <w:rPr>
          <w:rFonts w:ascii="inherit" w:hAnsi="inherit"/>
          <w:sz w:val="17"/>
        </w:rPr>
      </w:pPr>
      <w:r>
        <w:rPr>
          <w:rFonts w:ascii="inherit" w:hAnsi="inherit"/>
          <w:sz w:val="17"/>
        </w:rPr>
        <w:t>Phone: (512) 437-3545</w:t>
      </w:r>
    </w:p>
    <w:p>
      <w:pPr>
        <w:pStyle w:val="TextBody"/>
        <w:spacing w:before="0" w:after="0"/>
        <w:rPr/>
      </w:pPr>
      <w:r>
        <w:rPr/>
      </w:r>
    </w:p>
    <w:p>
      <w:pPr>
        <w:pStyle w:val="TextBody"/>
        <w:spacing w:lineRule="auto" w:line="288" w:before="0" w:after="0"/>
        <w:rPr>
          <w:sz w:val="15"/>
        </w:rPr>
      </w:pPr>
      <w:r>
        <w:rPr>
          <w:rFonts w:ascii="inherit" w:hAnsi="inherit"/>
          <w:i/>
          <w:sz w:val="10"/>
        </w:rPr>
        <w:t>1</w:t>
      </w:r>
      <w:r>
        <w:rPr>
          <w:sz w:val="15"/>
        </w:rPr>
        <w:t>“</w:t>
      </w:r>
      <w:r>
        <w:rPr>
          <w:rFonts w:ascii="inherit" w:hAnsi="inherit"/>
          <w:i/>
          <w:sz w:val="15"/>
        </w:rPr>
        <w:t>Constant currency” basis, which is a non-GAAP measure, excludes the impact of foreign currency exchange rate fluctuations. For additional information about these calculations, as well as a reconciliation to the comparable GAAP financial measures, see “Non-GAAP Financial Information” at the end of this release.</w:t>
      </w:r>
    </w:p>
    <w:p>
      <w:pPr>
        <w:pStyle w:val="TextBody"/>
        <w:spacing w:lineRule="auto" w:line="288" w:before="0" w:after="0"/>
        <w:rPr>
          <w:sz w:val="15"/>
        </w:rPr>
      </w:pPr>
      <w:r>
        <w:rPr>
          <w:rFonts w:ascii="inherit" w:hAnsi="inherit"/>
          <w:i/>
          <w:sz w:val="10"/>
        </w:rPr>
        <w:t>2</w:t>
      </w:r>
      <w:r>
        <w:rPr>
          <w:rFonts w:ascii="inherit" w:hAnsi="inherit"/>
          <w:i/>
          <w:sz w:val="15"/>
        </w:rPr>
        <w:t>Adjusted basis, which is a non-GAAP measure, excludes certain items. For additional information about these calculations, as well as a reconciliation to the comparable GAAP financial measures, see “Non-GAAP Financial Information” at the end of this release.</w:t>
      </w:r>
    </w:p>
    <w:p>
      <w:pPr>
        <w:pStyle w:val="TextBody"/>
        <w:spacing w:lineRule="auto" w:line="288"/>
        <w:rPr>
          <w:rFonts w:ascii="inherit" w:hAnsi="inherit"/>
          <w:sz w:val="17"/>
        </w:rPr>
      </w:pPr>
      <w:r>
        <w:rPr>
          <w:rFonts w:ascii="inherit" w:hAnsi="inherit"/>
          <w:sz w:val="17"/>
        </w:rPr>
      </w:r>
      <w:r>
        <w:br w:type="page"/>
      </w:r>
    </w:p>
    <w:p>
      <w:pPr>
        <w:pStyle w:val="TextBody"/>
        <w:spacing w:lineRule="auto" w:line="288" w:before="0" w:after="0"/>
        <w:rPr>
          <w:rFonts w:ascii="inherit" w:hAnsi="inherit"/>
          <w:sz w:val="17"/>
        </w:rPr>
      </w:pPr>
      <w:r>
        <w:rPr>
          <w:rFonts w:ascii="inherit" w:hAnsi="inherit"/>
          <w:sz w:val="17"/>
        </w:rPr>
      </w:r>
      <w:bookmarkStart w:id="25" w:name="s244589B4DC2B5810A58738CF4D48B7C4"/>
      <w:bookmarkStart w:id="26" w:name="s244589B4DC2B5810A58738CF4D48B7C4"/>
      <w:bookmarkEnd w:id="26"/>
    </w:p>
    <w:p>
      <w:pPr>
        <w:pStyle w:val="TextBody"/>
        <w:spacing w:before="0" w:after="0"/>
        <w:rPr/>
      </w:pPr>
      <w:r>
        <w:rPr/>
      </w:r>
    </w:p>
    <w:p>
      <w:pPr>
        <w:pStyle w:val="TextBody"/>
        <w:spacing w:lineRule="auto" w:line="288" w:before="0" w:after="0"/>
        <w:rPr>
          <w:rFonts w:ascii="inherit" w:hAnsi="inherit"/>
          <w:sz w:val="17"/>
        </w:rPr>
      </w:pPr>
      <w:r>
        <w:rPr>
          <w:rFonts w:ascii="inherit" w:hAnsi="inherit"/>
          <w:sz w:val="17"/>
        </w:rPr>
      </w:r>
    </w:p>
    <w:p>
      <w:pPr>
        <w:pStyle w:val="Normal"/>
        <w:spacing w:before="0" w:after="0"/>
        <w:ind w:left="0" w:right="0" w:hanging="0"/>
        <w:rPr>
          <w:sz w:val="4"/>
          <w:szCs w:val="4"/>
        </w:rPr>
      </w:pPr>
      <w:r>
        <w:rPr>
          <w:sz w:val="4"/>
          <w:szCs w:val="4"/>
        </w:rPr>
      </w:r>
      <w:bookmarkStart w:id="27" w:name="s1048C7DEC2BD5CAC993A314DC2867657"/>
      <w:bookmarkStart w:id="28" w:name="s1048C7DEC2BD5CAC993A314DC2867657"/>
      <w:bookmarkEnd w:id="28"/>
    </w:p>
    <w:tbl>
      <w:tblPr>
        <w:tblW w:w="10205" w:type="dxa"/>
        <w:jc w:val="left"/>
        <w:tblInd w:w="0" w:type="dxa"/>
        <w:tblCellMar>
          <w:top w:w="0" w:type="dxa"/>
          <w:left w:w="0" w:type="dxa"/>
          <w:bottom w:w="0" w:type="dxa"/>
          <w:right w:w="0" w:type="dxa"/>
        </w:tblCellMar>
      </w:tblPr>
      <w:tblGrid>
        <w:gridCol w:w="5444"/>
        <w:gridCol w:w="141"/>
        <w:gridCol w:w="781"/>
        <w:gridCol w:w="141"/>
        <w:gridCol w:w="115"/>
        <w:gridCol w:w="141"/>
        <w:gridCol w:w="781"/>
        <w:gridCol w:w="141"/>
        <w:gridCol w:w="90"/>
        <w:gridCol w:w="110"/>
        <w:gridCol w:w="605"/>
        <w:gridCol w:w="110"/>
        <w:gridCol w:w="90"/>
        <w:gridCol w:w="110"/>
        <w:gridCol w:w="605"/>
        <w:gridCol w:w="800"/>
      </w:tblGrid>
      <w:tr>
        <w:trPr/>
        <w:tc>
          <w:tcPr>
            <w:tcW w:w="10205" w:type="dxa"/>
            <w:gridSpan w:val="16"/>
            <w:tcBorders/>
            <w:shd w:fill="auto" w:val="clear"/>
            <w:vAlign w:val="center"/>
          </w:tcPr>
          <w:p>
            <w:pPr>
              <w:pStyle w:val="TableContents"/>
              <w:spacing w:lineRule="auto" w:line="288" w:before="0" w:after="0"/>
              <w:jc w:val="center"/>
              <w:rPr>
                <w:rFonts w:ascii="inherit" w:hAnsi="inherit"/>
                <w:b/>
                <w:sz w:val="15"/>
              </w:rPr>
            </w:pPr>
            <w:r>
              <w:rPr>
                <w:rFonts w:ascii="inherit" w:hAnsi="inherit"/>
                <w:b/>
                <w:sz w:val="15"/>
              </w:rPr>
              <w:t>EZCORP, Inc.</w:t>
            </w:r>
          </w:p>
          <w:p>
            <w:pPr>
              <w:pStyle w:val="TableContents"/>
              <w:spacing w:lineRule="auto" w:line="288" w:before="0" w:after="0"/>
              <w:jc w:val="center"/>
              <w:rPr>
                <w:rFonts w:ascii="inherit" w:hAnsi="inherit"/>
                <w:b/>
                <w:sz w:val="15"/>
              </w:rPr>
            </w:pPr>
            <w:r>
              <w:rPr>
                <w:rFonts w:ascii="inherit" w:hAnsi="inherit"/>
                <w:b/>
                <w:sz w:val="15"/>
              </w:rPr>
              <w:t>CONDENSED CONSOLIDATED STATEMENTS OF OPERATIONS</w:t>
            </w:r>
          </w:p>
        </w:tc>
      </w:tr>
      <w:tr>
        <w:trPr/>
        <w:tc>
          <w:tcPr>
            <w:tcW w:w="5444"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444" w:type="dxa"/>
            <w:tcBorders/>
            <w:shd w:fill="auto" w:val="clear"/>
            <w:vAlign w:val="center"/>
          </w:tcPr>
          <w:p>
            <w:pPr>
              <w:pStyle w:val="TableContents"/>
              <w:spacing w:before="0" w:after="0"/>
              <w:ind w:left="0" w:right="0" w:firstLine="30"/>
              <w:rPr/>
            </w:pPr>
            <w:r>
              <w:rPr/>
              <w:t> </w:t>
            </w:r>
          </w:p>
        </w:tc>
        <w:tc>
          <w:tcPr>
            <w:tcW w:w="2241"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 March 31,</w:t>
            </w:r>
          </w:p>
        </w:tc>
        <w:tc>
          <w:tcPr>
            <w:tcW w:w="90" w:type="dxa"/>
            <w:tcBorders/>
            <w:shd w:fill="auto" w:val="clear"/>
            <w:vAlign w:val="center"/>
          </w:tcPr>
          <w:p>
            <w:pPr>
              <w:pStyle w:val="TableContents"/>
              <w:spacing w:before="0" w:after="0"/>
              <w:ind w:left="0" w:right="0" w:firstLine="30"/>
              <w:rPr/>
            </w:pPr>
            <w:r>
              <w:rPr/>
              <w:t> </w:t>
            </w:r>
          </w:p>
        </w:tc>
        <w:tc>
          <w:tcPr>
            <w:tcW w:w="2430"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Six Months Ended March 31,</w:t>
            </w:r>
          </w:p>
        </w:tc>
      </w:tr>
      <w:tr>
        <w:trPr/>
        <w:tc>
          <w:tcPr>
            <w:tcW w:w="5444" w:type="dxa"/>
            <w:tcBorders/>
            <w:shd w:fill="auto" w:val="clear"/>
            <w:vAlign w:val="center"/>
          </w:tcPr>
          <w:p>
            <w:pPr>
              <w:pStyle w:val="TableContents"/>
              <w:spacing w:before="0" w:after="0"/>
              <w:ind w:left="0" w:right="0" w:firstLine="30"/>
              <w:jc w:val="left"/>
              <w:rPr/>
            </w:pPr>
            <w:r>
              <w:rPr/>
              <w:t> </w:t>
            </w:r>
          </w:p>
        </w:tc>
        <w:tc>
          <w:tcPr>
            <w:tcW w:w="1063"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w:t>
            </w:r>
          </w:p>
        </w:tc>
        <w:tc>
          <w:tcPr>
            <w:tcW w:w="115"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1063"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2017</w:t>
            </w:r>
          </w:p>
        </w:tc>
        <w:tc>
          <w:tcPr>
            <w:tcW w:w="90" w:type="dxa"/>
            <w:tcBorders/>
            <w:shd w:fill="auto" w:val="clear"/>
            <w:vAlign w:val="center"/>
          </w:tcPr>
          <w:p>
            <w:pPr>
              <w:pStyle w:val="TableContents"/>
              <w:spacing w:before="0" w:after="0"/>
              <w:ind w:left="0" w:right="0" w:firstLine="30"/>
              <w:rPr/>
            </w:pPr>
            <w:r>
              <w:rPr/>
              <w:t> </w:t>
            </w:r>
          </w:p>
        </w:tc>
        <w:tc>
          <w:tcPr>
            <w:tcW w:w="825"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w:t>
            </w:r>
          </w:p>
        </w:tc>
        <w:tc>
          <w:tcPr>
            <w:tcW w:w="90"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1515"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2017</w:t>
            </w:r>
          </w:p>
        </w:tc>
      </w:tr>
      <w:tr>
        <w:trPr/>
        <w:tc>
          <w:tcPr>
            <w:tcW w:w="5444" w:type="dxa"/>
            <w:tcBorders/>
            <w:shd w:fill="auto" w:val="clear"/>
            <w:vAlign w:val="center"/>
          </w:tcPr>
          <w:p>
            <w:pPr>
              <w:pStyle w:val="TableContents"/>
              <w:spacing w:before="0" w:after="0"/>
              <w:ind w:left="0" w:right="0" w:firstLine="30"/>
              <w:rPr/>
            </w:pPr>
            <w:r>
              <w:rPr/>
              <w:t> </w:t>
            </w:r>
          </w:p>
        </w:tc>
        <w:tc>
          <w:tcPr>
            <w:tcW w:w="1063" w:type="dxa"/>
            <w:gridSpan w:val="3"/>
            <w:tcBorders/>
            <w:shd w:fill="auto" w:val="clear"/>
            <w:vAlign w:val="center"/>
          </w:tcPr>
          <w:p>
            <w:pPr>
              <w:pStyle w:val="TableContents"/>
              <w:spacing w:before="0" w:after="0"/>
              <w:ind w:left="0" w:right="0" w:firstLine="30"/>
              <w:rPr/>
            </w:pPr>
            <w:r>
              <w:rPr/>
              <w:t> </w:t>
            </w:r>
          </w:p>
        </w:tc>
        <w:tc>
          <w:tcPr>
            <w:tcW w:w="115" w:type="dxa"/>
            <w:tcBorders/>
            <w:shd w:fill="auto" w:val="clear"/>
            <w:vAlign w:val="center"/>
          </w:tcPr>
          <w:p>
            <w:pPr>
              <w:pStyle w:val="TableContents"/>
              <w:spacing w:before="0" w:after="0"/>
              <w:ind w:left="0" w:right="0" w:firstLine="30"/>
              <w:rPr/>
            </w:pPr>
            <w:r>
              <w:rPr/>
              <w:t> </w:t>
            </w:r>
          </w:p>
        </w:tc>
        <w:tc>
          <w:tcPr>
            <w:tcW w:w="1063"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2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515" w:type="dxa"/>
            <w:gridSpan w:val="3"/>
            <w:tcBorders/>
            <w:shd w:fill="auto" w:val="clear"/>
            <w:vAlign w:val="center"/>
          </w:tcPr>
          <w:p>
            <w:pPr>
              <w:pStyle w:val="TableContents"/>
              <w:spacing w:before="0" w:after="0"/>
              <w:ind w:left="0" w:right="0" w:firstLine="30"/>
              <w:rPr/>
            </w:pPr>
            <w:r>
              <w:rPr/>
              <w:t> </w:t>
            </w:r>
          </w:p>
        </w:tc>
      </w:tr>
      <w:tr>
        <w:trPr/>
        <w:tc>
          <w:tcPr>
            <w:tcW w:w="5444" w:type="dxa"/>
            <w:tcBorders/>
            <w:shd w:fill="auto" w:val="clear"/>
            <w:vAlign w:val="center"/>
          </w:tcPr>
          <w:p>
            <w:pPr>
              <w:pStyle w:val="TableContents"/>
              <w:spacing w:before="0" w:after="0"/>
              <w:ind w:left="0" w:right="0" w:firstLine="30"/>
              <w:rPr/>
            </w:pPr>
            <w:r>
              <w:rPr/>
              <w:t> </w:t>
            </w:r>
          </w:p>
        </w:tc>
        <w:tc>
          <w:tcPr>
            <w:tcW w:w="4761" w:type="dxa"/>
            <w:gridSpan w:val="15"/>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(Unaudited)</w:t>
            </w:r>
          </w:p>
        </w:tc>
      </w:tr>
      <w:tr>
        <w:trPr/>
        <w:tc>
          <w:tcPr>
            <w:tcW w:w="5444" w:type="dxa"/>
            <w:tcBorders/>
            <w:shd w:fill="auto" w:val="clear"/>
            <w:vAlign w:val="center"/>
          </w:tcPr>
          <w:p>
            <w:pPr>
              <w:pStyle w:val="TableContents"/>
              <w:spacing w:before="0" w:after="0"/>
              <w:ind w:left="0" w:right="0" w:firstLine="30"/>
              <w:jc w:val="left"/>
              <w:rPr/>
            </w:pPr>
            <w:r>
              <w:rPr/>
              <w:t> </w:t>
            </w:r>
          </w:p>
        </w:tc>
        <w:tc>
          <w:tcPr>
            <w:tcW w:w="4761" w:type="dxa"/>
            <w:gridSpan w:val="15"/>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 except per share amounts)</w:t>
            </w:r>
          </w:p>
        </w:tc>
      </w:tr>
      <w:tr>
        <w:trPr/>
        <w:tc>
          <w:tcPr>
            <w:tcW w:w="5444"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Revenues:</w:t>
            </w:r>
          </w:p>
        </w:tc>
        <w:tc>
          <w:tcPr>
            <w:tcW w:w="1063" w:type="dxa"/>
            <w:gridSpan w:val="3"/>
            <w:tcBorders/>
            <w:shd w:fill="auto" w:val="clear"/>
            <w:vAlign w:val="center"/>
          </w:tcPr>
          <w:p>
            <w:pPr>
              <w:pStyle w:val="TableContents"/>
              <w:spacing w:before="0" w:after="0"/>
              <w:ind w:left="0" w:right="0" w:firstLine="30"/>
              <w:rPr/>
            </w:pPr>
            <w:r>
              <w:rPr/>
              <w:t> </w:t>
            </w:r>
          </w:p>
        </w:tc>
        <w:tc>
          <w:tcPr>
            <w:tcW w:w="115" w:type="dxa"/>
            <w:tcBorders/>
            <w:shd w:fill="auto" w:val="clear"/>
            <w:vAlign w:val="center"/>
          </w:tcPr>
          <w:p>
            <w:pPr>
              <w:pStyle w:val="TableContents"/>
              <w:spacing w:before="0" w:after="0"/>
              <w:ind w:left="0" w:right="0" w:firstLine="30"/>
              <w:rPr/>
            </w:pPr>
            <w:r>
              <w:rPr/>
              <w:t> </w:t>
            </w:r>
          </w:p>
        </w:tc>
        <w:tc>
          <w:tcPr>
            <w:tcW w:w="1063"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2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515" w:type="dxa"/>
            <w:gridSpan w:val="3"/>
            <w:tcBorders/>
            <w:shd w:fill="auto" w:val="clear"/>
            <w:vAlign w:val="center"/>
          </w:tcPr>
          <w:p>
            <w:pPr>
              <w:pStyle w:val="TableContents"/>
              <w:spacing w:before="0" w:after="0"/>
              <w:ind w:left="0" w:right="0" w:firstLine="300"/>
              <w:rPr/>
            </w:pPr>
            <w:r>
              <w:rPr/>
              <w:t> </w:t>
            </w:r>
          </w:p>
        </w:tc>
      </w:tr>
      <w:tr>
        <w:trPr/>
        <w:tc>
          <w:tcPr>
            <w:tcW w:w="5444"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Merchandise sales</w:t>
            </w:r>
          </w:p>
        </w:tc>
        <w:tc>
          <w:tcPr>
            <w:tcW w:w="141"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781" w:type="dxa"/>
            <w:tcBorders/>
            <w:shd w:fill="auto" w:val="clear"/>
            <w:vAlign w:val="center"/>
          </w:tcPr>
          <w:p>
            <w:pPr>
              <w:pStyle w:val="TableContents"/>
              <w:spacing w:before="0" w:after="0"/>
              <w:jc w:val="right"/>
              <w:rPr>
                <w:rFonts w:ascii="inherit" w:hAnsi="inherit"/>
                <w:sz w:val="15"/>
              </w:rPr>
            </w:pPr>
            <w:r>
              <w:rPr>
                <w:rFonts w:ascii="inherit" w:hAnsi="inherit"/>
                <w:sz w:val="15"/>
              </w:rPr>
              <w:t>114,945</w:t>
            </w:r>
          </w:p>
        </w:tc>
        <w:tc>
          <w:tcPr>
            <w:tcW w:w="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41"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781" w:type="dxa"/>
            <w:tcBorders/>
            <w:shd w:fill="auto" w:val="clear"/>
            <w:vAlign w:val="center"/>
          </w:tcPr>
          <w:p>
            <w:pPr>
              <w:pStyle w:val="TableContents"/>
              <w:spacing w:before="0" w:after="0"/>
              <w:jc w:val="right"/>
              <w:rPr>
                <w:rFonts w:ascii="inherit" w:hAnsi="inherit"/>
                <w:sz w:val="15"/>
              </w:rPr>
            </w:pPr>
            <w:r>
              <w:rPr>
                <w:rFonts w:ascii="inherit" w:hAnsi="inherit"/>
                <w:sz w:val="15"/>
              </w:rPr>
              <w:t>110,238</w:t>
            </w:r>
          </w:p>
        </w:tc>
        <w:tc>
          <w:tcPr>
            <w:tcW w:w="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10"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605" w:type="dxa"/>
            <w:tcBorders/>
            <w:shd w:fill="auto" w:val="clear"/>
            <w:vAlign w:val="center"/>
          </w:tcPr>
          <w:p>
            <w:pPr>
              <w:pStyle w:val="TableContents"/>
              <w:spacing w:before="0" w:after="0"/>
              <w:jc w:val="right"/>
              <w:rPr>
                <w:rFonts w:ascii="inherit" w:hAnsi="inherit"/>
                <w:sz w:val="15"/>
              </w:rPr>
            </w:pPr>
            <w:r>
              <w:rPr>
                <w:rFonts w:ascii="inherit" w:hAnsi="inherit"/>
                <w:sz w:val="15"/>
              </w:rPr>
              <w:t>228,533</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10"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605" w:type="dxa"/>
            <w:tcBorders/>
            <w:shd w:fill="auto" w:val="clear"/>
            <w:vAlign w:val="center"/>
          </w:tcPr>
          <w:p>
            <w:pPr>
              <w:pStyle w:val="TableContents"/>
              <w:spacing w:before="0" w:after="0"/>
              <w:jc w:val="right"/>
              <w:rPr>
                <w:rFonts w:ascii="inherit" w:hAnsi="inherit"/>
                <w:sz w:val="15"/>
              </w:rPr>
            </w:pPr>
            <w:r>
              <w:rPr>
                <w:rFonts w:ascii="inherit" w:hAnsi="inherit"/>
                <w:sz w:val="15"/>
              </w:rPr>
              <w:t>221,751</w:t>
            </w:r>
          </w:p>
        </w:tc>
        <w:tc>
          <w:tcPr>
            <w:tcW w:w="800"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444"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Jewelry scrapping sales</w:t>
            </w:r>
          </w:p>
        </w:tc>
        <w:tc>
          <w:tcPr>
            <w:tcW w:w="922"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11,525</w:t>
            </w:r>
          </w:p>
        </w:tc>
        <w:tc>
          <w:tcPr>
            <w:tcW w:w="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922"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10,219</w:t>
            </w:r>
          </w:p>
        </w:tc>
        <w:tc>
          <w:tcPr>
            <w:tcW w:w="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23,738</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20,017</w:t>
            </w:r>
          </w:p>
        </w:tc>
        <w:tc>
          <w:tcPr>
            <w:tcW w:w="800"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444"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Pawn service charges</w:t>
            </w:r>
          </w:p>
        </w:tc>
        <w:tc>
          <w:tcPr>
            <w:tcW w:w="922"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74,367</w:t>
            </w:r>
          </w:p>
        </w:tc>
        <w:tc>
          <w:tcPr>
            <w:tcW w:w="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922"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67,092</w:t>
            </w:r>
          </w:p>
        </w:tc>
        <w:tc>
          <w:tcPr>
            <w:tcW w:w="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150,727</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136,105</w:t>
            </w:r>
          </w:p>
        </w:tc>
        <w:tc>
          <w:tcPr>
            <w:tcW w:w="800"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444"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Other revenues</w:t>
            </w:r>
          </w:p>
        </w:tc>
        <w:tc>
          <w:tcPr>
            <w:tcW w:w="922"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1,897</w:t>
            </w:r>
          </w:p>
        </w:tc>
        <w:tc>
          <w:tcPr>
            <w:tcW w:w="141"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922"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2,079</w:t>
            </w:r>
          </w:p>
        </w:tc>
        <w:tc>
          <w:tcPr>
            <w:tcW w:w="141"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4,244</w:t>
            </w:r>
          </w:p>
        </w:tc>
        <w:tc>
          <w:tcPr>
            <w:tcW w:w="11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4,379</w:t>
            </w:r>
          </w:p>
        </w:tc>
        <w:tc>
          <w:tcPr>
            <w:tcW w:w="800" w:type="dxa"/>
            <w:tcBorders>
              <w:bottom w:val="single" w:sz="2" w:space="0" w:color="000000"/>
            </w:tcBorders>
            <w:shd w:fill="auto" w:val="clear"/>
            <w:tcMar>
              <w:bottom w:w="28" w:type="dxa"/>
            </w:tcMar>
            <w:vAlign w:val="center"/>
          </w:tcPr>
          <w:p>
            <w:pPr>
              <w:pStyle w:val="TableContents"/>
              <w:spacing w:before="0" w:after="0"/>
              <w:ind w:left="0" w:right="0" w:firstLine="540"/>
              <w:jc w:val="left"/>
              <w:rPr>
                <w:rFonts w:ascii="inherit" w:hAnsi="inherit"/>
                <w:sz w:val="17"/>
              </w:rPr>
            </w:pPr>
            <w:r>
              <w:rPr>
                <w:rFonts w:ascii="inherit" w:hAnsi="inherit"/>
                <w:sz w:val="17"/>
              </w:rPr>
            </w:r>
          </w:p>
        </w:tc>
      </w:tr>
      <w:tr>
        <w:trPr/>
        <w:tc>
          <w:tcPr>
            <w:tcW w:w="5444"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Total revenues</w:t>
            </w:r>
          </w:p>
        </w:tc>
        <w:tc>
          <w:tcPr>
            <w:tcW w:w="922"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5"/>
              </w:rPr>
            </w:pPr>
            <w:r>
              <w:rPr>
                <w:rFonts w:ascii="inherit" w:hAnsi="inherit"/>
                <w:sz w:val="15"/>
              </w:rPr>
              <w:t>202,734</w:t>
            </w:r>
          </w:p>
        </w:tc>
        <w:tc>
          <w:tcPr>
            <w:tcW w:w="141"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922"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5"/>
              </w:rPr>
            </w:pPr>
            <w:r>
              <w:rPr>
                <w:rFonts w:ascii="inherit" w:hAnsi="inherit"/>
                <w:sz w:val="15"/>
              </w:rPr>
              <w:t>189,628</w:t>
            </w:r>
          </w:p>
        </w:tc>
        <w:tc>
          <w:tcPr>
            <w:tcW w:w="141"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5"/>
              </w:rPr>
            </w:pPr>
            <w:r>
              <w:rPr>
                <w:rFonts w:ascii="inherit" w:hAnsi="inherit"/>
                <w:sz w:val="15"/>
              </w:rPr>
              <w:t>407,242</w:t>
            </w:r>
          </w:p>
        </w:tc>
        <w:tc>
          <w:tcPr>
            <w:tcW w:w="110"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5"/>
              </w:rPr>
            </w:pPr>
            <w:r>
              <w:rPr>
                <w:rFonts w:ascii="inherit" w:hAnsi="inherit"/>
                <w:sz w:val="15"/>
              </w:rPr>
              <w:t>382,252</w:t>
            </w:r>
          </w:p>
        </w:tc>
        <w:tc>
          <w:tcPr>
            <w:tcW w:w="800"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444"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Merchandise cost of goods sold</w:t>
            </w:r>
          </w:p>
        </w:tc>
        <w:tc>
          <w:tcPr>
            <w:tcW w:w="922"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72,220</w:t>
            </w:r>
          </w:p>
        </w:tc>
        <w:tc>
          <w:tcPr>
            <w:tcW w:w="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922"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70,493</w:t>
            </w:r>
          </w:p>
        </w:tc>
        <w:tc>
          <w:tcPr>
            <w:tcW w:w="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143,387</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142,225</w:t>
            </w:r>
          </w:p>
        </w:tc>
        <w:tc>
          <w:tcPr>
            <w:tcW w:w="8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444"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Jewelry scrapping cost of goods sold</w:t>
            </w:r>
          </w:p>
        </w:tc>
        <w:tc>
          <w:tcPr>
            <w:tcW w:w="922"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9,574</w:t>
            </w:r>
          </w:p>
        </w:tc>
        <w:tc>
          <w:tcPr>
            <w:tcW w:w="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922"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8,841</w:t>
            </w:r>
          </w:p>
        </w:tc>
        <w:tc>
          <w:tcPr>
            <w:tcW w:w="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19,911</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17,185</w:t>
            </w:r>
          </w:p>
        </w:tc>
        <w:tc>
          <w:tcPr>
            <w:tcW w:w="8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444"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Other cost of revenues</w:t>
            </w:r>
          </w:p>
        </w:tc>
        <w:tc>
          <w:tcPr>
            <w:tcW w:w="922"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347</w:t>
            </w:r>
          </w:p>
        </w:tc>
        <w:tc>
          <w:tcPr>
            <w:tcW w:w="141"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922"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397</w:t>
            </w:r>
          </w:p>
        </w:tc>
        <w:tc>
          <w:tcPr>
            <w:tcW w:w="141"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924</w:t>
            </w:r>
          </w:p>
        </w:tc>
        <w:tc>
          <w:tcPr>
            <w:tcW w:w="11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980</w:t>
            </w:r>
          </w:p>
        </w:tc>
        <w:tc>
          <w:tcPr>
            <w:tcW w:w="800" w:type="dxa"/>
            <w:tcBorders>
              <w:bottom w:val="single" w:sz="2" w:space="0" w:color="000000"/>
            </w:tcBorders>
            <w:shd w:fill="auto" w:val="clear"/>
            <w:tcMar>
              <w:bottom w:w="28" w:type="dxa"/>
            </w:tcMar>
            <w:vAlign w:val="center"/>
          </w:tcPr>
          <w:p>
            <w:pPr>
              <w:pStyle w:val="TableContents"/>
              <w:spacing w:before="0" w:after="0"/>
              <w:ind w:left="0" w:right="0" w:firstLine="540"/>
              <w:jc w:val="left"/>
              <w:rPr>
                <w:rFonts w:ascii="inherit" w:hAnsi="inherit"/>
                <w:sz w:val="17"/>
              </w:rPr>
            </w:pPr>
            <w:r>
              <w:rPr>
                <w:rFonts w:ascii="inherit" w:hAnsi="inherit"/>
                <w:sz w:val="17"/>
              </w:rPr>
            </w:r>
          </w:p>
        </w:tc>
      </w:tr>
      <w:tr>
        <w:trPr/>
        <w:tc>
          <w:tcPr>
            <w:tcW w:w="5444"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Net revenues</w:t>
            </w:r>
          </w:p>
        </w:tc>
        <w:tc>
          <w:tcPr>
            <w:tcW w:w="922"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5"/>
              </w:rPr>
            </w:pPr>
            <w:r>
              <w:rPr>
                <w:rFonts w:ascii="inherit" w:hAnsi="inherit"/>
                <w:sz w:val="15"/>
              </w:rPr>
              <w:t>120,593</w:t>
            </w:r>
          </w:p>
        </w:tc>
        <w:tc>
          <w:tcPr>
            <w:tcW w:w="141"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922"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5"/>
              </w:rPr>
            </w:pPr>
            <w:r>
              <w:rPr>
                <w:rFonts w:ascii="inherit" w:hAnsi="inherit"/>
                <w:sz w:val="15"/>
              </w:rPr>
              <w:t>109,897</w:t>
            </w:r>
          </w:p>
        </w:tc>
        <w:tc>
          <w:tcPr>
            <w:tcW w:w="141"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5"/>
              </w:rPr>
            </w:pPr>
            <w:r>
              <w:rPr>
                <w:rFonts w:ascii="inherit" w:hAnsi="inherit"/>
                <w:sz w:val="15"/>
              </w:rPr>
              <w:t>243,020</w:t>
            </w:r>
          </w:p>
        </w:tc>
        <w:tc>
          <w:tcPr>
            <w:tcW w:w="110"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5"/>
              </w:rPr>
            </w:pPr>
            <w:r>
              <w:rPr>
                <w:rFonts w:ascii="inherit" w:hAnsi="inherit"/>
                <w:sz w:val="15"/>
              </w:rPr>
              <w:t>221,862</w:t>
            </w:r>
          </w:p>
        </w:tc>
        <w:tc>
          <w:tcPr>
            <w:tcW w:w="800"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444"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Operating expenses:</w:t>
            </w:r>
          </w:p>
        </w:tc>
        <w:tc>
          <w:tcPr>
            <w:tcW w:w="1063" w:type="dxa"/>
            <w:gridSpan w:val="3"/>
            <w:tcBorders/>
            <w:shd w:fill="auto" w:val="clear"/>
            <w:vAlign w:val="center"/>
          </w:tcPr>
          <w:p>
            <w:pPr>
              <w:pStyle w:val="TableContents"/>
              <w:spacing w:before="0" w:after="0"/>
              <w:ind w:left="0" w:right="0" w:firstLine="30"/>
              <w:rPr/>
            </w:pPr>
            <w:r>
              <w:rPr/>
              <w:t> </w:t>
            </w:r>
          </w:p>
        </w:tc>
        <w:tc>
          <w:tcPr>
            <w:tcW w:w="115" w:type="dxa"/>
            <w:tcBorders/>
            <w:shd w:fill="auto" w:val="clear"/>
            <w:vAlign w:val="center"/>
          </w:tcPr>
          <w:p>
            <w:pPr>
              <w:pStyle w:val="TableContents"/>
              <w:spacing w:before="0" w:after="0"/>
              <w:ind w:left="0" w:right="0" w:firstLine="30"/>
              <w:rPr/>
            </w:pPr>
            <w:r>
              <w:rPr/>
              <w:t> </w:t>
            </w:r>
          </w:p>
        </w:tc>
        <w:tc>
          <w:tcPr>
            <w:tcW w:w="1063"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2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515" w:type="dxa"/>
            <w:gridSpan w:val="3"/>
            <w:tcBorders/>
            <w:shd w:fill="auto" w:val="clear"/>
            <w:vAlign w:val="center"/>
          </w:tcPr>
          <w:p>
            <w:pPr>
              <w:pStyle w:val="TableContents"/>
              <w:spacing w:before="0" w:after="0"/>
              <w:ind w:left="0" w:right="0" w:firstLine="300"/>
              <w:rPr/>
            </w:pPr>
            <w:r>
              <w:rPr/>
              <w:t> </w:t>
            </w:r>
          </w:p>
        </w:tc>
      </w:tr>
      <w:tr>
        <w:trPr/>
        <w:tc>
          <w:tcPr>
            <w:tcW w:w="5444"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Operations</w:t>
            </w:r>
          </w:p>
        </w:tc>
        <w:tc>
          <w:tcPr>
            <w:tcW w:w="922"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82,160</w:t>
            </w:r>
          </w:p>
        </w:tc>
        <w:tc>
          <w:tcPr>
            <w:tcW w:w="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922"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74,460</w:t>
            </w:r>
          </w:p>
        </w:tc>
        <w:tc>
          <w:tcPr>
            <w:tcW w:w="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165,770</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152,106</w:t>
            </w:r>
          </w:p>
        </w:tc>
        <w:tc>
          <w:tcPr>
            <w:tcW w:w="800"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444"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Administrative</w:t>
            </w:r>
          </w:p>
        </w:tc>
        <w:tc>
          <w:tcPr>
            <w:tcW w:w="922"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13,341</w:t>
            </w:r>
          </w:p>
        </w:tc>
        <w:tc>
          <w:tcPr>
            <w:tcW w:w="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922"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13,283</w:t>
            </w:r>
          </w:p>
        </w:tc>
        <w:tc>
          <w:tcPr>
            <w:tcW w:w="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26,659</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27,210</w:t>
            </w:r>
          </w:p>
        </w:tc>
        <w:tc>
          <w:tcPr>
            <w:tcW w:w="800"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444"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Depreciation and amortization</w:t>
            </w:r>
          </w:p>
        </w:tc>
        <w:tc>
          <w:tcPr>
            <w:tcW w:w="922"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6,451</w:t>
            </w:r>
          </w:p>
        </w:tc>
        <w:tc>
          <w:tcPr>
            <w:tcW w:w="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922"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6,030</w:t>
            </w:r>
          </w:p>
        </w:tc>
        <w:tc>
          <w:tcPr>
            <w:tcW w:w="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12,174</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12,403</w:t>
            </w:r>
          </w:p>
        </w:tc>
        <w:tc>
          <w:tcPr>
            <w:tcW w:w="800"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444"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Loss (gain) on sale or disposal of assets</w:t>
            </w:r>
          </w:p>
        </w:tc>
        <w:tc>
          <w:tcPr>
            <w:tcW w:w="922"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100</w:t>
            </w:r>
          </w:p>
        </w:tc>
        <w:tc>
          <w:tcPr>
            <w:tcW w:w="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922"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71</w:t>
            </w:r>
          </w:p>
        </w:tc>
        <w:tc>
          <w:tcPr>
            <w:tcW w:w="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139</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(6</w:t>
            </w:r>
          </w:p>
        </w:tc>
        <w:tc>
          <w:tcPr>
            <w:tcW w:w="800" w:type="dxa"/>
            <w:tcBorders/>
            <w:shd w:fill="auto" w:val="clear"/>
            <w:vAlign w:val="center"/>
          </w:tcPr>
          <w:p>
            <w:pPr>
              <w:pStyle w:val="TableContents"/>
              <w:spacing w:before="0" w:after="0"/>
              <w:ind w:left="0" w:right="0" w:firstLine="540"/>
              <w:jc w:val="left"/>
              <w:rPr>
                <w:rFonts w:ascii="inherit" w:hAnsi="inherit"/>
                <w:sz w:val="15"/>
              </w:rPr>
            </w:pPr>
            <w:r>
              <w:rPr>
                <w:rFonts w:ascii="inherit" w:hAnsi="inherit"/>
                <w:sz w:val="15"/>
              </w:rPr>
              <w:t>)</w:t>
            </w:r>
          </w:p>
        </w:tc>
      </w:tr>
      <w:tr>
        <w:trPr/>
        <w:tc>
          <w:tcPr>
            <w:tcW w:w="5444"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Total operating expenses</w:t>
            </w:r>
          </w:p>
        </w:tc>
        <w:tc>
          <w:tcPr>
            <w:tcW w:w="922"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102,052</w:t>
            </w:r>
          </w:p>
        </w:tc>
        <w:tc>
          <w:tcPr>
            <w:tcW w:w="141"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922"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93,844</w:t>
            </w:r>
          </w:p>
        </w:tc>
        <w:tc>
          <w:tcPr>
            <w:tcW w:w="141"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204,742</w:t>
            </w:r>
          </w:p>
        </w:tc>
        <w:tc>
          <w:tcPr>
            <w:tcW w:w="110"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191,713</w:t>
            </w:r>
          </w:p>
        </w:tc>
        <w:tc>
          <w:tcPr>
            <w:tcW w:w="800"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5444"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Operating income</w:t>
            </w:r>
          </w:p>
        </w:tc>
        <w:tc>
          <w:tcPr>
            <w:tcW w:w="922"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5"/>
              </w:rPr>
            </w:pPr>
            <w:r>
              <w:rPr>
                <w:rFonts w:ascii="inherit" w:hAnsi="inherit"/>
                <w:sz w:val="15"/>
              </w:rPr>
              <w:t>18,541</w:t>
            </w:r>
          </w:p>
        </w:tc>
        <w:tc>
          <w:tcPr>
            <w:tcW w:w="141"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922"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5"/>
              </w:rPr>
            </w:pPr>
            <w:r>
              <w:rPr>
                <w:rFonts w:ascii="inherit" w:hAnsi="inherit"/>
                <w:sz w:val="15"/>
              </w:rPr>
              <w:t>16,053</w:t>
            </w:r>
          </w:p>
        </w:tc>
        <w:tc>
          <w:tcPr>
            <w:tcW w:w="141"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5"/>
              </w:rPr>
            </w:pPr>
            <w:r>
              <w:rPr>
                <w:rFonts w:ascii="inherit" w:hAnsi="inherit"/>
                <w:sz w:val="15"/>
              </w:rPr>
              <w:t>38,278</w:t>
            </w:r>
          </w:p>
        </w:tc>
        <w:tc>
          <w:tcPr>
            <w:tcW w:w="110"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5"/>
              </w:rPr>
            </w:pPr>
            <w:r>
              <w:rPr>
                <w:rFonts w:ascii="inherit" w:hAnsi="inherit"/>
                <w:sz w:val="15"/>
              </w:rPr>
              <w:t>30,149</w:t>
            </w:r>
          </w:p>
        </w:tc>
        <w:tc>
          <w:tcPr>
            <w:tcW w:w="800"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444"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Interest expense</w:t>
            </w:r>
          </w:p>
        </w:tc>
        <w:tc>
          <w:tcPr>
            <w:tcW w:w="922"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5,829</w:t>
            </w:r>
          </w:p>
        </w:tc>
        <w:tc>
          <w:tcPr>
            <w:tcW w:w="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922"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5,628</w:t>
            </w:r>
          </w:p>
        </w:tc>
        <w:tc>
          <w:tcPr>
            <w:tcW w:w="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11,676</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11,193</w:t>
            </w:r>
          </w:p>
        </w:tc>
        <w:tc>
          <w:tcPr>
            <w:tcW w:w="8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444"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Interest income</w:t>
            </w:r>
          </w:p>
        </w:tc>
        <w:tc>
          <w:tcPr>
            <w:tcW w:w="922"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(4,268</w:t>
            </w:r>
          </w:p>
        </w:tc>
        <w:tc>
          <w:tcPr>
            <w:tcW w:w="141"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5" w:type="dxa"/>
            <w:tcBorders/>
            <w:shd w:fill="auto" w:val="clear"/>
            <w:vAlign w:val="center"/>
          </w:tcPr>
          <w:p>
            <w:pPr>
              <w:pStyle w:val="TableContents"/>
              <w:spacing w:before="0" w:after="0"/>
              <w:ind w:left="0" w:right="0" w:firstLine="30"/>
              <w:rPr/>
            </w:pPr>
            <w:r>
              <w:rPr/>
              <w:t> </w:t>
            </w:r>
          </w:p>
        </w:tc>
        <w:tc>
          <w:tcPr>
            <w:tcW w:w="922"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(2,240</w:t>
            </w:r>
          </w:p>
        </w:tc>
        <w:tc>
          <w:tcPr>
            <w:tcW w:w="141"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(8,538</w:t>
            </w:r>
          </w:p>
        </w:tc>
        <w:tc>
          <w:tcPr>
            <w:tcW w:w="11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(4,856</w:t>
            </w:r>
          </w:p>
        </w:tc>
        <w:tc>
          <w:tcPr>
            <w:tcW w:w="80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r>
      <w:tr>
        <w:trPr/>
        <w:tc>
          <w:tcPr>
            <w:tcW w:w="5444"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Equity in net income of unconsolidated affiliate</w:t>
            </w:r>
          </w:p>
        </w:tc>
        <w:tc>
          <w:tcPr>
            <w:tcW w:w="922"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(876</w:t>
            </w:r>
          </w:p>
        </w:tc>
        <w:tc>
          <w:tcPr>
            <w:tcW w:w="141"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5" w:type="dxa"/>
            <w:tcBorders/>
            <w:shd w:fill="auto" w:val="clear"/>
            <w:vAlign w:val="center"/>
          </w:tcPr>
          <w:p>
            <w:pPr>
              <w:pStyle w:val="TableContents"/>
              <w:spacing w:before="0" w:after="0"/>
              <w:ind w:left="0" w:right="0" w:firstLine="30"/>
              <w:rPr/>
            </w:pPr>
            <w:r>
              <w:rPr/>
              <w:t> </w:t>
            </w:r>
          </w:p>
        </w:tc>
        <w:tc>
          <w:tcPr>
            <w:tcW w:w="922"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(1,243</w:t>
            </w:r>
          </w:p>
        </w:tc>
        <w:tc>
          <w:tcPr>
            <w:tcW w:w="141"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(2,326</w:t>
            </w:r>
          </w:p>
        </w:tc>
        <w:tc>
          <w:tcPr>
            <w:tcW w:w="11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(2,721</w:t>
            </w:r>
          </w:p>
        </w:tc>
        <w:tc>
          <w:tcPr>
            <w:tcW w:w="80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r>
      <w:tr>
        <w:trPr/>
        <w:tc>
          <w:tcPr>
            <w:tcW w:w="5444"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Other (income) expense</w:t>
            </w:r>
          </w:p>
        </w:tc>
        <w:tc>
          <w:tcPr>
            <w:tcW w:w="922"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(4</w:t>
            </w:r>
          </w:p>
        </w:tc>
        <w:tc>
          <w:tcPr>
            <w:tcW w:w="141"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5" w:type="dxa"/>
            <w:tcBorders/>
            <w:shd w:fill="auto" w:val="clear"/>
            <w:vAlign w:val="center"/>
          </w:tcPr>
          <w:p>
            <w:pPr>
              <w:pStyle w:val="TableContents"/>
              <w:spacing w:before="0" w:after="0"/>
              <w:ind w:left="0" w:right="0" w:firstLine="30"/>
              <w:rPr/>
            </w:pPr>
            <w:r>
              <w:rPr/>
              <w:t> </w:t>
            </w:r>
          </w:p>
        </w:tc>
        <w:tc>
          <w:tcPr>
            <w:tcW w:w="922"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228</w:t>
            </w:r>
          </w:p>
        </w:tc>
        <w:tc>
          <w:tcPr>
            <w:tcW w:w="141"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(186</w:t>
            </w:r>
          </w:p>
        </w:tc>
        <w:tc>
          <w:tcPr>
            <w:tcW w:w="11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(195</w:t>
            </w:r>
          </w:p>
        </w:tc>
        <w:tc>
          <w:tcPr>
            <w:tcW w:w="80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r>
      <w:tr>
        <w:trPr/>
        <w:tc>
          <w:tcPr>
            <w:tcW w:w="5444"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Income from continuing operations before income taxes</w:t>
            </w:r>
          </w:p>
        </w:tc>
        <w:tc>
          <w:tcPr>
            <w:tcW w:w="922"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5"/>
              </w:rPr>
            </w:pPr>
            <w:r>
              <w:rPr>
                <w:rFonts w:ascii="inherit" w:hAnsi="inherit"/>
                <w:sz w:val="15"/>
              </w:rPr>
              <w:t>17,860</w:t>
            </w:r>
          </w:p>
        </w:tc>
        <w:tc>
          <w:tcPr>
            <w:tcW w:w="141"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922"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5"/>
              </w:rPr>
            </w:pPr>
            <w:r>
              <w:rPr>
                <w:rFonts w:ascii="inherit" w:hAnsi="inherit"/>
                <w:sz w:val="15"/>
              </w:rPr>
              <w:t>13,680</w:t>
            </w:r>
          </w:p>
        </w:tc>
        <w:tc>
          <w:tcPr>
            <w:tcW w:w="141"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5"/>
              </w:rPr>
            </w:pPr>
            <w:r>
              <w:rPr>
                <w:rFonts w:ascii="inherit" w:hAnsi="inherit"/>
                <w:sz w:val="15"/>
              </w:rPr>
              <w:t>37,652</w:t>
            </w:r>
          </w:p>
        </w:tc>
        <w:tc>
          <w:tcPr>
            <w:tcW w:w="110"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5"/>
              </w:rPr>
            </w:pPr>
            <w:r>
              <w:rPr>
                <w:rFonts w:ascii="inherit" w:hAnsi="inherit"/>
                <w:sz w:val="15"/>
              </w:rPr>
              <w:t>26,728</w:t>
            </w:r>
          </w:p>
        </w:tc>
        <w:tc>
          <w:tcPr>
            <w:tcW w:w="800"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444"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Income tax expense</w:t>
            </w:r>
          </w:p>
        </w:tc>
        <w:tc>
          <w:tcPr>
            <w:tcW w:w="922"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5,921</w:t>
            </w:r>
          </w:p>
        </w:tc>
        <w:tc>
          <w:tcPr>
            <w:tcW w:w="141"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922"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5,449</w:t>
            </w:r>
          </w:p>
        </w:tc>
        <w:tc>
          <w:tcPr>
            <w:tcW w:w="141"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13,358</w:t>
            </w:r>
          </w:p>
        </w:tc>
        <w:tc>
          <w:tcPr>
            <w:tcW w:w="11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10,231</w:t>
            </w:r>
          </w:p>
        </w:tc>
        <w:tc>
          <w:tcPr>
            <w:tcW w:w="80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444"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Income from continuing operations, net of tax</w:t>
            </w:r>
          </w:p>
        </w:tc>
        <w:tc>
          <w:tcPr>
            <w:tcW w:w="922"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5"/>
              </w:rPr>
            </w:pPr>
            <w:r>
              <w:rPr>
                <w:rFonts w:ascii="inherit" w:hAnsi="inherit"/>
                <w:sz w:val="15"/>
              </w:rPr>
              <w:t>11,939</w:t>
            </w:r>
          </w:p>
        </w:tc>
        <w:tc>
          <w:tcPr>
            <w:tcW w:w="141"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922"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5"/>
              </w:rPr>
            </w:pPr>
            <w:r>
              <w:rPr>
                <w:rFonts w:ascii="inherit" w:hAnsi="inherit"/>
                <w:sz w:val="15"/>
              </w:rPr>
              <w:t>8,231</w:t>
            </w:r>
          </w:p>
        </w:tc>
        <w:tc>
          <w:tcPr>
            <w:tcW w:w="141"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5"/>
              </w:rPr>
            </w:pPr>
            <w:r>
              <w:rPr>
                <w:rFonts w:ascii="inherit" w:hAnsi="inherit"/>
                <w:sz w:val="15"/>
              </w:rPr>
              <w:t>24,294</w:t>
            </w:r>
          </w:p>
        </w:tc>
        <w:tc>
          <w:tcPr>
            <w:tcW w:w="110"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5"/>
              </w:rPr>
            </w:pPr>
            <w:r>
              <w:rPr>
                <w:rFonts w:ascii="inherit" w:hAnsi="inherit"/>
                <w:sz w:val="15"/>
              </w:rPr>
              <w:t>16,497</w:t>
            </w:r>
          </w:p>
        </w:tc>
        <w:tc>
          <w:tcPr>
            <w:tcW w:w="800"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444"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Loss from discontinued operations, net of tax</w:t>
            </w:r>
          </w:p>
        </w:tc>
        <w:tc>
          <w:tcPr>
            <w:tcW w:w="922"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(500</w:t>
            </w:r>
          </w:p>
        </w:tc>
        <w:tc>
          <w:tcPr>
            <w:tcW w:w="141"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5" w:type="dxa"/>
            <w:tcBorders/>
            <w:shd w:fill="auto" w:val="clear"/>
            <w:vAlign w:val="center"/>
          </w:tcPr>
          <w:p>
            <w:pPr>
              <w:pStyle w:val="TableContents"/>
              <w:spacing w:before="0" w:after="0"/>
              <w:ind w:left="0" w:right="0" w:firstLine="30"/>
              <w:rPr/>
            </w:pPr>
            <w:r>
              <w:rPr/>
              <w:t> </w:t>
            </w:r>
          </w:p>
        </w:tc>
        <w:tc>
          <w:tcPr>
            <w:tcW w:w="922"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(375</w:t>
            </w:r>
          </w:p>
        </w:tc>
        <w:tc>
          <w:tcPr>
            <w:tcW w:w="141"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(722</w:t>
            </w:r>
          </w:p>
        </w:tc>
        <w:tc>
          <w:tcPr>
            <w:tcW w:w="11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(1,603</w:t>
            </w:r>
          </w:p>
        </w:tc>
        <w:tc>
          <w:tcPr>
            <w:tcW w:w="80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r>
      <w:tr>
        <w:trPr/>
        <w:tc>
          <w:tcPr>
            <w:tcW w:w="5444"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Net income</w:t>
            </w:r>
          </w:p>
        </w:tc>
        <w:tc>
          <w:tcPr>
            <w:tcW w:w="922"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5"/>
              </w:rPr>
            </w:pPr>
            <w:r>
              <w:rPr>
                <w:rFonts w:ascii="inherit" w:hAnsi="inherit"/>
                <w:sz w:val="15"/>
              </w:rPr>
              <w:t>11,439</w:t>
            </w:r>
          </w:p>
        </w:tc>
        <w:tc>
          <w:tcPr>
            <w:tcW w:w="141"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922"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5"/>
              </w:rPr>
            </w:pPr>
            <w:r>
              <w:rPr>
                <w:rFonts w:ascii="inherit" w:hAnsi="inherit"/>
                <w:sz w:val="15"/>
              </w:rPr>
              <w:t>7,856</w:t>
            </w:r>
          </w:p>
        </w:tc>
        <w:tc>
          <w:tcPr>
            <w:tcW w:w="141"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5"/>
              </w:rPr>
            </w:pPr>
            <w:r>
              <w:rPr>
                <w:rFonts w:ascii="inherit" w:hAnsi="inherit"/>
                <w:sz w:val="15"/>
              </w:rPr>
              <w:t>23,572</w:t>
            </w:r>
          </w:p>
        </w:tc>
        <w:tc>
          <w:tcPr>
            <w:tcW w:w="110"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5"/>
              </w:rPr>
            </w:pPr>
            <w:r>
              <w:rPr>
                <w:rFonts w:ascii="inherit" w:hAnsi="inherit"/>
                <w:sz w:val="15"/>
              </w:rPr>
              <w:t>14,894</w:t>
            </w:r>
          </w:p>
        </w:tc>
        <w:tc>
          <w:tcPr>
            <w:tcW w:w="800"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444"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Net loss attributable to noncontrolling interest</w:t>
            </w:r>
          </w:p>
        </w:tc>
        <w:tc>
          <w:tcPr>
            <w:tcW w:w="922"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(374</w:t>
            </w:r>
          </w:p>
        </w:tc>
        <w:tc>
          <w:tcPr>
            <w:tcW w:w="141"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5" w:type="dxa"/>
            <w:tcBorders/>
            <w:shd w:fill="auto" w:val="clear"/>
            <w:vAlign w:val="center"/>
          </w:tcPr>
          <w:p>
            <w:pPr>
              <w:pStyle w:val="TableContents"/>
              <w:spacing w:before="0" w:after="0"/>
              <w:ind w:left="0" w:right="0" w:firstLine="30"/>
              <w:rPr/>
            </w:pPr>
            <w:r>
              <w:rPr/>
              <w:t> </w:t>
            </w:r>
          </w:p>
        </w:tc>
        <w:tc>
          <w:tcPr>
            <w:tcW w:w="922"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(167</w:t>
            </w:r>
          </w:p>
        </w:tc>
        <w:tc>
          <w:tcPr>
            <w:tcW w:w="141"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(989</w:t>
            </w:r>
          </w:p>
        </w:tc>
        <w:tc>
          <w:tcPr>
            <w:tcW w:w="11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(294</w:t>
            </w:r>
          </w:p>
        </w:tc>
        <w:tc>
          <w:tcPr>
            <w:tcW w:w="80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r>
      <w:tr>
        <w:trPr/>
        <w:tc>
          <w:tcPr>
            <w:tcW w:w="5444"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Net income attributable to EZCORP, Inc.</w:t>
            </w:r>
          </w:p>
        </w:tc>
        <w:tc>
          <w:tcPr>
            <w:tcW w:w="14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78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11,813</w:t>
            </w:r>
          </w:p>
        </w:tc>
        <w:tc>
          <w:tcPr>
            <w:tcW w:w="141"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4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78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8,023</w:t>
            </w:r>
          </w:p>
        </w:tc>
        <w:tc>
          <w:tcPr>
            <w:tcW w:w="141"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1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60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24,561</w:t>
            </w:r>
          </w:p>
        </w:tc>
        <w:tc>
          <w:tcPr>
            <w:tcW w:w="110"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1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60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15,188</w:t>
            </w:r>
          </w:p>
        </w:tc>
        <w:tc>
          <w:tcPr>
            <w:tcW w:w="800"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444" w:type="dxa"/>
            <w:tcBorders/>
            <w:shd w:fill="auto" w:val="clear"/>
            <w:vAlign w:val="center"/>
          </w:tcPr>
          <w:p>
            <w:pPr>
              <w:pStyle w:val="TableContents"/>
              <w:spacing w:before="0" w:after="0"/>
              <w:ind w:left="0" w:right="0" w:firstLine="30"/>
              <w:rPr/>
            </w:pPr>
            <w:r>
              <w:rPr/>
              <w:t> </w:t>
            </w:r>
          </w:p>
        </w:tc>
        <w:tc>
          <w:tcPr>
            <w:tcW w:w="1063" w:type="dxa"/>
            <w:gridSpan w:val="3"/>
            <w:tcBorders/>
            <w:shd w:fill="auto" w:val="clear"/>
            <w:vAlign w:val="center"/>
          </w:tcPr>
          <w:p>
            <w:pPr>
              <w:pStyle w:val="TableContents"/>
              <w:spacing w:before="0" w:after="0"/>
              <w:ind w:left="0" w:right="0" w:firstLine="30"/>
              <w:rPr/>
            </w:pPr>
            <w:r>
              <w:rPr/>
              <w:t> </w:t>
            </w:r>
          </w:p>
        </w:tc>
        <w:tc>
          <w:tcPr>
            <w:tcW w:w="115" w:type="dxa"/>
            <w:tcBorders/>
            <w:shd w:fill="auto" w:val="clear"/>
            <w:vAlign w:val="center"/>
          </w:tcPr>
          <w:p>
            <w:pPr>
              <w:pStyle w:val="TableContents"/>
              <w:spacing w:before="0" w:after="0"/>
              <w:ind w:left="0" w:right="0" w:firstLine="30"/>
              <w:rPr/>
            </w:pPr>
            <w:r>
              <w:rPr/>
              <w:t> </w:t>
            </w:r>
          </w:p>
        </w:tc>
        <w:tc>
          <w:tcPr>
            <w:tcW w:w="1063"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2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515" w:type="dxa"/>
            <w:gridSpan w:val="3"/>
            <w:tcBorders/>
            <w:shd w:fill="auto" w:val="clear"/>
            <w:vAlign w:val="center"/>
          </w:tcPr>
          <w:p>
            <w:pPr>
              <w:pStyle w:val="TableContents"/>
              <w:spacing w:before="0" w:after="0"/>
              <w:ind w:left="0" w:right="0" w:firstLine="30"/>
              <w:rPr/>
            </w:pPr>
            <w:r>
              <w:rPr/>
              <w:t> </w:t>
            </w:r>
          </w:p>
        </w:tc>
      </w:tr>
      <w:tr>
        <w:trPr/>
        <w:tc>
          <w:tcPr>
            <w:tcW w:w="5444"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Basic earnings per share attributable to EZCORP, Inc. — continuing operations</w:t>
            </w:r>
          </w:p>
        </w:tc>
        <w:tc>
          <w:tcPr>
            <w:tcW w:w="141"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781" w:type="dxa"/>
            <w:tcBorders/>
            <w:shd w:fill="auto" w:val="clear"/>
            <w:vAlign w:val="center"/>
          </w:tcPr>
          <w:p>
            <w:pPr>
              <w:pStyle w:val="TableContents"/>
              <w:spacing w:before="0" w:after="0"/>
              <w:jc w:val="right"/>
              <w:rPr>
                <w:rFonts w:ascii="inherit" w:hAnsi="inherit"/>
                <w:sz w:val="15"/>
              </w:rPr>
            </w:pPr>
            <w:r>
              <w:rPr>
                <w:rFonts w:ascii="inherit" w:hAnsi="inherit"/>
                <w:sz w:val="15"/>
              </w:rPr>
              <w:t>0.23</w:t>
            </w:r>
          </w:p>
        </w:tc>
        <w:tc>
          <w:tcPr>
            <w:tcW w:w="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41"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781" w:type="dxa"/>
            <w:tcBorders/>
            <w:shd w:fill="auto" w:val="clear"/>
            <w:vAlign w:val="center"/>
          </w:tcPr>
          <w:p>
            <w:pPr>
              <w:pStyle w:val="TableContents"/>
              <w:spacing w:before="0" w:after="0"/>
              <w:jc w:val="right"/>
              <w:rPr>
                <w:rFonts w:ascii="inherit" w:hAnsi="inherit"/>
                <w:sz w:val="15"/>
              </w:rPr>
            </w:pPr>
            <w:r>
              <w:rPr>
                <w:rFonts w:ascii="inherit" w:hAnsi="inherit"/>
                <w:sz w:val="15"/>
              </w:rPr>
              <w:t>0.15</w:t>
            </w:r>
          </w:p>
        </w:tc>
        <w:tc>
          <w:tcPr>
            <w:tcW w:w="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10"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605" w:type="dxa"/>
            <w:tcBorders/>
            <w:shd w:fill="auto" w:val="clear"/>
            <w:vAlign w:val="center"/>
          </w:tcPr>
          <w:p>
            <w:pPr>
              <w:pStyle w:val="TableContents"/>
              <w:spacing w:before="0" w:after="0"/>
              <w:jc w:val="right"/>
              <w:rPr>
                <w:rFonts w:ascii="inherit" w:hAnsi="inherit"/>
                <w:sz w:val="15"/>
              </w:rPr>
            </w:pPr>
            <w:r>
              <w:rPr>
                <w:rFonts w:ascii="inherit" w:hAnsi="inherit"/>
                <w:sz w:val="15"/>
              </w:rPr>
              <w:t>0.46</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10"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605" w:type="dxa"/>
            <w:tcBorders/>
            <w:shd w:fill="auto" w:val="clear"/>
            <w:vAlign w:val="center"/>
          </w:tcPr>
          <w:p>
            <w:pPr>
              <w:pStyle w:val="TableContents"/>
              <w:spacing w:before="0" w:after="0"/>
              <w:jc w:val="right"/>
              <w:rPr>
                <w:rFonts w:ascii="inherit" w:hAnsi="inherit"/>
                <w:sz w:val="15"/>
              </w:rPr>
            </w:pPr>
            <w:r>
              <w:rPr>
                <w:rFonts w:ascii="inherit" w:hAnsi="inherit"/>
                <w:sz w:val="15"/>
              </w:rPr>
              <w:t>0.31</w:t>
            </w:r>
          </w:p>
        </w:tc>
        <w:tc>
          <w:tcPr>
            <w:tcW w:w="8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444"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Diluted earnings per share attributable to EZCORP, Inc. — continuing operations</w:t>
            </w:r>
          </w:p>
        </w:tc>
        <w:tc>
          <w:tcPr>
            <w:tcW w:w="141"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781" w:type="dxa"/>
            <w:tcBorders/>
            <w:shd w:fill="auto" w:val="clear"/>
            <w:vAlign w:val="center"/>
          </w:tcPr>
          <w:p>
            <w:pPr>
              <w:pStyle w:val="TableContents"/>
              <w:spacing w:before="0" w:after="0"/>
              <w:jc w:val="right"/>
              <w:rPr>
                <w:rFonts w:ascii="inherit" w:hAnsi="inherit"/>
                <w:sz w:val="15"/>
              </w:rPr>
            </w:pPr>
            <w:r>
              <w:rPr>
                <w:rFonts w:ascii="inherit" w:hAnsi="inherit"/>
                <w:sz w:val="15"/>
              </w:rPr>
              <w:t>0.21</w:t>
            </w:r>
          </w:p>
        </w:tc>
        <w:tc>
          <w:tcPr>
            <w:tcW w:w="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41"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781" w:type="dxa"/>
            <w:tcBorders/>
            <w:shd w:fill="auto" w:val="clear"/>
            <w:vAlign w:val="center"/>
          </w:tcPr>
          <w:p>
            <w:pPr>
              <w:pStyle w:val="TableContents"/>
              <w:spacing w:before="0" w:after="0"/>
              <w:jc w:val="right"/>
              <w:rPr>
                <w:rFonts w:ascii="inherit" w:hAnsi="inherit"/>
                <w:sz w:val="15"/>
              </w:rPr>
            </w:pPr>
            <w:r>
              <w:rPr>
                <w:rFonts w:ascii="inherit" w:hAnsi="inherit"/>
                <w:sz w:val="15"/>
              </w:rPr>
              <w:t>0.15</w:t>
            </w:r>
          </w:p>
        </w:tc>
        <w:tc>
          <w:tcPr>
            <w:tcW w:w="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10"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605" w:type="dxa"/>
            <w:tcBorders/>
            <w:shd w:fill="auto" w:val="clear"/>
            <w:vAlign w:val="center"/>
          </w:tcPr>
          <w:p>
            <w:pPr>
              <w:pStyle w:val="TableContents"/>
              <w:spacing w:before="0" w:after="0"/>
              <w:jc w:val="right"/>
              <w:rPr>
                <w:rFonts w:ascii="inherit" w:hAnsi="inherit"/>
                <w:sz w:val="15"/>
              </w:rPr>
            </w:pPr>
            <w:r>
              <w:rPr>
                <w:rFonts w:ascii="inherit" w:hAnsi="inherit"/>
                <w:sz w:val="15"/>
              </w:rPr>
              <w:t>0.45</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10"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605" w:type="dxa"/>
            <w:tcBorders/>
            <w:shd w:fill="auto" w:val="clear"/>
            <w:vAlign w:val="center"/>
          </w:tcPr>
          <w:p>
            <w:pPr>
              <w:pStyle w:val="TableContents"/>
              <w:spacing w:before="0" w:after="0"/>
              <w:jc w:val="right"/>
              <w:rPr>
                <w:rFonts w:ascii="inherit" w:hAnsi="inherit"/>
                <w:sz w:val="15"/>
              </w:rPr>
            </w:pPr>
            <w:r>
              <w:rPr>
                <w:rFonts w:ascii="inherit" w:hAnsi="inherit"/>
                <w:sz w:val="15"/>
              </w:rPr>
              <w:t>0.31</w:t>
            </w:r>
          </w:p>
        </w:tc>
        <w:tc>
          <w:tcPr>
            <w:tcW w:w="8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444" w:type="dxa"/>
            <w:tcBorders/>
            <w:shd w:fill="auto" w:val="clear"/>
            <w:vAlign w:val="center"/>
          </w:tcPr>
          <w:p>
            <w:pPr>
              <w:pStyle w:val="TableContents"/>
              <w:spacing w:before="0" w:after="0"/>
              <w:ind w:left="0" w:right="0" w:firstLine="30"/>
              <w:rPr/>
            </w:pPr>
            <w:r>
              <w:rPr/>
              <w:t> </w:t>
            </w:r>
          </w:p>
        </w:tc>
        <w:tc>
          <w:tcPr>
            <w:tcW w:w="1063" w:type="dxa"/>
            <w:gridSpan w:val="3"/>
            <w:tcBorders/>
            <w:shd w:fill="auto" w:val="clear"/>
            <w:vAlign w:val="center"/>
          </w:tcPr>
          <w:p>
            <w:pPr>
              <w:pStyle w:val="TableContents"/>
              <w:spacing w:before="0" w:after="0"/>
              <w:ind w:left="0" w:right="0" w:firstLine="30"/>
              <w:rPr/>
            </w:pPr>
            <w:r>
              <w:rPr/>
              <w:t> </w:t>
            </w:r>
          </w:p>
        </w:tc>
        <w:tc>
          <w:tcPr>
            <w:tcW w:w="115" w:type="dxa"/>
            <w:tcBorders/>
            <w:shd w:fill="auto" w:val="clear"/>
            <w:vAlign w:val="center"/>
          </w:tcPr>
          <w:p>
            <w:pPr>
              <w:pStyle w:val="TableContents"/>
              <w:spacing w:before="0" w:after="0"/>
              <w:ind w:left="0" w:right="0" w:firstLine="30"/>
              <w:rPr/>
            </w:pPr>
            <w:r>
              <w:rPr/>
              <w:t> </w:t>
            </w:r>
          </w:p>
        </w:tc>
        <w:tc>
          <w:tcPr>
            <w:tcW w:w="1063"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2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515" w:type="dxa"/>
            <w:gridSpan w:val="3"/>
            <w:tcBorders/>
            <w:shd w:fill="auto" w:val="clear"/>
            <w:vAlign w:val="center"/>
          </w:tcPr>
          <w:p>
            <w:pPr>
              <w:pStyle w:val="TableContents"/>
              <w:spacing w:before="0" w:after="0"/>
              <w:ind w:left="0" w:right="0" w:firstLine="30"/>
              <w:rPr/>
            </w:pPr>
            <w:r>
              <w:rPr/>
              <w:t> </w:t>
            </w:r>
          </w:p>
        </w:tc>
      </w:tr>
      <w:tr>
        <w:trPr/>
        <w:tc>
          <w:tcPr>
            <w:tcW w:w="5444"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Weighted-average basic shares outstanding</w:t>
            </w:r>
          </w:p>
        </w:tc>
        <w:tc>
          <w:tcPr>
            <w:tcW w:w="922"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54,464</w:t>
            </w:r>
          </w:p>
        </w:tc>
        <w:tc>
          <w:tcPr>
            <w:tcW w:w="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922"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54,291</w:t>
            </w:r>
          </w:p>
        </w:tc>
        <w:tc>
          <w:tcPr>
            <w:tcW w:w="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54,447</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54,224</w:t>
            </w:r>
          </w:p>
        </w:tc>
        <w:tc>
          <w:tcPr>
            <w:tcW w:w="8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444"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Weighted-average diluted shares outstanding</w:t>
            </w:r>
          </w:p>
        </w:tc>
        <w:tc>
          <w:tcPr>
            <w:tcW w:w="922"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57,624</w:t>
            </w:r>
          </w:p>
        </w:tc>
        <w:tc>
          <w:tcPr>
            <w:tcW w:w="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922"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54,346</w:t>
            </w:r>
          </w:p>
        </w:tc>
        <w:tc>
          <w:tcPr>
            <w:tcW w:w="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56,642</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54,278</w:t>
            </w:r>
          </w:p>
        </w:tc>
        <w:tc>
          <w:tcPr>
            <w:tcW w:w="800" w:type="dxa"/>
            <w:tcBorders/>
            <w:shd w:fill="auto"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rPr/>
      </w:pPr>
      <w:r>
        <w:rPr/>
      </w:r>
      <w:r>
        <w:br w:type="page"/>
      </w:r>
    </w:p>
    <w:p>
      <w:pPr>
        <w:pStyle w:val="TextBody"/>
        <w:spacing w:lineRule="auto" w:line="288" w:before="0" w:after="0"/>
        <w:rPr>
          <w:rFonts w:ascii="inherit" w:hAnsi="inherit"/>
          <w:sz w:val="17"/>
        </w:rPr>
      </w:pPr>
      <w:r>
        <w:rPr>
          <w:rFonts w:ascii="inherit" w:hAnsi="inherit"/>
          <w:sz w:val="17"/>
        </w:rPr>
      </w:r>
      <w:bookmarkStart w:id="29" w:name="s26763285245A5BFDBB5F255B31B8FB19"/>
      <w:bookmarkStart w:id="30" w:name="s26763285245A5BFDBB5F255B31B8FB19"/>
      <w:bookmarkEnd w:id="30"/>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6515"/>
        <w:gridCol w:w="110"/>
        <w:gridCol w:w="740"/>
        <w:gridCol w:w="110"/>
        <w:gridCol w:w="90"/>
        <w:gridCol w:w="110"/>
        <w:gridCol w:w="605"/>
        <w:gridCol w:w="110"/>
        <w:gridCol w:w="90"/>
        <w:gridCol w:w="110"/>
        <w:gridCol w:w="740"/>
        <w:gridCol w:w="875"/>
      </w:tblGrid>
      <w:tr>
        <w:trPr/>
        <w:tc>
          <w:tcPr>
            <w:tcW w:w="10205" w:type="dxa"/>
            <w:gridSpan w:val="12"/>
            <w:tcBorders/>
            <w:shd w:fill="auto" w:val="clear"/>
            <w:vAlign w:val="center"/>
          </w:tcPr>
          <w:p>
            <w:pPr>
              <w:pStyle w:val="TableContents"/>
              <w:spacing w:lineRule="auto" w:line="288" w:before="0" w:after="0"/>
              <w:jc w:val="center"/>
              <w:rPr>
                <w:rFonts w:ascii="inherit" w:hAnsi="inherit"/>
                <w:b/>
                <w:sz w:val="15"/>
              </w:rPr>
            </w:pPr>
            <w:r>
              <w:rPr>
                <w:rFonts w:ascii="inherit" w:hAnsi="inherit"/>
                <w:b/>
                <w:sz w:val="15"/>
              </w:rPr>
              <w:t xml:space="preserve">EZCORP, Inc. </w:t>
            </w:r>
          </w:p>
          <w:p>
            <w:pPr>
              <w:pStyle w:val="TableContents"/>
              <w:spacing w:lineRule="auto" w:line="288" w:before="0" w:after="0"/>
              <w:jc w:val="center"/>
              <w:rPr>
                <w:rFonts w:ascii="inherit" w:hAnsi="inherit"/>
                <w:b/>
                <w:sz w:val="15"/>
              </w:rPr>
            </w:pPr>
            <w:r>
              <w:rPr>
                <w:rFonts w:ascii="inherit" w:hAnsi="inherit"/>
                <w:b/>
                <w:sz w:val="15"/>
              </w:rPr>
              <w:t>CONDENSED CONSOLIDATED BALANCE SHEETS</w:t>
            </w:r>
          </w:p>
          <w:p>
            <w:pPr>
              <w:pStyle w:val="TableContents"/>
              <w:spacing w:lineRule="auto" w:line="288" w:before="0" w:after="0"/>
              <w:jc w:val="center"/>
              <w:rPr>
                <w:rFonts w:ascii="inherit" w:hAnsi="inherit"/>
                <w:i/>
                <w:sz w:val="15"/>
              </w:rPr>
            </w:pPr>
            <w:r>
              <w:rPr>
                <w:rFonts w:ascii="inherit" w:hAnsi="inherit"/>
                <w:i/>
                <w:sz w:val="15"/>
              </w:rPr>
              <w:t>(in thousands, except share and per share amounts)</w:t>
            </w:r>
          </w:p>
        </w:tc>
      </w:tr>
      <w:tr>
        <w:trPr/>
        <w:tc>
          <w:tcPr>
            <w:tcW w:w="6515"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515" w:type="dxa"/>
            <w:tcBorders/>
            <w:shd w:fill="auto" w:val="clear"/>
            <w:vAlign w:val="center"/>
          </w:tcPr>
          <w:p>
            <w:pPr>
              <w:pStyle w:val="TableContents"/>
              <w:spacing w:before="0" w:after="0"/>
              <w:ind w:left="0" w:right="0" w:firstLine="30"/>
              <w:rPr/>
            </w:pPr>
            <w:r>
              <w:rPr/>
              <w:t> </w:t>
            </w:r>
          </w:p>
        </w:tc>
        <w:tc>
          <w:tcPr>
            <w:tcW w:w="96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2"/>
              </w:rPr>
            </w:pPr>
            <w:r>
              <w:rPr>
                <w:rFonts w:ascii="inherit" w:hAnsi="inherit"/>
                <w:b/>
                <w:sz w:val="12"/>
              </w:rPr>
              <w:t xml:space="preserve">March 31, </w:t>
              <w:br/>
              <w:t>2018</w:t>
            </w:r>
          </w:p>
        </w:tc>
        <w:tc>
          <w:tcPr>
            <w:tcW w:w="90" w:type="dxa"/>
            <w:tcBorders/>
            <w:shd w:fill="auto" w:val="clear"/>
            <w:vAlign w:val="center"/>
          </w:tcPr>
          <w:p>
            <w:pPr>
              <w:pStyle w:val="TableContents"/>
              <w:spacing w:before="0" w:after="0"/>
              <w:ind w:left="0" w:right="0" w:firstLine="30"/>
              <w:rPr/>
            </w:pPr>
            <w:r>
              <w:rPr/>
              <w:t> </w:t>
            </w:r>
          </w:p>
        </w:tc>
        <w:tc>
          <w:tcPr>
            <w:tcW w:w="82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2"/>
              </w:rPr>
            </w:pPr>
            <w:r>
              <w:rPr>
                <w:rFonts w:ascii="inherit" w:hAnsi="inherit"/>
                <w:b/>
                <w:sz w:val="12"/>
              </w:rPr>
              <w:t xml:space="preserve">March 31, </w:t>
              <w:br/>
              <w:t>2017</w:t>
            </w:r>
          </w:p>
        </w:tc>
        <w:tc>
          <w:tcPr>
            <w:tcW w:w="90" w:type="dxa"/>
            <w:tcBorders/>
            <w:shd w:fill="auto" w:val="clear"/>
            <w:vAlign w:val="center"/>
          </w:tcPr>
          <w:p>
            <w:pPr>
              <w:pStyle w:val="TableContents"/>
              <w:spacing w:before="0" w:after="0"/>
              <w:ind w:left="0" w:right="0" w:firstLine="30"/>
              <w:rPr/>
            </w:pPr>
            <w:r>
              <w:rPr/>
              <w:t> </w:t>
            </w:r>
          </w:p>
        </w:tc>
        <w:tc>
          <w:tcPr>
            <w:tcW w:w="172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2"/>
              </w:rPr>
            </w:pPr>
            <w:r>
              <w:rPr>
                <w:rFonts w:ascii="inherit" w:hAnsi="inherit"/>
                <w:b/>
                <w:sz w:val="12"/>
              </w:rPr>
              <w:t xml:space="preserve">September 30, </w:t>
              <w:br/>
              <w:t>2017</w:t>
            </w:r>
          </w:p>
        </w:tc>
      </w:tr>
      <w:tr>
        <w:trPr/>
        <w:tc>
          <w:tcPr>
            <w:tcW w:w="6515" w:type="dxa"/>
            <w:tcBorders/>
            <w:shd w:fill="auto" w:val="clear"/>
            <w:vAlign w:val="center"/>
          </w:tcPr>
          <w:p>
            <w:pPr>
              <w:pStyle w:val="TableContents"/>
              <w:spacing w:before="0" w:after="0"/>
              <w:ind w:left="0" w:right="0" w:firstLine="30"/>
              <w:rPr/>
            </w:pPr>
            <w:r>
              <w:rPr/>
              <w:t> </w:t>
            </w:r>
          </w:p>
        </w:tc>
        <w:tc>
          <w:tcPr>
            <w:tcW w:w="96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2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725" w:type="dxa"/>
            <w:gridSpan w:val="3"/>
            <w:tcBorders/>
            <w:shd w:fill="auto" w:val="clear"/>
            <w:vAlign w:val="center"/>
          </w:tcPr>
          <w:p>
            <w:pPr>
              <w:pStyle w:val="TableContents"/>
              <w:spacing w:before="0" w:after="0"/>
              <w:ind w:left="0" w:right="0" w:firstLine="30"/>
              <w:rPr/>
            </w:pPr>
            <w:r>
              <w:rPr/>
              <w:t> </w:t>
            </w:r>
          </w:p>
        </w:tc>
      </w:tr>
      <w:tr>
        <w:trPr/>
        <w:tc>
          <w:tcPr>
            <w:tcW w:w="6515" w:type="dxa"/>
            <w:tcBorders/>
            <w:shd w:fill="auto" w:val="clear"/>
            <w:vAlign w:val="center"/>
          </w:tcPr>
          <w:p>
            <w:pPr>
              <w:pStyle w:val="TableContents"/>
              <w:spacing w:before="0" w:after="0"/>
              <w:ind w:left="0" w:right="0" w:firstLine="30"/>
              <w:rPr/>
            </w:pPr>
            <w:r>
              <w:rPr/>
              <w:t> </w:t>
            </w:r>
          </w:p>
        </w:tc>
        <w:tc>
          <w:tcPr>
            <w:tcW w:w="1875" w:type="dxa"/>
            <w:gridSpan w:val="7"/>
            <w:tcBorders/>
            <w:shd w:fill="auto" w:val="clear"/>
            <w:vAlign w:val="center"/>
          </w:tcPr>
          <w:p>
            <w:pPr>
              <w:pStyle w:val="TableContents"/>
              <w:spacing w:before="0" w:after="0"/>
              <w:ind w:left="0" w:right="0" w:firstLine="30"/>
              <w:jc w:val="center"/>
              <w:rPr>
                <w:rFonts w:ascii="inherit" w:hAnsi="inherit"/>
                <w:b/>
                <w:sz w:val="12"/>
              </w:rPr>
            </w:pPr>
            <w:r>
              <w:rPr>
                <w:rFonts w:ascii="inherit" w:hAnsi="inherit"/>
                <w:b/>
                <w:sz w:val="12"/>
              </w:rPr>
              <w:t>(Unaudited)</w:t>
            </w:r>
          </w:p>
        </w:tc>
        <w:tc>
          <w:tcPr>
            <w:tcW w:w="90" w:type="dxa"/>
            <w:tcBorders/>
            <w:shd w:fill="auto" w:val="clear"/>
            <w:vAlign w:val="center"/>
          </w:tcPr>
          <w:p>
            <w:pPr>
              <w:pStyle w:val="TableContents"/>
              <w:spacing w:before="0" w:after="0"/>
              <w:ind w:left="0" w:right="0" w:firstLine="30"/>
              <w:rPr/>
            </w:pPr>
            <w:r>
              <w:rPr/>
              <w:t> </w:t>
            </w:r>
          </w:p>
        </w:tc>
        <w:tc>
          <w:tcPr>
            <w:tcW w:w="1725" w:type="dxa"/>
            <w:gridSpan w:val="3"/>
            <w:tcBorders/>
            <w:shd w:fill="auto" w:val="clear"/>
            <w:vAlign w:val="center"/>
          </w:tcPr>
          <w:p>
            <w:pPr>
              <w:pStyle w:val="TableContents"/>
              <w:spacing w:before="0" w:after="0"/>
              <w:ind w:left="0" w:right="0" w:firstLine="30"/>
              <w:rPr/>
            </w:pPr>
            <w:r>
              <w:rPr/>
              <w:t> </w:t>
            </w:r>
          </w:p>
        </w:tc>
      </w:tr>
      <w:tr>
        <w:trPr/>
        <w:tc>
          <w:tcPr>
            <w:tcW w:w="6515"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Assets:</w:t>
            </w:r>
          </w:p>
        </w:tc>
        <w:tc>
          <w:tcPr>
            <w:tcW w:w="96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2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725" w:type="dxa"/>
            <w:gridSpan w:val="3"/>
            <w:tcBorders/>
            <w:shd w:fill="auto" w:val="clear"/>
            <w:vAlign w:val="center"/>
          </w:tcPr>
          <w:p>
            <w:pPr>
              <w:pStyle w:val="TableContents"/>
              <w:spacing w:before="0" w:after="0"/>
              <w:ind w:left="0" w:right="0" w:firstLine="300"/>
              <w:rPr/>
            </w:pPr>
            <w:r>
              <w:rPr/>
              <w:t> </w:t>
            </w:r>
          </w:p>
        </w:tc>
      </w:tr>
      <w:tr>
        <w:trPr/>
        <w:tc>
          <w:tcPr>
            <w:tcW w:w="6515"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Current assets:</w:t>
            </w:r>
          </w:p>
        </w:tc>
        <w:tc>
          <w:tcPr>
            <w:tcW w:w="96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2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725" w:type="dxa"/>
            <w:gridSpan w:val="3"/>
            <w:tcBorders/>
            <w:shd w:fill="auto" w:val="clear"/>
            <w:vAlign w:val="center"/>
          </w:tcPr>
          <w:p>
            <w:pPr>
              <w:pStyle w:val="TableContents"/>
              <w:spacing w:before="0" w:after="0"/>
              <w:ind w:left="0" w:right="0" w:firstLine="540"/>
              <w:rPr/>
            </w:pPr>
            <w:r>
              <w:rPr/>
              <w:t> </w:t>
            </w:r>
          </w:p>
        </w:tc>
      </w:tr>
      <w:tr>
        <w:trPr/>
        <w:tc>
          <w:tcPr>
            <w:tcW w:w="6515"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Cash and cash equivalents</w:t>
            </w:r>
          </w:p>
        </w:tc>
        <w:tc>
          <w:tcPr>
            <w:tcW w:w="110" w:type="dxa"/>
            <w:tcBorders/>
            <w:shd w:fill="auto" w:val="clear"/>
            <w:vAlign w:val="center"/>
          </w:tcPr>
          <w:p>
            <w:pPr>
              <w:pStyle w:val="TableContents"/>
              <w:spacing w:before="0" w:after="0"/>
              <w:jc w:val="left"/>
              <w:rPr>
                <w:rFonts w:ascii="inherit" w:hAnsi="inherit"/>
                <w:sz w:val="13"/>
              </w:rPr>
            </w:pPr>
            <w:r>
              <w:rPr>
                <w:rFonts w:ascii="inherit" w:hAnsi="inherit"/>
                <w:sz w:val="13"/>
              </w:rPr>
              <w:t>$</w:t>
            </w:r>
          </w:p>
        </w:tc>
        <w:tc>
          <w:tcPr>
            <w:tcW w:w="740" w:type="dxa"/>
            <w:tcBorders/>
            <w:shd w:fill="auto" w:val="clear"/>
            <w:vAlign w:val="center"/>
          </w:tcPr>
          <w:p>
            <w:pPr>
              <w:pStyle w:val="TableContents"/>
              <w:spacing w:before="0" w:after="0"/>
              <w:jc w:val="right"/>
              <w:rPr>
                <w:rFonts w:ascii="inherit" w:hAnsi="inherit"/>
                <w:sz w:val="13"/>
              </w:rPr>
            </w:pPr>
            <w:r>
              <w:rPr>
                <w:rFonts w:ascii="inherit" w:hAnsi="inherit"/>
                <w:sz w:val="13"/>
              </w:rPr>
              <w:t>159,912</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10" w:type="dxa"/>
            <w:tcBorders/>
            <w:shd w:fill="auto" w:val="clear"/>
            <w:vAlign w:val="center"/>
          </w:tcPr>
          <w:p>
            <w:pPr>
              <w:pStyle w:val="TableContents"/>
              <w:spacing w:before="0" w:after="0"/>
              <w:jc w:val="left"/>
              <w:rPr>
                <w:rFonts w:ascii="inherit" w:hAnsi="inherit"/>
                <w:sz w:val="13"/>
              </w:rPr>
            </w:pPr>
            <w:r>
              <w:rPr>
                <w:rFonts w:ascii="inherit" w:hAnsi="inherit"/>
                <w:sz w:val="13"/>
              </w:rPr>
              <w:t>$</w:t>
            </w:r>
          </w:p>
        </w:tc>
        <w:tc>
          <w:tcPr>
            <w:tcW w:w="605" w:type="dxa"/>
            <w:tcBorders/>
            <w:shd w:fill="auto" w:val="clear"/>
            <w:vAlign w:val="center"/>
          </w:tcPr>
          <w:p>
            <w:pPr>
              <w:pStyle w:val="TableContents"/>
              <w:spacing w:before="0" w:after="0"/>
              <w:jc w:val="right"/>
              <w:rPr>
                <w:rFonts w:ascii="inherit" w:hAnsi="inherit"/>
                <w:sz w:val="13"/>
              </w:rPr>
            </w:pPr>
            <w:r>
              <w:rPr>
                <w:rFonts w:ascii="inherit" w:hAnsi="inherit"/>
                <w:sz w:val="13"/>
              </w:rPr>
              <w:t>120,099</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10" w:type="dxa"/>
            <w:tcBorders/>
            <w:shd w:fill="auto" w:val="clear"/>
            <w:vAlign w:val="center"/>
          </w:tcPr>
          <w:p>
            <w:pPr>
              <w:pStyle w:val="TableContents"/>
              <w:spacing w:before="0" w:after="0"/>
              <w:jc w:val="left"/>
              <w:rPr>
                <w:rFonts w:ascii="inherit" w:hAnsi="inherit"/>
                <w:sz w:val="13"/>
              </w:rPr>
            </w:pPr>
            <w:r>
              <w:rPr>
                <w:rFonts w:ascii="inherit" w:hAnsi="inherit"/>
                <w:sz w:val="13"/>
              </w:rPr>
              <w:t>$</w:t>
            </w:r>
          </w:p>
        </w:tc>
        <w:tc>
          <w:tcPr>
            <w:tcW w:w="740" w:type="dxa"/>
            <w:tcBorders/>
            <w:shd w:fill="auto" w:val="clear"/>
            <w:vAlign w:val="center"/>
          </w:tcPr>
          <w:p>
            <w:pPr>
              <w:pStyle w:val="TableContents"/>
              <w:spacing w:before="0" w:after="0"/>
              <w:jc w:val="right"/>
              <w:rPr>
                <w:rFonts w:ascii="inherit" w:hAnsi="inherit"/>
                <w:sz w:val="13"/>
              </w:rPr>
            </w:pPr>
            <w:r>
              <w:rPr>
                <w:rFonts w:ascii="inherit" w:hAnsi="inherit"/>
                <w:sz w:val="13"/>
              </w:rPr>
              <w:t>164,393</w:t>
            </w:r>
          </w:p>
        </w:tc>
        <w:tc>
          <w:tcPr>
            <w:tcW w:w="875" w:type="dxa"/>
            <w:tcBorders/>
            <w:shd w:fill="auto" w:val="clear"/>
            <w:vAlign w:val="center"/>
          </w:tcPr>
          <w:p>
            <w:pPr>
              <w:pStyle w:val="TableContents"/>
              <w:spacing w:before="0" w:after="0"/>
              <w:ind w:left="0" w:right="0" w:firstLine="540"/>
              <w:jc w:val="left"/>
              <w:rPr>
                <w:rFonts w:ascii="inherit" w:hAnsi="inherit"/>
                <w:sz w:val="17"/>
              </w:rPr>
            </w:pPr>
            <w:r>
              <w:rPr>
                <w:rFonts w:ascii="inherit" w:hAnsi="inherit"/>
                <w:sz w:val="17"/>
              </w:rPr>
            </w:r>
          </w:p>
        </w:tc>
      </w:tr>
      <w:tr>
        <w:trPr/>
        <w:tc>
          <w:tcPr>
            <w:tcW w:w="6515"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Pawn loans</w:t>
            </w:r>
          </w:p>
        </w:tc>
        <w:tc>
          <w:tcPr>
            <w:tcW w:w="850"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159,410</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143,267</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50"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169,242</w:t>
            </w:r>
          </w:p>
        </w:tc>
        <w:tc>
          <w:tcPr>
            <w:tcW w:w="875" w:type="dxa"/>
            <w:tcBorders/>
            <w:shd w:fill="auto" w:val="clear"/>
            <w:vAlign w:val="center"/>
          </w:tcPr>
          <w:p>
            <w:pPr>
              <w:pStyle w:val="TableContents"/>
              <w:spacing w:before="0" w:after="0"/>
              <w:ind w:left="0" w:right="0" w:firstLine="540"/>
              <w:jc w:val="left"/>
              <w:rPr>
                <w:rFonts w:ascii="inherit" w:hAnsi="inherit"/>
                <w:sz w:val="17"/>
              </w:rPr>
            </w:pPr>
            <w:r>
              <w:rPr>
                <w:rFonts w:ascii="inherit" w:hAnsi="inherit"/>
                <w:sz w:val="17"/>
              </w:rPr>
            </w:r>
          </w:p>
        </w:tc>
      </w:tr>
      <w:tr>
        <w:trPr/>
        <w:tc>
          <w:tcPr>
            <w:tcW w:w="6515"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Pawn service charges receivable, net</w:t>
            </w:r>
          </w:p>
        </w:tc>
        <w:tc>
          <w:tcPr>
            <w:tcW w:w="850"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30,493</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27,028</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50"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31,548</w:t>
            </w:r>
          </w:p>
        </w:tc>
        <w:tc>
          <w:tcPr>
            <w:tcW w:w="875" w:type="dxa"/>
            <w:tcBorders/>
            <w:shd w:fill="auto" w:val="clear"/>
            <w:vAlign w:val="center"/>
          </w:tcPr>
          <w:p>
            <w:pPr>
              <w:pStyle w:val="TableContents"/>
              <w:spacing w:before="0" w:after="0"/>
              <w:ind w:left="0" w:right="0" w:firstLine="540"/>
              <w:jc w:val="left"/>
              <w:rPr>
                <w:rFonts w:ascii="inherit" w:hAnsi="inherit"/>
                <w:sz w:val="17"/>
              </w:rPr>
            </w:pPr>
            <w:r>
              <w:rPr>
                <w:rFonts w:ascii="inherit" w:hAnsi="inherit"/>
                <w:sz w:val="17"/>
              </w:rPr>
            </w:r>
          </w:p>
        </w:tc>
      </w:tr>
      <w:tr>
        <w:trPr/>
        <w:tc>
          <w:tcPr>
            <w:tcW w:w="6515"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Inventory, net</w:t>
            </w:r>
          </w:p>
        </w:tc>
        <w:tc>
          <w:tcPr>
            <w:tcW w:w="850"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158,642</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137,008</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50"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154,411</w:t>
            </w:r>
          </w:p>
        </w:tc>
        <w:tc>
          <w:tcPr>
            <w:tcW w:w="875" w:type="dxa"/>
            <w:tcBorders/>
            <w:shd w:fill="auto" w:val="clear"/>
            <w:vAlign w:val="center"/>
          </w:tcPr>
          <w:p>
            <w:pPr>
              <w:pStyle w:val="TableContents"/>
              <w:spacing w:before="0" w:after="0"/>
              <w:ind w:left="0" w:right="0" w:firstLine="540"/>
              <w:jc w:val="left"/>
              <w:rPr>
                <w:rFonts w:ascii="inherit" w:hAnsi="inherit"/>
                <w:sz w:val="17"/>
              </w:rPr>
            </w:pPr>
            <w:r>
              <w:rPr>
                <w:rFonts w:ascii="inherit" w:hAnsi="inherit"/>
                <w:sz w:val="17"/>
              </w:rPr>
            </w:r>
          </w:p>
        </w:tc>
      </w:tr>
      <w:tr>
        <w:trPr/>
        <w:tc>
          <w:tcPr>
            <w:tcW w:w="6515"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Notes receivable, net</w:t>
            </w:r>
          </w:p>
        </w:tc>
        <w:tc>
          <w:tcPr>
            <w:tcW w:w="850"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38,091</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29,978</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50"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32,598</w:t>
            </w:r>
          </w:p>
        </w:tc>
        <w:tc>
          <w:tcPr>
            <w:tcW w:w="875" w:type="dxa"/>
            <w:tcBorders/>
            <w:shd w:fill="auto" w:val="clear"/>
            <w:vAlign w:val="center"/>
          </w:tcPr>
          <w:p>
            <w:pPr>
              <w:pStyle w:val="TableContents"/>
              <w:spacing w:before="0" w:after="0"/>
              <w:ind w:left="0" w:right="0" w:firstLine="540"/>
              <w:jc w:val="left"/>
              <w:rPr>
                <w:rFonts w:ascii="inherit" w:hAnsi="inherit"/>
                <w:sz w:val="17"/>
              </w:rPr>
            </w:pPr>
            <w:r>
              <w:rPr>
                <w:rFonts w:ascii="inherit" w:hAnsi="inherit"/>
                <w:sz w:val="17"/>
              </w:rPr>
            </w:r>
          </w:p>
        </w:tc>
      </w:tr>
      <w:tr>
        <w:trPr/>
        <w:tc>
          <w:tcPr>
            <w:tcW w:w="6515"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Prepaid expenses and other current assets</w:t>
            </w:r>
          </w:p>
        </w:tc>
        <w:tc>
          <w:tcPr>
            <w:tcW w:w="85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29,222</w:t>
            </w:r>
          </w:p>
        </w:tc>
        <w:tc>
          <w:tcPr>
            <w:tcW w:w="11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31,011</w:t>
            </w:r>
          </w:p>
        </w:tc>
        <w:tc>
          <w:tcPr>
            <w:tcW w:w="11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5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28,765</w:t>
            </w:r>
          </w:p>
        </w:tc>
        <w:tc>
          <w:tcPr>
            <w:tcW w:w="875" w:type="dxa"/>
            <w:tcBorders>
              <w:bottom w:val="single" w:sz="2" w:space="0" w:color="000000"/>
            </w:tcBorders>
            <w:shd w:fill="auto"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6515"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Total current assets</w:t>
            </w:r>
          </w:p>
        </w:tc>
        <w:tc>
          <w:tcPr>
            <w:tcW w:w="850"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575,770</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488,391</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50"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580,957</w:t>
            </w:r>
          </w:p>
        </w:tc>
        <w:tc>
          <w:tcPr>
            <w:tcW w:w="87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6515"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Investment in unconsolidated affiliate</w:t>
            </w:r>
          </w:p>
        </w:tc>
        <w:tc>
          <w:tcPr>
            <w:tcW w:w="850"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46,509</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38,334</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50"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43,319</w:t>
            </w:r>
          </w:p>
        </w:tc>
        <w:tc>
          <w:tcPr>
            <w:tcW w:w="87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6515"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Property and equipment, net</w:t>
            </w:r>
          </w:p>
        </w:tc>
        <w:tc>
          <w:tcPr>
            <w:tcW w:w="850"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64,833</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53,630</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50"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57,959</w:t>
            </w:r>
          </w:p>
        </w:tc>
        <w:tc>
          <w:tcPr>
            <w:tcW w:w="87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6515"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Goodwill</w:t>
            </w:r>
          </w:p>
        </w:tc>
        <w:tc>
          <w:tcPr>
            <w:tcW w:w="850"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289,438</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254,217</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50"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254,760</w:t>
            </w:r>
          </w:p>
        </w:tc>
        <w:tc>
          <w:tcPr>
            <w:tcW w:w="87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6515"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Intangible assets, net</w:t>
            </w:r>
          </w:p>
        </w:tc>
        <w:tc>
          <w:tcPr>
            <w:tcW w:w="850"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45,728</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31,768</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50"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32,420</w:t>
            </w:r>
          </w:p>
        </w:tc>
        <w:tc>
          <w:tcPr>
            <w:tcW w:w="87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6515"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Non-current notes receivable, net</w:t>
            </w:r>
          </w:p>
        </w:tc>
        <w:tc>
          <w:tcPr>
            <w:tcW w:w="850"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18,660</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40,319</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50"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28,377</w:t>
            </w:r>
          </w:p>
        </w:tc>
        <w:tc>
          <w:tcPr>
            <w:tcW w:w="87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6515"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Deferred tax asset, net</w:t>
            </w:r>
          </w:p>
        </w:tc>
        <w:tc>
          <w:tcPr>
            <w:tcW w:w="850"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13,842</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37,134</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50"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16,856</w:t>
            </w:r>
          </w:p>
        </w:tc>
        <w:tc>
          <w:tcPr>
            <w:tcW w:w="87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6515"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Other assets, net</w:t>
            </w:r>
          </w:p>
        </w:tc>
        <w:tc>
          <w:tcPr>
            <w:tcW w:w="85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19,773</w:t>
            </w:r>
          </w:p>
        </w:tc>
        <w:tc>
          <w:tcPr>
            <w:tcW w:w="11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18,174</w:t>
            </w:r>
          </w:p>
        </w:tc>
        <w:tc>
          <w:tcPr>
            <w:tcW w:w="11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5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9,715</w:t>
            </w:r>
          </w:p>
        </w:tc>
        <w:tc>
          <w:tcPr>
            <w:tcW w:w="87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515"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 xml:space="preserve">Total assets </w:t>
            </w:r>
          </w:p>
        </w:tc>
        <w:tc>
          <w:tcPr>
            <w:tcW w:w="110"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740"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1,074,553</w:t>
            </w:r>
          </w:p>
        </w:tc>
        <w:tc>
          <w:tcPr>
            <w:tcW w:w="110"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10"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605"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961,967</w:t>
            </w:r>
          </w:p>
        </w:tc>
        <w:tc>
          <w:tcPr>
            <w:tcW w:w="110"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10"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740"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1,024,363</w:t>
            </w:r>
          </w:p>
        </w:tc>
        <w:tc>
          <w:tcPr>
            <w:tcW w:w="875"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515" w:type="dxa"/>
            <w:tcBorders/>
            <w:shd w:fill="auto" w:val="clear"/>
            <w:vAlign w:val="center"/>
          </w:tcPr>
          <w:p>
            <w:pPr>
              <w:pStyle w:val="TableContents"/>
              <w:spacing w:before="0" w:after="0"/>
              <w:ind w:left="0" w:right="0" w:firstLine="30"/>
              <w:rPr/>
            </w:pPr>
            <w:r>
              <w:rPr/>
              <w:t> </w:t>
            </w:r>
          </w:p>
        </w:tc>
        <w:tc>
          <w:tcPr>
            <w:tcW w:w="96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2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725" w:type="dxa"/>
            <w:gridSpan w:val="3"/>
            <w:tcBorders/>
            <w:shd w:fill="auto" w:val="clear"/>
            <w:vAlign w:val="center"/>
          </w:tcPr>
          <w:p>
            <w:pPr>
              <w:pStyle w:val="TableContents"/>
              <w:spacing w:before="0" w:after="0"/>
              <w:ind w:left="0" w:right="0" w:firstLine="30"/>
              <w:rPr/>
            </w:pPr>
            <w:r>
              <w:rPr/>
              <w:t> </w:t>
            </w:r>
          </w:p>
        </w:tc>
      </w:tr>
      <w:tr>
        <w:trPr/>
        <w:tc>
          <w:tcPr>
            <w:tcW w:w="6515"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Liabilities and equity:</w:t>
            </w:r>
          </w:p>
        </w:tc>
        <w:tc>
          <w:tcPr>
            <w:tcW w:w="96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2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725" w:type="dxa"/>
            <w:gridSpan w:val="3"/>
            <w:tcBorders/>
            <w:shd w:fill="auto" w:val="clear"/>
            <w:vAlign w:val="center"/>
          </w:tcPr>
          <w:p>
            <w:pPr>
              <w:pStyle w:val="TableContents"/>
              <w:spacing w:before="0" w:after="0"/>
              <w:ind w:left="0" w:right="0" w:firstLine="300"/>
              <w:rPr/>
            </w:pPr>
            <w:r>
              <w:rPr/>
              <w:t> </w:t>
            </w:r>
          </w:p>
        </w:tc>
      </w:tr>
      <w:tr>
        <w:trPr/>
        <w:tc>
          <w:tcPr>
            <w:tcW w:w="6515"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Current liabilities:</w:t>
            </w:r>
          </w:p>
        </w:tc>
        <w:tc>
          <w:tcPr>
            <w:tcW w:w="96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2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725" w:type="dxa"/>
            <w:gridSpan w:val="3"/>
            <w:tcBorders/>
            <w:shd w:fill="auto" w:val="clear"/>
            <w:vAlign w:val="center"/>
          </w:tcPr>
          <w:p>
            <w:pPr>
              <w:pStyle w:val="TableContents"/>
              <w:spacing w:before="0" w:after="0"/>
              <w:ind w:left="0" w:right="0" w:firstLine="540"/>
              <w:rPr/>
            </w:pPr>
            <w:r>
              <w:rPr/>
              <w:t> </w:t>
            </w:r>
          </w:p>
        </w:tc>
      </w:tr>
      <w:tr>
        <w:trPr/>
        <w:tc>
          <w:tcPr>
            <w:tcW w:w="6515"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Current maturities of long-term debt, net</w:t>
            </w:r>
          </w:p>
        </w:tc>
        <w:tc>
          <w:tcPr>
            <w:tcW w:w="110" w:type="dxa"/>
            <w:tcBorders/>
            <w:shd w:fill="auto" w:val="clear"/>
            <w:vAlign w:val="center"/>
          </w:tcPr>
          <w:p>
            <w:pPr>
              <w:pStyle w:val="TableContents"/>
              <w:spacing w:before="0" w:after="0"/>
              <w:jc w:val="left"/>
              <w:rPr>
                <w:rFonts w:ascii="inherit" w:hAnsi="inherit"/>
                <w:sz w:val="13"/>
              </w:rPr>
            </w:pPr>
            <w:r>
              <w:rPr>
                <w:rFonts w:ascii="inherit" w:hAnsi="inherit"/>
                <w:sz w:val="13"/>
              </w:rPr>
              <w:t>$</w:t>
            </w:r>
          </w:p>
        </w:tc>
        <w:tc>
          <w:tcPr>
            <w:tcW w:w="740" w:type="dxa"/>
            <w:tcBorders/>
            <w:shd w:fill="auto" w:val="clear"/>
            <w:vAlign w:val="center"/>
          </w:tcPr>
          <w:p>
            <w:pPr>
              <w:pStyle w:val="TableContents"/>
              <w:spacing w:before="0" w:after="0"/>
              <w:jc w:val="right"/>
              <w:rPr>
                <w:rFonts w:ascii="inherit" w:hAnsi="inherit"/>
                <w:sz w:val="13"/>
              </w:rPr>
            </w:pPr>
            <w:r>
              <w:rPr>
                <w:rFonts w:ascii="inherit" w:hAnsi="inherit"/>
                <w:sz w:val="13"/>
              </w:rPr>
              <w:t>103,287</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10" w:type="dxa"/>
            <w:tcBorders/>
            <w:shd w:fill="auto" w:val="clear"/>
            <w:vAlign w:val="center"/>
          </w:tcPr>
          <w:p>
            <w:pPr>
              <w:pStyle w:val="TableContents"/>
              <w:spacing w:before="0" w:after="0"/>
              <w:jc w:val="left"/>
              <w:rPr>
                <w:rFonts w:ascii="inherit" w:hAnsi="inherit"/>
                <w:sz w:val="13"/>
              </w:rPr>
            </w:pPr>
            <w:r>
              <w:rPr>
                <w:rFonts w:ascii="inherit" w:hAnsi="inherit"/>
                <w:sz w:val="13"/>
              </w:rPr>
              <w:t>$</w:t>
            </w:r>
          </w:p>
        </w:tc>
        <w:tc>
          <w:tcPr>
            <w:tcW w:w="605" w:type="dxa"/>
            <w:tcBorders/>
            <w:shd w:fill="auto" w:val="clear"/>
            <w:vAlign w:val="center"/>
          </w:tcPr>
          <w:p>
            <w:pPr>
              <w:pStyle w:val="TableContents"/>
              <w:spacing w:before="0" w:after="0"/>
              <w:jc w:val="right"/>
              <w:rPr/>
            </w:pPr>
            <w:r>
              <w:rPr/>
              <w:t>—</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10" w:type="dxa"/>
            <w:tcBorders/>
            <w:shd w:fill="auto" w:val="clear"/>
            <w:vAlign w:val="center"/>
          </w:tcPr>
          <w:p>
            <w:pPr>
              <w:pStyle w:val="TableContents"/>
              <w:spacing w:before="0" w:after="0"/>
              <w:jc w:val="left"/>
              <w:rPr>
                <w:rFonts w:ascii="inherit" w:hAnsi="inherit"/>
                <w:sz w:val="13"/>
              </w:rPr>
            </w:pPr>
            <w:r>
              <w:rPr>
                <w:rFonts w:ascii="inherit" w:hAnsi="inherit"/>
                <w:sz w:val="13"/>
              </w:rPr>
              <w:t>$</w:t>
            </w:r>
          </w:p>
        </w:tc>
        <w:tc>
          <w:tcPr>
            <w:tcW w:w="740" w:type="dxa"/>
            <w:tcBorders/>
            <w:shd w:fill="auto" w:val="clear"/>
            <w:vAlign w:val="center"/>
          </w:tcPr>
          <w:p>
            <w:pPr>
              <w:pStyle w:val="TableContents"/>
              <w:spacing w:before="0" w:after="0"/>
              <w:jc w:val="right"/>
              <w:rPr/>
            </w:pPr>
            <w:r>
              <w:rPr/>
              <w:t>—</w:t>
            </w:r>
          </w:p>
        </w:tc>
        <w:tc>
          <w:tcPr>
            <w:tcW w:w="875" w:type="dxa"/>
            <w:tcBorders/>
            <w:shd w:fill="auto" w:val="clear"/>
            <w:vAlign w:val="center"/>
          </w:tcPr>
          <w:p>
            <w:pPr>
              <w:pStyle w:val="TableContents"/>
              <w:spacing w:before="0" w:after="0"/>
              <w:ind w:left="0" w:right="0" w:firstLine="540"/>
              <w:jc w:val="left"/>
              <w:rPr>
                <w:rFonts w:ascii="inherit" w:hAnsi="inherit"/>
                <w:sz w:val="17"/>
              </w:rPr>
            </w:pPr>
            <w:r>
              <w:rPr>
                <w:rFonts w:ascii="inherit" w:hAnsi="inherit"/>
                <w:sz w:val="17"/>
              </w:rPr>
            </w:r>
          </w:p>
        </w:tc>
      </w:tr>
      <w:tr>
        <w:trPr/>
        <w:tc>
          <w:tcPr>
            <w:tcW w:w="6515"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Accounts payable, accrued expenses and other current liabilities</w:t>
            </w:r>
          </w:p>
        </w:tc>
        <w:tc>
          <w:tcPr>
            <w:tcW w:w="850"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60,689</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62,339</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50"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61,543</w:t>
            </w:r>
          </w:p>
        </w:tc>
        <w:tc>
          <w:tcPr>
            <w:tcW w:w="875" w:type="dxa"/>
            <w:tcBorders/>
            <w:shd w:fill="auto" w:val="clear"/>
            <w:vAlign w:val="center"/>
          </w:tcPr>
          <w:p>
            <w:pPr>
              <w:pStyle w:val="TableContents"/>
              <w:spacing w:before="0" w:after="0"/>
              <w:ind w:left="0" w:right="0" w:firstLine="540"/>
              <w:jc w:val="left"/>
              <w:rPr>
                <w:rFonts w:ascii="inherit" w:hAnsi="inherit"/>
                <w:sz w:val="17"/>
              </w:rPr>
            </w:pPr>
            <w:r>
              <w:rPr>
                <w:rFonts w:ascii="inherit" w:hAnsi="inherit"/>
                <w:sz w:val="17"/>
              </w:rPr>
            </w:r>
          </w:p>
        </w:tc>
      </w:tr>
      <w:tr>
        <w:trPr/>
        <w:tc>
          <w:tcPr>
            <w:tcW w:w="6515"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Customer layaway deposits</w:t>
            </w:r>
          </w:p>
        </w:tc>
        <w:tc>
          <w:tcPr>
            <w:tcW w:w="85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12,225</w:t>
            </w:r>
          </w:p>
        </w:tc>
        <w:tc>
          <w:tcPr>
            <w:tcW w:w="11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10,992</w:t>
            </w:r>
          </w:p>
        </w:tc>
        <w:tc>
          <w:tcPr>
            <w:tcW w:w="11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5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11,032</w:t>
            </w:r>
          </w:p>
        </w:tc>
        <w:tc>
          <w:tcPr>
            <w:tcW w:w="875" w:type="dxa"/>
            <w:tcBorders>
              <w:bottom w:val="single" w:sz="2" w:space="0" w:color="000000"/>
            </w:tcBorders>
            <w:shd w:fill="auto"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6515"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Total current liabilities</w:t>
            </w:r>
          </w:p>
        </w:tc>
        <w:tc>
          <w:tcPr>
            <w:tcW w:w="850"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176,201</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73,331</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50"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72,575</w:t>
            </w:r>
          </w:p>
        </w:tc>
        <w:tc>
          <w:tcPr>
            <w:tcW w:w="87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6515"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Long-term debt, net</w:t>
            </w:r>
          </w:p>
        </w:tc>
        <w:tc>
          <w:tcPr>
            <w:tcW w:w="850"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198,338</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266,724</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50"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284,807</w:t>
            </w:r>
          </w:p>
        </w:tc>
        <w:tc>
          <w:tcPr>
            <w:tcW w:w="87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6515"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Other long-term liabilities</w:t>
            </w:r>
          </w:p>
        </w:tc>
        <w:tc>
          <w:tcPr>
            <w:tcW w:w="85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11,884</w:t>
            </w:r>
          </w:p>
        </w:tc>
        <w:tc>
          <w:tcPr>
            <w:tcW w:w="11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8,448</w:t>
            </w:r>
          </w:p>
        </w:tc>
        <w:tc>
          <w:tcPr>
            <w:tcW w:w="11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5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7,055</w:t>
            </w:r>
          </w:p>
        </w:tc>
        <w:tc>
          <w:tcPr>
            <w:tcW w:w="875" w:type="dxa"/>
            <w:tcBorders>
              <w:bottom w:val="single" w:sz="2" w:space="0" w:color="000000"/>
            </w:tcBorders>
            <w:shd w:fill="auto"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6515"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Total liabilities</w:t>
            </w:r>
          </w:p>
        </w:tc>
        <w:tc>
          <w:tcPr>
            <w:tcW w:w="850"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386,423</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348,503</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50"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364,437</w:t>
            </w:r>
          </w:p>
        </w:tc>
        <w:tc>
          <w:tcPr>
            <w:tcW w:w="87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6515"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Commitments and contingencies</w:t>
            </w:r>
          </w:p>
        </w:tc>
        <w:tc>
          <w:tcPr>
            <w:tcW w:w="96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2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725" w:type="dxa"/>
            <w:gridSpan w:val="3"/>
            <w:tcBorders/>
            <w:shd w:fill="auto" w:val="clear"/>
            <w:vAlign w:val="center"/>
          </w:tcPr>
          <w:p>
            <w:pPr>
              <w:pStyle w:val="TableContents"/>
              <w:spacing w:before="0" w:after="0"/>
              <w:ind w:left="0" w:right="0" w:firstLine="300"/>
              <w:rPr/>
            </w:pPr>
            <w:r>
              <w:rPr/>
              <w:t> </w:t>
            </w:r>
          </w:p>
        </w:tc>
      </w:tr>
      <w:tr>
        <w:trPr/>
        <w:tc>
          <w:tcPr>
            <w:tcW w:w="6515"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Stockholders’ equity:</w:t>
            </w:r>
          </w:p>
        </w:tc>
        <w:tc>
          <w:tcPr>
            <w:tcW w:w="96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2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725" w:type="dxa"/>
            <w:gridSpan w:val="3"/>
            <w:tcBorders/>
            <w:shd w:fill="auto" w:val="clear"/>
            <w:vAlign w:val="center"/>
          </w:tcPr>
          <w:p>
            <w:pPr>
              <w:pStyle w:val="TableContents"/>
              <w:spacing w:before="0" w:after="0"/>
              <w:ind w:left="0" w:right="0" w:firstLine="540"/>
              <w:rPr/>
            </w:pPr>
            <w:r>
              <w:rPr/>
              <w:t> </w:t>
            </w:r>
          </w:p>
        </w:tc>
      </w:tr>
      <w:tr>
        <w:trPr/>
        <w:tc>
          <w:tcPr>
            <w:tcW w:w="6515"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Class A Non-voting Common Stock, par value $.01 per share; shares authorized: 100 million; issued and outstanding: 51,494,246 as of March 31, 2018; 51,321,915 as of March 31, 2017; and 51,427,832 as of September 30, 2017</w:t>
            </w:r>
          </w:p>
        </w:tc>
        <w:tc>
          <w:tcPr>
            <w:tcW w:w="850"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515</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513</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50"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514</w:t>
            </w:r>
          </w:p>
        </w:tc>
        <w:tc>
          <w:tcPr>
            <w:tcW w:w="875" w:type="dxa"/>
            <w:tcBorders/>
            <w:shd w:fill="auto" w:val="clear"/>
            <w:vAlign w:val="center"/>
          </w:tcPr>
          <w:p>
            <w:pPr>
              <w:pStyle w:val="TableContents"/>
              <w:spacing w:before="0" w:after="0"/>
              <w:ind w:left="0" w:right="0" w:firstLine="540"/>
              <w:jc w:val="left"/>
              <w:rPr>
                <w:rFonts w:ascii="inherit" w:hAnsi="inherit"/>
                <w:sz w:val="17"/>
              </w:rPr>
            </w:pPr>
            <w:r>
              <w:rPr>
                <w:rFonts w:ascii="inherit" w:hAnsi="inherit"/>
                <w:sz w:val="17"/>
              </w:rPr>
            </w:r>
          </w:p>
        </w:tc>
      </w:tr>
      <w:tr>
        <w:trPr/>
        <w:tc>
          <w:tcPr>
            <w:tcW w:w="6515"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Class B Voting Common Stock, convertible, par value $.01 per share; shares authorized: 3 million; issued and outstanding: 2,970,171</w:t>
            </w:r>
          </w:p>
        </w:tc>
        <w:tc>
          <w:tcPr>
            <w:tcW w:w="850"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30</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30</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50"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30</w:t>
            </w:r>
          </w:p>
        </w:tc>
        <w:tc>
          <w:tcPr>
            <w:tcW w:w="875" w:type="dxa"/>
            <w:tcBorders/>
            <w:shd w:fill="auto" w:val="clear"/>
            <w:vAlign w:val="center"/>
          </w:tcPr>
          <w:p>
            <w:pPr>
              <w:pStyle w:val="TableContents"/>
              <w:spacing w:before="0" w:after="0"/>
              <w:ind w:left="0" w:right="0" w:firstLine="540"/>
              <w:jc w:val="left"/>
              <w:rPr>
                <w:rFonts w:ascii="inherit" w:hAnsi="inherit"/>
                <w:sz w:val="17"/>
              </w:rPr>
            </w:pPr>
            <w:r>
              <w:rPr>
                <w:rFonts w:ascii="inherit" w:hAnsi="inherit"/>
                <w:sz w:val="17"/>
              </w:rPr>
            </w:r>
          </w:p>
        </w:tc>
      </w:tr>
      <w:tr>
        <w:trPr/>
        <w:tc>
          <w:tcPr>
            <w:tcW w:w="6515"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Additional paid-in capital</w:t>
            </w:r>
          </w:p>
        </w:tc>
        <w:tc>
          <w:tcPr>
            <w:tcW w:w="850"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353,698</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321,531</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50"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348,532</w:t>
            </w:r>
          </w:p>
        </w:tc>
        <w:tc>
          <w:tcPr>
            <w:tcW w:w="875" w:type="dxa"/>
            <w:tcBorders/>
            <w:shd w:fill="auto" w:val="clear"/>
            <w:vAlign w:val="center"/>
          </w:tcPr>
          <w:p>
            <w:pPr>
              <w:pStyle w:val="TableContents"/>
              <w:spacing w:before="0" w:after="0"/>
              <w:ind w:left="0" w:right="0" w:firstLine="540"/>
              <w:jc w:val="left"/>
              <w:rPr>
                <w:rFonts w:ascii="inherit" w:hAnsi="inherit"/>
                <w:sz w:val="17"/>
              </w:rPr>
            </w:pPr>
            <w:r>
              <w:rPr>
                <w:rFonts w:ascii="inherit" w:hAnsi="inherit"/>
                <w:sz w:val="17"/>
              </w:rPr>
            </w:r>
          </w:p>
        </w:tc>
      </w:tr>
      <w:tr>
        <w:trPr/>
        <w:tc>
          <w:tcPr>
            <w:tcW w:w="6515"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Retained earnings</w:t>
            </w:r>
          </w:p>
        </w:tc>
        <w:tc>
          <w:tcPr>
            <w:tcW w:w="850"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377,682</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334,996</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50"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351,666</w:t>
            </w:r>
          </w:p>
        </w:tc>
        <w:tc>
          <w:tcPr>
            <w:tcW w:w="875" w:type="dxa"/>
            <w:tcBorders/>
            <w:shd w:fill="auto" w:val="clear"/>
            <w:vAlign w:val="center"/>
          </w:tcPr>
          <w:p>
            <w:pPr>
              <w:pStyle w:val="TableContents"/>
              <w:spacing w:before="0" w:after="0"/>
              <w:ind w:left="0" w:right="0" w:firstLine="540"/>
              <w:jc w:val="left"/>
              <w:rPr>
                <w:rFonts w:ascii="inherit" w:hAnsi="inherit"/>
                <w:sz w:val="17"/>
              </w:rPr>
            </w:pPr>
            <w:r>
              <w:rPr>
                <w:rFonts w:ascii="inherit" w:hAnsi="inherit"/>
                <w:sz w:val="17"/>
              </w:rPr>
            </w:r>
          </w:p>
        </w:tc>
      </w:tr>
      <w:tr>
        <w:trPr/>
        <w:tc>
          <w:tcPr>
            <w:tcW w:w="6515"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Accumulated other comprehensive loss</w:t>
            </w:r>
          </w:p>
        </w:tc>
        <w:tc>
          <w:tcPr>
            <w:tcW w:w="85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(40,463</w:t>
            </w:r>
          </w:p>
        </w:tc>
        <w:tc>
          <w:tcPr>
            <w:tcW w:w="11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(42,544</w:t>
            </w:r>
          </w:p>
        </w:tc>
        <w:tc>
          <w:tcPr>
            <w:tcW w:w="11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90" w:type="dxa"/>
            <w:tcBorders/>
            <w:shd w:fill="auto" w:val="clear"/>
            <w:vAlign w:val="center"/>
          </w:tcPr>
          <w:p>
            <w:pPr>
              <w:pStyle w:val="TableContents"/>
              <w:spacing w:before="0" w:after="0"/>
              <w:ind w:left="0" w:right="0" w:firstLine="30"/>
              <w:rPr/>
            </w:pPr>
            <w:r>
              <w:rPr/>
              <w:t> </w:t>
            </w:r>
          </w:p>
        </w:tc>
        <w:tc>
          <w:tcPr>
            <w:tcW w:w="85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(38,367</w:t>
            </w:r>
          </w:p>
        </w:tc>
        <w:tc>
          <w:tcPr>
            <w:tcW w:w="875" w:type="dxa"/>
            <w:tcBorders>
              <w:bottom w:val="single" w:sz="2" w:space="0" w:color="000000"/>
            </w:tcBorders>
            <w:shd w:fill="auto" w:val="clear"/>
            <w:tcMar>
              <w:bottom w:w="30" w:type="dxa"/>
            </w:tcMar>
            <w:vAlign w:val="center"/>
          </w:tcPr>
          <w:p>
            <w:pPr>
              <w:pStyle w:val="TableContents"/>
              <w:spacing w:before="0" w:after="0"/>
              <w:ind w:left="0" w:right="0" w:firstLine="780"/>
              <w:jc w:val="left"/>
              <w:rPr>
                <w:rFonts w:ascii="inherit" w:hAnsi="inherit"/>
                <w:sz w:val="13"/>
              </w:rPr>
            </w:pPr>
            <w:r>
              <w:rPr>
                <w:rFonts w:ascii="inherit" w:hAnsi="inherit"/>
                <w:sz w:val="13"/>
              </w:rPr>
              <w:t>)</w:t>
            </w:r>
          </w:p>
        </w:tc>
      </w:tr>
      <w:tr>
        <w:trPr/>
        <w:tc>
          <w:tcPr>
            <w:tcW w:w="6515"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EZCORP, Inc. stockholders’ equity</w:t>
            </w:r>
          </w:p>
        </w:tc>
        <w:tc>
          <w:tcPr>
            <w:tcW w:w="850"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691,462</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614,526</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50"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662,375</w:t>
            </w:r>
          </w:p>
        </w:tc>
        <w:tc>
          <w:tcPr>
            <w:tcW w:w="875" w:type="dxa"/>
            <w:tcBorders/>
            <w:shd w:fill="auto" w:val="clear"/>
            <w:vAlign w:val="center"/>
          </w:tcPr>
          <w:p>
            <w:pPr>
              <w:pStyle w:val="TableContents"/>
              <w:spacing w:before="0" w:after="0"/>
              <w:ind w:left="0" w:right="0" w:firstLine="540"/>
              <w:jc w:val="left"/>
              <w:rPr>
                <w:rFonts w:ascii="inherit" w:hAnsi="inherit"/>
                <w:sz w:val="17"/>
              </w:rPr>
            </w:pPr>
            <w:r>
              <w:rPr>
                <w:rFonts w:ascii="inherit" w:hAnsi="inherit"/>
                <w:sz w:val="17"/>
              </w:rPr>
            </w:r>
          </w:p>
        </w:tc>
      </w:tr>
      <w:tr>
        <w:trPr/>
        <w:tc>
          <w:tcPr>
            <w:tcW w:w="6515"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Noncontrolling interest</w:t>
            </w:r>
          </w:p>
        </w:tc>
        <w:tc>
          <w:tcPr>
            <w:tcW w:w="85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(3,332</w:t>
            </w:r>
          </w:p>
        </w:tc>
        <w:tc>
          <w:tcPr>
            <w:tcW w:w="11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(1,062</w:t>
            </w:r>
          </w:p>
        </w:tc>
        <w:tc>
          <w:tcPr>
            <w:tcW w:w="11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90" w:type="dxa"/>
            <w:tcBorders/>
            <w:shd w:fill="auto" w:val="clear"/>
            <w:vAlign w:val="center"/>
          </w:tcPr>
          <w:p>
            <w:pPr>
              <w:pStyle w:val="TableContents"/>
              <w:spacing w:before="0" w:after="0"/>
              <w:ind w:left="0" w:right="0" w:firstLine="30"/>
              <w:rPr/>
            </w:pPr>
            <w:r>
              <w:rPr/>
              <w:t> </w:t>
            </w:r>
          </w:p>
        </w:tc>
        <w:tc>
          <w:tcPr>
            <w:tcW w:w="85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(2,449</w:t>
            </w:r>
          </w:p>
        </w:tc>
        <w:tc>
          <w:tcPr>
            <w:tcW w:w="875" w:type="dxa"/>
            <w:tcBorders>
              <w:bottom w:val="single" w:sz="2" w:space="0" w:color="000000"/>
            </w:tcBorders>
            <w:shd w:fill="auto" w:val="clear"/>
            <w:tcMar>
              <w:bottom w:w="30" w:type="dxa"/>
            </w:tcMar>
            <w:vAlign w:val="center"/>
          </w:tcPr>
          <w:p>
            <w:pPr>
              <w:pStyle w:val="TableContents"/>
              <w:spacing w:before="0" w:after="0"/>
              <w:ind w:left="0" w:right="0" w:firstLine="780"/>
              <w:jc w:val="left"/>
              <w:rPr>
                <w:rFonts w:ascii="inherit" w:hAnsi="inherit"/>
                <w:sz w:val="13"/>
              </w:rPr>
            </w:pPr>
            <w:r>
              <w:rPr>
                <w:rFonts w:ascii="inherit" w:hAnsi="inherit"/>
                <w:sz w:val="13"/>
              </w:rPr>
              <w:t>)</w:t>
            </w:r>
          </w:p>
        </w:tc>
      </w:tr>
      <w:tr>
        <w:trPr/>
        <w:tc>
          <w:tcPr>
            <w:tcW w:w="6515"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Total equity</w:t>
            </w:r>
          </w:p>
        </w:tc>
        <w:tc>
          <w:tcPr>
            <w:tcW w:w="850"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688,130</w:t>
            </w:r>
          </w:p>
        </w:tc>
        <w:tc>
          <w:tcPr>
            <w:tcW w:w="110"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613,464</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50"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659,926</w:t>
            </w:r>
          </w:p>
        </w:tc>
        <w:tc>
          <w:tcPr>
            <w:tcW w:w="875"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515"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Total liabilities and equity</w:t>
            </w:r>
          </w:p>
        </w:tc>
        <w:tc>
          <w:tcPr>
            <w:tcW w:w="11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74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1,074,553</w:t>
            </w:r>
          </w:p>
        </w:tc>
        <w:tc>
          <w:tcPr>
            <w:tcW w:w="110"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1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60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961,967</w:t>
            </w:r>
          </w:p>
        </w:tc>
        <w:tc>
          <w:tcPr>
            <w:tcW w:w="110"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1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74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1,024,363</w:t>
            </w:r>
          </w:p>
        </w:tc>
        <w:tc>
          <w:tcPr>
            <w:tcW w:w="875"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rPr/>
      </w:pPr>
      <w:r>
        <w:rPr/>
      </w:r>
      <w:r>
        <w:br w:type="page"/>
      </w:r>
    </w:p>
    <w:p>
      <w:pPr>
        <w:pStyle w:val="TextBody"/>
        <w:spacing w:lineRule="auto" w:line="288" w:before="0" w:after="0"/>
        <w:rPr>
          <w:rFonts w:ascii="inherit" w:hAnsi="inherit"/>
          <w:sz w:val="17"/>
        </w:rPr>
      </w:pPr>
      <w:r>
        <w:rPr>
          <w:rFonts w:ascii="inherit" w:hAnsi="inherit"/>
          <w:sz w:val="17"/>
        </w:rPr>
      </w:r>
      <w:bookmarkStart w:id="31" w:name="s998043FEF68055DAAF0E7F6AEC1CD718"/>
      <w:bookmarkStart w:id="32" w:name="s998043FEF68055DAAF0E7F6AEC1CD718"/>
      <w:bookmarkEnd w:id="32"/>
    </w:p>
    <w:p>
      <w:pPr>
        <w:pStyle w:val="TextBody"/>
        <w:spacing w:before="0" w:after="0"/>
        <w:rPr/>
      </w:pPr>
      <w:r>
        <w:rPr/>
      </w:r>
    </w:p>
    <w:tbl>
      <w:tblPr>
        <w:tblW w:w="8585" w:type="dxa"/>
        <w:jc w:val="left"/>
        <w:tblInd w:w="0" w:type="dxa"/>
        <w:tblCellMar>
          <w:top w:w="0" w:type="dxa"/>
          <w:left w:w="0" w:type="dxa"/>
          <w:bottom w:w="0" w:type="dxa"/>
          <w:right w:w="0" w:type="dxa"/>
        </w:tblCellMar>
      </w:tblPr>
      <w:tblGrid>
        <w:gridCol w:w="5960"/>
        <w:gridCol w:w="110"/>
        <w:gridCol w:w="605"/>
        <w:gridCol w:w="110"/>
        <w:gridCol w:w="90"/>
        <w:gridCol w:w="110"/>
        <w:gridCol w:w="605"/>
        <w:gridCol w:w="995"/>
      </w:tblGrid>
      <w:tr>
        <w:trPr/>
        <w:tc>
          <w:tcPr>
            <w:tcW w:w="8585" w:type="dxa"/>
            <w:gridSpan w:val="8"/>
            <w:tcBorders/>
            <w:shd w:fill="auto" w:val="clear"/>
            <w:vAlign w:val="center"/>
          </w:tcPr>
          <w:p>
            <w:pPr>
              <w:pStyle w:val="TableContents"/>
              <w:spacing w:lineRule="auto" w:line="288" w:before="0" w:after="0"/>
              <w:jc w:val="center"/>
              <w:rPr>
                <w:rFonts w:ascii="inherit" w:hAnsi="inherit"/>
                <w:b/>
                <w:sz w:val="15"/>
              </w:rPr>
            </w:pPr>
            <w:r>
              <w:rPr>
                <w:rFonts w:ascii="inherit" w:hAnsi="inherit"/>
                <w:b/>
                <w:sz w:val="15"/>
              </w:rPr>
              <w:t>EZCORP, Inc.</w:t>
            </w:r>
          </w:p>
          <w:p>
            <w:pPr>
              <w:pStyle w:val="TableContents"/>
              <w:spacing w:lineRule="auto" w:line="288" w:before="0" w:after="0"/>
              <w:jc w:val="center"/>
              <w:rPr>
                <w:rFonts w:ascii="inherit" w:hAnsi="inherit"/>
                <w:b/>
                <w:sz w:val="15"/>
              </w:rPr>
            </w:pPr>
            <w:r>
              <w:rPr>
                <w:rFonts w:ascii="inherit" w:hAnsi="inherit"/>
                <w:b/>
                <w:sz w:val="15"/>
              </w:rPr>
              <w:t>CONDENSED CONSOLIDATED STATEMENTS OF CASH FLOWS</w:t>
            </w:r>
          </w:p>
        </w:tc>
      </w:tr>
      <w:tr>
        <w:trPr/>
        <w:tc>
          <w:tcPr>
            <w:tcW w:w="596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995" w:type="dxa"/>
            <w:tcBorders/>
            <w:shd w:fill="auto" w:val="clear"/>
            <w:vAlign w:val="center"/>
          </w:tcPr>
          <w:p>
            <w:pPr>
              <w:pStyle w:val="TableContents"/>
              <w:spacing w:before="0" w:after="283"/>
              <w:ind w:left="0" w:right="0" w:firstLine="420"/>
              <w:rPr>
                <w:sz w:val="4"/>
                <w:szCs w:val="4"/>
              </w:rPr>
            </w:pPr>
            <w:r>
              <w:rPr>
                <w:sz w:val="4"/>
                <w:szCs w:val="4"/>
              </w:rPr>
            </w:r>
          </w:p>
        </w:tc>
      </w:tr>
      <w:tr>
        <w:trPr/>
        <w:tc>
          <w:tcPr>
            <w:tcW w:w="5960" w:type="dxa"/>
            <w:tcBorders/>
            <w:shd w:fill="auto" w:val="clear"/>
            <w:vAlign w:val="center"/>
          </w:tcPr>
          <w:p>
            <w:pPr>
              <w:pStyle w:val="TableContents"/>
              <w:spacing w:before="0" w:after="0"/>
              <w:ind w:left="0" w:right="0" w:firstLine="30"/>
              <w:jc w:val="left"/>
              <w:rPr/>
            </w:pPr>
            <w:r>
              <w:rPr/>
              <w:t> </w:t>
            </w:r>
          </w:p>
        </w:tc>
        <w:tc>
          <w:tcPr>
            <w:tcW w:w="2625"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Six Months Ended March 31,</w:t>
            </w:r>
          </w:p>
        </w:tc>
      </w:tr>
      <w:tr>
        <w:trPr/>
        <w:tc>
          <w:tcPr>
            <w:tcW w:w="5960" w:type="dxa"/>
            <w:tcBorders/>
            <w:shd w:fill="auto" w:val="clear"/>
            <w:vAlign w:val="center"/>
          </w:tcPr>
          <w:p>
            <w:pPr>
              <w:pStyle w:val="TableContents"/>
              <w:spacing w:before="0" w:after="0"/>
              <w:ind w:left="0" w:right="0" w:firstLine="30"/>
              <w:jc w:val="left"/>
              <w:rPr/>
            </w:pPr>
            <w:r>
              <w:rPr/>
              <w:t> </w:t>
            </w:r>
          </w:p>
        </w:tc>
        <w:tc>
          <w:tcPr>
            <w:tcW w:w="825"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w:t>
            </w:r>
          </w:p>
        </w:tc>
        <w:tc>
          <w:tcPr>
            <w:tcW w:w="90" w:type="dxa"/>
            <w:tcBorders/>
            <w:shd w:fill="auto" w:val="clear"/>
            <w:vAlign w:val="center"/>
          </w:tcPr>
          <w:p>
            <w:pPr>
              <w:pStyle w:val="TableContents"/>
              <w:spacing w:before="0" w:after="0"/>
              <w:ind w:left="0" w:right="0" w:firstLine="30"/>
              <w:rPr/>
            </w:pPr>
            <w:r>
              <w:rPr/>
              <w:t> </w:t>
            </w:r>
          </w:p>
        </w:tc>
        <w:tc>
          <w:tcPr>
            <w:tcW w:w="1710"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2017</w:t>
            </w:r>
          </w:p>
        </w:tc>
      </w:tr>
      <w:tr>
        <w:trPr/>
        <w:tc>
          <w:tcPr>
            <w:tcW w:w="5960" w:type="dxa"/>
            <w:tcBorders/>
            <w:shd w:fill="auto" w:val="clear"/>
            <w:vAlign w:val="center"/>
          </w:tcPr>
          <w:p>
            <w:pPr>
              <w:pStyle w:val="TableContents"/>
              <w:spacing w:before="0" w:after="0"/>
              <w:ind w:left="0" w:right="0" w:firstLine="30"/>
              <w:rPr/>
            </w:pPr>
            <w:r>
              <w:rPr/>
              <w:t> </w:t>
            </w:r>
          </w:p>
        </w:tc>
        <w:tc>
          <w:tcPr>
            <w:tcW w:w="82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710" w:type="dxa"/>
            <w:gridSpan w:val="3"/>
            <w:tcBorders/>
            <w:shd w:fill="auto" w:val="clear"/>
            <w:vAlign w:val="center"/>
          </w:tcPr>
          <w:p>
            <w:pPr>
              <w:pStyle w:val="TableContents"/>
              <w:spacing w:before="0" w:after="0"/>
              <w:ind w:left="0" w:right="0" w:firstLine="30"/>
              <w:rPr/>
            </w:pPr>
            <w:r>
              <w:rPr/>
              <w:t> </w:t>
            </w:r>
          </w:p>
        </w:tc>
      </w:tr>
      <w:tr>
        <w:trPr/>
        <w:tc>
          <w:tcPr>
            <w:tcW w:w="5960" w:type="dxa"/>
            <w:tcBorders/>
            <w:shd w:fill="auto" w:val="clear"/>
            <w:vAlign w:val="center"/>
          </w:tcPr>
          <w:p>
            <w:pPr>
              <w:pStyle w:val="TableContents"/>
              <w:spacing w:before="0" w:after="0"/>
              <w:ind w:left="0" w:right="0" w:firstLine="30"/>
              <w:rPr/>
            </w:pPr>
            <w:r>
              <w:rPr/>
              <w:t> </w:t>
            </w:r>
          </w:p>
        </w:tc>
        <w:tc>
          <w:tcPr>
            <w:tcW w:w="2625" w:type="dxa"/>
            <w:gridSpan w:val="7"/>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(Unaudited)</w:t>
            </w:r>
          </w:p>
        </w:tc>
      </w:tr>
      <w:tr>
        <w:trPr/>
        <w:tc>
          <w:tcPr>
            <w:tcW w:w="5960" w:type="dxa"/>
            <w:tcBorders/>
            <w:shd w:fill="auto" w:val="clear"/>
            <w:vAlign w:val="center"/>
          </w:tcPr>
          <w:p>
            <w:pPr>
              <w:pStyle w:val="TableContents"/>
              <w:spacing w:before="0" w:after="0"/>
              <w:ind w:left="0" w:right="0" w:firstLine="30"/>
              <w:jc w:val="left"/>
              <w:rPr/>
            </w:pPr>
            <w:r>
              <w:rPr/>
              <w:t> </w:t>
            </w:r>
          </w:p>
        </w:tc>
        <w:tc>
          <w:tcPr>
            <w:tcW w:w="2625" w:type="dxa"/>
            <w:gridSpan w:val="7"/>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596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Operating activities:</w:t>
            </w:r>
          </w:p>
        </w:tc>
        <w:tc>
          <w:tcPr>
            <w:tcW w:w="82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710" w:type="dxa"/>
            <w:gridSpan w:val="3"/>
            <w:tcBorders/>
            <w:shd w:fill="auto" w:val="clear"/>
            <w:vAlign w:val="center"/>
          </w:tcPr>
          <w:p>
            <w:pPr>
              <w:pStyle w:val="TableContents"/>
              <w:spacing w:before="0" w:after="0"/>
              <w:ind w:left="0" w:right="0" w:firstLine="300"/>
              <w:rPr/>
            </w:pPr>
            <w:r>
              <w:rPr/>
              <w:t> </w:t>
            </w:r>
          </w:p>
        </w:tc>
      </w:tr>
      <w:tr>
        <w:trPr/>
        <w:tc>
          <w:tcPr>
            <w:tcW w:w="596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Net income</w:t>
            </w:r>
          </w:p>
        </w:tc>
        <w:tc>
          <w:tcPr>
            <w:tcW w:w="110"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605" w:type="dxa"/>
            <w:tcBorders/>
            <w:shd w:fill="auto" w:val="clear"/>
            <w:vAlign w:val="center"/>
          </w:tcPr>
          <w:p>
            <w:pPr>
              <w:pStyle w:val="TableContents"/>
              <w:spacing w:before="0" w:after="0"/>
              <w:jc w:val="right"/>
              <w:rPr>
                <w:rFonts w:ascii="inherit" w:hAnsi="inherit"/>
                <w:sz w:val="15"/>
              </w:rPr>
            </w:pPr>
            <w:r>
              <w:rPr>
                <w:rFonts w:ascii="inherit" w:hAnsi="inherit"/>
                <w:sz w:val="15"/>
              </w:rPr>
              <w:t>23,572</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10"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605" w:type="dxa"/>
            <w:tcBorders/>
            <w:shd w:fill="auto" w:val="clear"/>
            <w:vAlign w:val="center"/>
          </w:tcPr>
          <w:p>
            <w:pPr>
              <w:pStyle w:val="TableContents"/>
              <w:spacing w:before="0" w:after="0"/>
              <w:jc w:val="right"/>
              <w:rPr>
                <w:rFonts w:ascii="inherit" w:hAnsi="inherit"/>
                <w:sz w:val="15"/>
              </w:rPr>
            </w:pPr>
            <w:r>
              <w:rPr>
                <w:rFonts w:ascii="inherit" w:hAnsi="inherit"/>
                <w:sz w:val="15"/>
              </w:rPr>
              <w:t>14,894</w:t>
            </w:r>
          </w:p>
        </w:tc>
        <w:tc>
          <w:tcPr>
            <w:tcW w:w="995" w:type="dxa"/>
            <w:tcBorders/>
            <w:shd w:fill="auto" w:val="clear"/>
            <w:vAlign w:val="center"/>
          </w:tcPr>
          <w:p>
            <w:pPr>
              <w:pStyle w:val="TableContents"/>
              <w:spacing w:before="0" w:after="0"/>
              <w:ind w:left="0" w:right="0" w:firstLine="540"/>
              <w:jc w:val="left"/>
              <w:rPr>
                <w:rFonts w:ascii="inherit" w:hAnsi="inherit"/>
                <w:sz w:val="17"/>
              </w:rPr>
            </w:pPr>
            <w:r>
              <w:rPr>
                <w:rFonts w:ascii="inherit" w:hAnsi="inherit"/>
                <w:sz w:val="17"/>
              </w:rPr>
            </w:r>
          </w:p>
        </w:tc>
      </w:tr>
      <w:tr>
        <w:trPr/>
        <w:tc>
          <w:tcPr>
            <w:tcW w:w="596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Adjustments to reconcile net income to net cash flows from operating activities:</w:t>
            </w:r>
          </w:p>
        </w:tc>
        <w:tc>
          <w:tcPr>
            <w:tcW w:w="82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710" w:type="dxa"/>
            <w:gridSpan w:val="3"/>
            <w:tcBorders/>
            <w:shd w:fill="auto" w:val="clear"/>
            <w:vAlign w:val="center"/>
          </w:tcPr>
          <w:p>
            <w:pPr>
              <w:pStyle w:val="TableContents"/>
              <w:spacing w:before="0" w:after="0"/>
              <w:ind w:left="0" w:right="0" w:firstLine="780"/>
              <w:rPr/>
            </w:pPr>
            <w:r>
              <w:rPr/>
              <w:t> </w:t>
            </w:r>
          </w:p>
        </w:tc>
      </w:tr>
      <w:tr>
        <w:trPr/>
        <w:tc>
          <w:tcPr>
            <w:tcW w:w="596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Depreciation and amortization</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12,174</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12,403</w:t>
            </w:r>
          </w:p>
        </w:tc>
        <w:tc>
          <w:tcPr>
            <w:tcW w:w="995"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596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Amortization of debt discount and deferred financing costs</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7,439</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5,755</w:t>
            </w:r>
          </w:p>
        </w:tc>
        <w:tc>
          <w:tcPr>
            <w:tcW w:w="995"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596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Accretion of notes receivable discount and deferred compensation fee</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(5,032</w:t>
            </w:r>
          </w:p>
        </w:tc>
        <w:tc>
          <w:tcPr>
            <w:tcW w:w="11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(1,928</w:t>
            </w:r>
          </w:p>
        </w:tc>
        <w:tc>
          <w:tcPr>
            <w:tcW w:w="995" w:type="dxa"/>
            <w:tcBorders/>
            <w:shd w:fill="auto" w:val="clear"/>
            <w:vAlign w:val="center"/>
          </w:tcPr>
          <w:p>
            <w:pPr>
              <w:pStyle w:val="TableContents"/>
              <w:spacing w:before="0" w:after="0"/>
              <w:ind w:left="0" w:right="0" w:firstLine="780"/>
              <w:jc w:val="left"/>
              <w:rPr>
                <w:rFonts w:ascii="inherit" w:hAnsi="inherit"/>
                <w:sz w:val="15"/>
              </w:rPr>
            </w:pPr>
            <w:r>
              <w:rPr>
                <w:rFonts w:ascii="inherit" w:hAnsi="inherit"/>
                <w:sz w:val="15"/>
              </w:rPr>
              <w:t>)</w:t>
            </w:r>
          </w:p>
        </w:tc>
      </w:tr>
      <w:tr>
        <w:trPr/>
        <w:tc>
          <w:tcPr>
            <w:tcW w:w="596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Deferred income taxes</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2,801</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(664</w:t>
            </w:r>
          </w:p>
        </w:tc>
        <w:tc>
          <w:tcPr>
            <w:tcW w:w="995" w:type="dxa"/>
            <w:tcBorders/>
            <w:shd w:fill="auto" w:val="clear"/>
            <w:vAlign w:val="center"/>
          </w:tcPr>
          <w:p>
            <w:pPr>
              <w:pStyle w:val="TableContents"/>
              <w:spacing w:before="0" w:after="0"/>
              <w:ind w:left="0" w:right="0" w:firstLine="780"/>
              <w:jc w:val="left"/>
              <w:rPr>
                <w:rFonts w:ascii="inherit" w:hAnsi="inherit"/>
                <w:sz w:val="15"/>
              </w:rPr>
            </w:pPr>
            <w:r>
              <w:rPr>
                <w:rFonts w:ascii="inherit" w:hAnsi="inherit"/>
                <w:sz w:val="15"/>
              </w:rPr>
              <w:t>)</w:t>
            </w:r>
          </w:p>
        </w:tc>
      </w:tr>
      <w:tr>
        <w:trPr/>
        <w:tc>
          <w:tcPr>
            <w:tcW w:w="596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Other adjustments</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1,081</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911</w:t>
            </w:r>
          </w:p>
        </w:tc>
        <w:tc>
          <w:tcPr>
            <w:tcW w:w="995"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596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Stock compensation expense</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5,534</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3,575</w:t>
            </w:r>
          </w:p>
        </w:tc>
        <w:tc>
          <w:tcPr>
            <w:tcW w:w="995"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596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Income from investment in unconsolidated affiliate</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(2,326</w:t>
            </w:r>
          </w:p>
        </w:tc>
        <w:tc>
          <w:tcPr>
            <w:tcW w:w="11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(2,721</w:t>
            </w:r>
          </w:p>
        </w:tc>
        <w:tc>
          <w:tcPr>
            <w:tcW w:w="995" w:type="dxa"/>
            <w:tcBorders/>
            <w:shd w:fill="auto" w:val="clear"/>
            <w:vAlign w:val="center"/>
          </w:tcPr>
          <w:p>
            <w:pPr>
              <w:pStyle w:val="TableContents"/>
              <w:spacing w:before="0" w:after="0"/>
              <w:ind w:left="0" w:right="0" w:firstLine="300"/>
              <w:jc w:val="left"/>
              <w:rPr>
                <w:rFonts w:ascii="inherit" w:hAnsi="inherit"/>
                <w:sz w:val="15"/>
              </w:rPr>
            </w:pPr>
            <w:r>
              <w:rPr>
                <w:rFonts w:ascii="inherit" w:hAnsi="inherit"/>
                <w:sz w:val="15"/>
              </w:rPr>
              <w:t>)</w:t>
            </w:r>
          </w:p>
        </w:tc>
      </w:tr>
      <w:tr>
        <w:trPr/>
        <w:tc>
          <w:tcPr>
            <w:tcW w:w="596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Changes in operating assets and liabilities, net of business acquisitions:</w:t>
            </w:r>
          </w:p>
        </w:tc>
        <w:tc>
          <w:tcPr>
            <w:tcW w:w="82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710" w:type="dxa"/>
            <w:gridSpan w:val="3"/>
            <w:tcBorders/>
            <w:shd w:fill="auto" w:val="clear"/>
            <w:vAlign w:val="center"/>
          </w:tcPr>
          <w:p>
            <w:pPr>
              <w:pStyle w:val="TableContents"/>
              <w:spacing w:before="0" w:after="0"/>
              <w:ind w:left="0" w:right="0" w:firstLine="540"/>
              <w:rPr/>
            </w:pPr>
            <w:r>
              <w:rPr/>
              <w:t> </w:t>
            </w:r>
          </w:p>
        </w:tc>
      </w:tr>
      <w:tr>
        <w:trPr/>
        <w:tc>
          <w:tcPr>
            <w:tcW w:w="596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Service charges and fees receivable</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3,964</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4,151</w:t>
            </w:r>
          </w:p>
        </w:tc>
        <w:tc>
          <w:tcPr>
            <w:tcW w:w="995" w:type="dxa"/>
            <w:tcBorders/>
            <w:shd w:fill="auto" w:val="clear"/>
            <w:vAlign w:val="center"/>
          </w:tcPr>
          <w:p>
            <w:pPr>
              <w:pStyle w:val="TableContents"/>
              <w:spacing w:before="0" w:after="0"/>
              <w:ind w:left="0" w:right="0" w:firstLine="540"/>
              <w:jc w:val="left"/>
              <w:rPr>
                <w:rFonts w:ascii="inherit" w:hAnsi="inherit"/>
                <w:sz w:val="17"/>
              </w:rPr>
            </w:pPr>
            <w:r>
              <w:rPr>
                <w:rFonts w:ascii="inherit" w:hAnsi="inherit"/>
                <w:sz w:val="17"/>
              </w:rPr>
            </w:r>
          </w:p>
        </w:tc>
      </w:tr>
      <w:tr>
        <w:trPr/>
        <w:tc>
          <w:tcPr>
            <w:tcW w:w="596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Inventory</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(628</w:t>
            </w:r>
          </w:p>
        </w:tc>
        <w:tc>
          <w:tcPr>
            <w:tcW w:w="11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708</w:t>
            </w:r>
          </w:p>
        </w:tc>
        <w:tc>
          <w:tcPr>
            <w:tcW w:w="995" w:type="dxa"/>
            <w:tcBorders/>
            <w:shd w:fill="auto" w:val="clear"/>
            <w:vAlign w:val="center"/>
          </w:tcPr>
          <w:p>
            <w:pPr>
              <w:pStyle w:val="TableContents"/>
              <w:spacing w:before="0" w:after="0"/>
              <w:ind w:left="0" w:right="0" w:firstLine="540"/>
              <w:jc w:val="left"/>
              <w:rPr>
                <w:rFonts w:ascii="inherit" w:hAnsi="inherit"/>
                <w:sz w:val="17"/>
              </w:rPr>
            </w:pPr>
            <w:r>
              <w:rPr>
                <w:rFonts w:ascii="inherit" w:hAnsi="inherit"/>
                <w:sz w:val="17"/>
              </w:rPr>
            </w:r>
          </w:p>
        </w:tc>
      </w:tr>
      <w:tr>
        <w:trPr/>
        <w:tc>
          <w:tcPr>
            <w:tcW w:w="596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Prepaid expenses, other current assets and other assets</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(3,245</w:t>
            </w:r>
          </w:p>
        </w:tc>
        <w:tc>
          <w:tcPr>
            <w:tcW w:w="11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5,898</w:t>
            </w:r>
          </w:p>
        </w:tc>
        <w:tc>
          <w:tcPr>
            <w:tcW w:w="995" w:type="dxa"/>
            <w:tcBorders/>
            <w:shd w:fill="auto" w:val="clear"/>
            <w:vAlign w:val="center"/>
          </w:tcPr>
          <w:p>
            <w:pPr>
              <w:pStyle w:val="TableContents"/>
              <w:spacing w:before="0" w:after="0"/>
              <w:ind w:left="0" w:right="0" w:firstLine="540"/>
              <w:jc w:val="left"/>
              <w:rPr>
                <w:rFonts w:ascii="inherit" w:hAnsi="inherit"/>
                <w:sz w:val="17"/>
              </w:rPr>
            </w:pPr>
            <w:r>
              <w:rPr>
                <w:rFonts w:ascii="inherit" w:hAnsi="inherit"/>
                <w:sz w:val="17"/>
              </w:rPr>
            </w:r>
          </w:p>
        </w:tc>
      </w:tr>
      <w:tr>
        <w:trPr/>
        <w:tc>
          <w:tcPr>
            <w:tcW w:w="596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Accounts payable, accrued expenses and other liabilities</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(5,006</w:t>
            </w:r>
          </w:p>
        </w:tc>
        <w:tc>
          <w:tcPr>
            <w:tcW w:w="11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(30,120</w:t>
            </w:r>
          </w:p>
        </w:tc>
        <w:tc>
          <w:tcPr>
            <w:tcW w:w="995" w:type="dxa"/>
            <w:tcBorders/>
            <w:shd w:fill="auto" w:val="clear"/>
            <w:vAlign w:val="center"/>
          </w:tcPr>
          <w:p>
            <w:pPr>
              <w:pStyle w:val="TableContents"/>
              <w:spacing w:before="0" w:after="0"/>
              <w:ind w:left="0" w:right="0" w:firstLine="540"/>
              <w:jc w:val="left"/>
              <w:rPr>
                <w:rFonts w:ascii="inherit" w:hAnsi="inherit"/>
                <w:sz w:val="15"/>
              </w:rPr>
            </w:pPr>
            <w:r>
              <w:rPr>
                <w:rFonts w:ascii="inherit" w:hAnsi="inherit"/>
                <w:sz w:val="15"/>
              </w:rPr>
              <w:t>)</w:t>
            </w:r>
          </w:p>
        </w:tc>
      </w:tr>
      <w:tr>
        <w:trPr/>
        <w:tc>
          <w:tcPr>
            <w:tcW w:w="596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Customer layaway deposits</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1,128</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240</w:t>
            </w:r>
          </w:p>
        </w:tc>
        <w:tc>
          <w:tcPr>
            <w:tcW w:w="995" w:type="dxa"/>
            <w:tcBorders/>
            <w:shd w:fill="auto" w:val="clear"/>
            <w:vAlign w:val="center"/>
          </w:tcPr>
          <w:p>
            <w:pPr>
              <w:pStyle w:val="TableContents"/>
              <w:spacing w:before="0" w:after="0"/>
              <w:ind w:left="0" w:right="0" w:firstLine="540"/>
              <w:jc w:val="left"/>
              <w:rPr>
                <w:rFonts w:ascii="inherit" w:hAnsi="inherit"/>
                <w:sz w:val="17"/>
              </w:rPr>
            </w:pPr>
            <w:r>
              <w:rPr>
                <w:rFonts w:ascii="inherit" w:hAnsi="inherit"/>
                <w:sz w:val="17"/>
              </w:rPr>
            </w:r>
          </w:p>
        </w:tc>
      </w:tr>
      <w:tr>
        <w:trPr/>
        <w:tc>
          <w:tcPr>
            <w:tcW w:w="596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Income taxes, net of excess tax benefit from stock compensation</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4,085</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7,590</w:t>
            </w:r>
          </w:p>
        </w:tc>
        <w:tc>
          <w:tcPr>
            <w:tcW w:w="995" w:type="dxa"/>
            <w:tcBorders/>
            <w:shd w:fill="auto" w:val="clear"/>
            <w:vAlign w:val="center"/>
          </w:tcPr>
          <w:p>
            <w:pPr>
              <w:pStyle w:val="TableContents"/>
              <w:spacing w:before="0" w:after="0"/>
              <w:ind w:left="0" w:right="0" w:firstLine="900"/>
              <w:jc w:val="left"/>
              <w:rPr>
                <w:rFonts w:ascii="inherit" w:hAnsi="inherit"/>
                <w:sz w:val="17"/>
              </w:rPr>
            </w:pPr>
            <w:r>
              <w:rPr>
                <w:rFonts w:ascii="inherit" w:hAnsi="inherit"/>
                <w:sz w:val="17"/>
              </w:rPr>
            </w:r>
          </w:p>
        </w:tc>
      </w:tr>
      <w:tr>
        <w:trPr/>
        <w:tc>
          <w:tcPr>
            <w:tcW w:w="596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Net cash provided by operating activities</w:t>
            </w:r>
          </w:p>
        </w:tc>
        <w:tc>
          <w:tcPr>
            <w:tcW w:w="715"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5"/>
              </w:rPr>
            </w:pPr>
            <w:r>
              <w:rPr>
                <w:rFonts w:ascii="inherit" w:hAnsi="inherit"/>
                <w:sz w:val="15"/>
              </w:rPr>
              <w:t>45,541</w:t>
            </w:r>
          </w:p>
        </w:tc>
        <w:tc>
          <w:tcPr>
            <w:tcW w:w="110"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5"/>
              </w:rPr>
            </w:pPr>
            <w:r>
              <w:rPr>
                <w:rFonts w:ascii="inherit" w:hAnsi="inherit"/>
                <w:sz w:val="15"/>
              </w:rPr>
              <w:t>20,692</w:t>
            </w:r>
          </w:p>
        </w:tc>
        <w:tc>
          <w:tcPr>
            <w:tcW w:w="995"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96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Investing activities:</w:t>
            </w:r>
          </w:p>
        </w:tc>
        <w:tc>
          <w:tcPr>
            <w:tcW w:w="82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710" w:type="dxa"/>
            <w:gridSpan w:val="3"/>
            <w:tcBorders/>
            <w:shd w:fill="auto" w:val="clear"/>
            <w:vAlign w:val="center"/>
          </w:tcPr>
          <w:p>
            <w:pPr>
              <w:pStyle w:val="TableContents"/>
              <w:spacing w:before="0" w:after="0"/>
              <w:ind w:left="0" w:right="0" w:firstLine="300"/>
              <w:rPr/>
            </w:pPr>
            <w:r>
              <w:rPr/>
              <w:t> </w:t>
            </w:r>
          </w:p>
        </w:tc>
      </w:tr>
      <w:tr>
        <w:trPr/>
        <w:tc>
          <w:tcPr>
            <w:tcW w:w="596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Loans made</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(330,732</w:t>
            </w:r>
          </w:p>
        </w:tc>
        <w:tc>
          <w:tcPr>
            <w:tcW w:w="11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(300,604</w:t>
            </w:r>
          </w:p>
        </w:tc>
        <w:tc>
          <w:tcPr>
            <w:tcW w:w="995" w:type="dxa"/>
            <w:tcBorders/>
            <w:shd w:fill="auto" w:val="clear"/>
            <w:vAlign w:val="center"/>
          </w:tcPr>
          <w:p>
            <w:pPr>
              <w:pStyle w:val="TableContents"/>
              <w:spacing w:before="0" w:after="0"/>
              <w:ind w:left="0" w:right="0" w:firstLine="300"/>
              <w:jc w:val="left"/>
              <w:rPr>
                <w:rFonts w:ascii="inherit" w:hAnsi="inherit"/>
                <w:sz w:val="15"/>
              </w:rPr>
            </w:pPr>
            <w:r>
              <w:rPr>
                <w:rFonts w:ascii="inherit" w:hAnsi="inherit"/>
                <w:sz w:val="15"/>
              </w:rPr>
              <w:t>)</w:t>
            </w:r>
          </w:p>
        </w:tc>
      </w:tr>
      <w:tr>
        <w:trPr/>
        <w:tc>
          <w:tcPr>
            <w:tcW w:w="596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Loans repaid</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220,267</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199,080</w:t>
            </w:r>
          </w:p>
        </w:tc>
        <w:tc>
          <w:tcPr>
            <w:tcW w:w="99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96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Recovery of pawn loan principal through sale of forfeited collateral</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134,870</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128,238</w:t>
            </w:r>
          </w:p>
        </w:tc>
        <w:tc>
          <w:tcPr>
            <w:tcW w:w="99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96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Additions to property and equipment and capitalized labor, net</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(19,251</w:t>
            </w:r>
          </w:p>
        </w:tc>
        <w:tc>
          <w:tcPr>
            <w:tcW w:w="11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(8,020</w:t>
            </w:r>
          </w:p>
        </w:tc>
        <w:tc>
          <w:tcPr>
            <w:tcW w:w="995" w:type="dxa"/>
            <w:tcBorders/>
            <w:shd w:fill="auto" w:val="clear"/>
            <w:vAlign w:val="center"/>
          </w:tcPr>
          <w:p>
            <w:pPr>
              <w:pStyle w:val="TableContents"/>
              <w:spacing w:before="0" w:after="0"/>
              <w:ind w:left="0" w:right="0" w:firstLine="300"/>
              <w:jc w:val="left"/>
              <w:rPr>
                <w:rFonts w:ascii="inherit" w:hAnsi="inherit"/>
                <w:sz w:val="15"/>
              </w:rPr>
            </w:pPr>
            <w:r>
              <w:rPr>
                <w:rFonts w:ascii="inherit" w:hAnsi="inherit"/>
                <w:sz w:val="15"/>
              </w:rPr>
              <w:t>)</w:t>
            </w:r>
          </w:p>
        </w:tc>
      </w:tr>
      <w:tr>
        <w:trPr/>
        <w:tc>
          <w:tcPr>
            <w:tcW w:w="596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Acquisitions, net of cash acquired</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(63,780</w:t>
            </w:r>
          </w:p>
        </w:tc>
        <w:tc>
          <w:tcPr>
            <w:tcW w:w="11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pPr>
            <w:r>
              <w:rPr/>
              <w:t>—</w:t>
            </w:r>
          </w:p>
        </w:tc>
        <w:tc>
          <w:tcPr>
            <w:tcW w:w="99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96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Principal collections on notes receivable</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9,152</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15,051</w:t>
            </w:r>
          </w:p>
        </w:tc>
        <w:tc>
          <w:tcPr>
            <w:tcW w:w="995" w:type="dxa"/>
            <w:tcBorders/>
            <w:shd w:fill="auto" w:val="clear"/>
            <w:vAlign w:val="center"/>
          </w:tcPr>
          <w:p>
            <w:pPr>
              <w:pStyle w:val="TableContents"/>
              <w:spacing w:before="0" w:after="0"/>
              <w:ind w:left="0" w:right="0" w:firstLine="900"/>
              <w:jc w:val="left"/>
              <w:rPr>
                <w:rFonts w:ascii="inherit" w:hAnsi="inherit"/>
                <w:sz w:val="17"/>
              </w:rPr>
            </w:pPr>
            <w:r>
              <w:rPr>
                <w:rFonts w:ascii="inherit" w:hAnsi="inherit"/>
                <w:sz w:val="17"/>
              </w:rPr>
            </w:r>
          </w:p>
        </w:tc>
      </w:tr>
      <w:tr>
        <w:trPr/>
        <w:tc>
          <w:tcPr>
            <w:tcW w:w="596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Net cash (used in) provided by investing activities</w:t>
            </w:r>
          </w:p>
        </w:tc>
        <w:tc>
          <w:tcPr>
            <w:tcW w:w="715"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5"/>
              </w:rPr>
            </w:pPr>
            <w:r>
              <w:rPr>
                <w:rFonts w:ascii="inherit" w:hAnsi="inherit"/>
                <w:sz w:val="15"/>
              </w:rPr>
              <w:t>(49,474</w:t>
            </w:r>
          </w:p>
        </w:tc>
        <w:tc>
          <w:tcPr>
            <w:tcW w:w="110" w:type="dxa"/>
            <w:tcBorders>
              <w:top w:val="single" w:sz="2" w:space="0" w:color="000000"/>
            </w:tcBorders>
            <w:shd w:fill="auto" w:val="clear"/>
            <w:tcMar>
              <w:top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5"/>
              </w:rPr>
            </w:pPr>
            <w:r>
              <w:rPr>
                <w:rFonts w:ascii="inherit" w:hAnsi="inherit"/>
                <w:sz w:val="15"/>
              </w:rPr>
              <w:t>33,745</w:t>
            </w:r>
          </w:p>
        </w:tc>
        <w:tc>
          <w:tcPr>
            <w:tcW w:w="995"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96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Financing activities:</w:t>
            </w:r>
          </w:p>
        </w:tc>
        <w:tc>
          <w:tcPr>
            <w:tcW w:w="82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710" w:type="dxa"/>
            <w:gridSpan w:val="3"/>
            <w:tcBorders/>
            <w:shd w:fill="auto" w:val="clear"/>
            <w:vAlign w:val="center"/>
          </w:tcPr>
          <w:p>
            <w:pPr>
              <w:pStyle w:val="TableContents"/>
              <w:spacing w:before="0" w:after="0"/>
              <w:ind w:left="0" w:right="0" w:firstLine="300"/>
              <w:rPr/>
            </w:pPr>
            <w:r>
              <w:rPr/>
              <w:t> </w:t>
            </w:r>
          </w:p>
        </w:tc>
      </w:tr>
      <w:tr>
        <w:trPr/>
        <w:tc>
          <w:tcPr>
            <w:tcW w:w="596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Taxes paid related to net share settlement of equity awards</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(311</w:t>
            </w:r>
          </w:p>
        </w:tc>
        <w:tc>
          <w:tcPr>
            <w:tcW w:w="11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(767</w:t>
            </w:r>
          </w:p>
        </w:tc>
        <w:tc>
          <w:tcPr>
            <w:tcW w:w="995" w:type="dxa"/>
            <w:tcBorders/>
            <w:shd w:fill="auto" w:val="clear"/>
            <w:vAlign w:val="center"/>
          </w:tcPr>
          <w:p>
            <w:pPr>
              <w:pStyle w:val="TableContents"/>
              <w:spacing w:before="0" w:after="0"/>
              <w:ind w:left="0" w:right="0" w:firstLine="900"/>
              <w:jc w:val="left"/>
              <w:rPr>
                <w:rFonts w:ascii="inherit" w:hAnsi="inherit"/>
                <w:sz w:val="15"/>
              </w:rPr>
            </w:pPr>
            <w:r>
              <w:rPr>
                <w:rFonts w:ascii="inherit" w:hAnsi="inherit"/>
                <w:sz w:val="15"/>
              </w:rPr>
              <w:t>)</w:t>
            </w:r>
          </w:p>
        </w:tc>
      </w:tr>
      <w:tr>
        <w:trPr/>
        <w:tc>
          <w:tcPr>
            <w:tcW w:w="596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 xml:space="preserve">Net cash used in financing activities </w:t>
            </w:r>
          </w:p>
        </w:tc>
        <w:tc>
          <w:tcPr>
            <w:tcW w:w="715"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5"/>
              </w:rPr>
            </w:pPr>
            <w:r>
              <w:rPr>
                <w:rFonts w:ascii="inherit" w:hAnsi="inherit"/>
                <w:sz w:val="15"/>
              </w:rPr>
              <w:t>(311</w:t>
            </w:r>
          </w:p>
        </w:tc>
        <w:tc>
          <w:tcPr>
            <w:tcW w:w="110" w:type="dxa"/>
            <w:tcBorders>
              <w:top w:val="single" w:sz="2" w:space="0" w:color="000000"/>
            </w:tcBorders>
            <w:shd w:fill="auto" w:val="clear"/>
            <w:tcMar>
              <w:top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5"/>
              </w:rPr>
            </w:pPr>
            <w:r>
              <w:rPr>
                <w:rFonts w:ascii="inherit" w:hAnsi="inherit"/>
                <w:sz w:val="15"/>
              </w:rPr>
              <w:t>(767</w:t>
            </w:r>
          </w:p>
        </w:tc>
        <w:tc>
          <w:tcPr>
            <w:tcW w:w="995" w:type="dxa"/>
            <w:tcBorders>
              <w:top w:val="single" w:sz="2" w:space="0" w:color="000000"/>
            </w:tcBorders>
            <w:shd w:fill="auto" w:val="clear"/>
            <w:tcMar>
              <w:top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r>
      <w:tr>
        <w:trPr/>
        <w:tc>
          <w:tcPr>
            <w:tcW w:w="596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Effect of exchange rate changes on cash and cash equivalents</w:t>
            </w:r>
          </w:p>
        </w:tc>
        <w:tc>
          <w:tcPr>
            <w:tcW w:w="71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(237</w:t>
            </w:r>
          </w:p>
        </w:tc>
        <w:tc>
          <w:tcPr>
            <w:tcW w:w="11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692</w:t>
            </w:r>
          </w:p>
        </w:tc>
        <w:tc>
          <w:tcPr>
            <w:tcW w:w="99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96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Net (decrease) increase in cash and cash equivalents</w:t>
            </w:r>
          </w:p>
        </w:tc>
        <w:tc>
          <w:tcPr>
            <w:tcW w:w="715"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5"/>
              </w:rPr>
            </w:pPr>
            <w:r>
              <w:rPr>
                <w:rFonts w:ascii="inherit" w:hAnsi="inherit"/>
                <w:sz w:val="15"/>
              </w:rPr>
              <w:t>(4,481</w:t>
            </w:r>
          </w:p>
        </w:tc>
        <w:tc>
          <w:tcPr>
            <w:tcW w:w="110" w:type="dxa"/>
            <w:tcBorders>
              <w:top w:val="single" w:sz="2" w:space="0" w:color="000000"/>
            </w:tcBorders>
            <w:shd w:fill="auto" w:val="clear"/>
            <w:tcMar>
              <w:top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54,362</w:t>
            </w:r>
          </w:p>
        </w:tc>
        <w:tc>
          <w:tcPr>
            <w:tcW w:w="9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96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Cash and cash equivalents at beginning of period</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164,393</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65,737</w:t>
            </w:r>
          </w:p>
        </w:tc>
        <w:tc>
          <w:tcPr>
            <w:tcW w:w="9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96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Cash and cash equivalents at end of period</w:t>
            </w:r>
          </w:p>
        </w:tc>
        <w:tc>
          <w:tcPr>
            <w:tcW w:w="11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60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159,912</w:t>
            </w:r>
          </w:p>
        </w:tc>
        <w:tc>
          <w:tcPr>
            <w:tcW w:w="110"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1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60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120,099</w:t>
            </w:r>
          </w:p>
        </w:tc>
        <w:tc>
          <w:tcPr>
            <w:tcW w:w="995"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rPr/>
      </w:pPr>
      <w:r>
        <w:rPr/>
      </w:r>
      <w:r>
        <w:br w:type="page"/>
      </w:r>
    </w:p>
    <w:p>
      <w:pPr>
        <w:pStyle w:val="TextBody"/>
        <w:spacing w:lineRule="auto" w:line="288" w:before="0" w:after="0"/>
        <w:rPr>
          <w:rFonts w:ascii="inherit" w:hAnsi="inherit"/>
          <w:sz w:val="17"/>
        </w:rPr>
      </w:pPr>
      <w:r>
        <w:rPr>
          <w:rFonts w:ascii="inherit" w:hAnsi="inherit"/>
          <w:sz w:val="17"/>
        </w:rPr>
      </w:r>
      <w:bookmarkStart w:id="33" w:name="s21C198E4D87D50C2916997DB47F4954B"/>
      <w:bookmarkStart w:id="34" w:name="s21C198E4D87D50C2916997DB47F4954B"/>
      <w:bookmarkEnd w:id="34"/>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b/>
          <w:sz w:val="15"/>
        </w:rPr>
      </w:pPr>
      <w:bookmarkStart w:id="35" w:name="s80ea72b54eee409584a4f74511766472"/>
      <w:bookmarkEnd w:id="35"/>
      <w:r>
        <w:rPr>
          <w:rFonts w:ascii="inherit" w:hAnsi="inherit"/>
          <w:b/>
          <w:sz w:val="15"/>
        </w:rPr>
        <w:t>EZCORP, Inc.</w:t>
      </w:r>
    </w:p>
    <w:p>
      <w:pPr>
        <w:pStyle w:val="TextBody"/>
        <w:spacing w:lineRule="auto" w:line="288" w:before="0" w:after="0"/>
        <w:jc w:val="center"/>
        <w:rPr>
          <w:sz w:val="17"/>
        </w:rPr>
      </w:pPr>
      <w:r>
        <w:rPr>
          <w:rFonts w:ascii="inherit" w:hAnsi="inherit"/>
          <w:b/>
          <w:sz w:val="15"/>
        </w:rPr>
        <w:t>OPERATING SEGMENT RESULTS (UNAUDITED)</w:t>
      </w:r>
      <w:r>
        <w:rPr>
          <w:sz w:val="17"/>
        </w:rPr>
        <w:t xml:space="preserve"> </w:t>
      </w:r>
    </w:p>
    <w:tbl>
      <w:tblPr>
        <w:tblW w:w="10205" w:type="dxa"/>
        <w:jc w:val="center"/>
        <w:tblInd w:w="0" w:type="dxa"/>
        <w:tblCellMar>
          <w:top w:w="0" w:type="dxa"/>
          <w:left w:w="0" w:type="dxa"/>
          <w:bottom w:w="0" w:type="dxa"/>
          <w:right w:w="0" w:type="dxa"/>
        </w:tblCellMar>
      </w:tblPr>
      <w:tblGrid>
        <w:gridCol w:w="3251"/>
        <w:gridCol w:w="128"/>
        <w:gridCol w:w="607"/>
        <w:gridCol w:w="30"/>
        <w:gridCol w:w="90"/>
        <w:gridCol w:w="183"/>
        <w:gridCol w:w="867"/>
        <w:gridCol w:w="161"/>
        <w:gridCol w:w="90"/>
        <w:gridCol w:w="218"/>
        <w:gridCol w:w="584"/>
        <w:gridCol w:w="193"/>
        <w:gridCol w:w="90"/>
        <w:gridCol w:w="144"/>
        <w:gridCol w:w="803"/>
        <w:gridCol w:w="126"/>
        <w:gridCol w:w="90"/>
        <w:gridCol w:w="152"/>
        <w:gridCol w:w="793"/>
        <w:gridCol w:w="134"/>
        <w:gridCol w:w="90"/>
        <w:gridCol w:w="125"/>
        <w:gridCol w:w="695"/>
        <w:gridCol w:w="561"/>
      </w:tblGrid>
      <w:tr>
        <w:trPr/>
        <w:tc>
          <w:tcPr>
            <w:tcW w:w="10205" w:type="dxa"/>
            <w:gridSpan w:val="24"/>
            <w:tcBorders/>
            <w:shd w:fill="auto" w:val="clear"/>
            <w:vAlign w:val="center"/>
          </w:tcPr>
          <w:p>
            <w:pPr>
              <w:pStyle w:val="TableContents"/>
              <w:spacing w:before="0" w:after="283"/>
              <w:rPr>
                <w:sz w:val="4"/>
                <w:szCs w:val="4"/>
              </w:rPr>
            </w:pPr>
            <w:r>
              <w:rPr>
                <w:sz w:val="4"/>
                <w:szCs w:val="4"/>
              </w:rPr>
            </w:r>
          </w:p>
        </w:tc>
      </w:tr>
      <w:tr>
        <w:trPr/>
        <w:tc>
          <w:tcPr>
            <w:tcW w:w="3251"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607"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867"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584"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803"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793"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561"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251" w:type="dxa"/>
            <w:tcBorders/>
            <w:shd w:fill="auto" w:val="clear"/>
            <w:vAlign w:val="center"/>
          </w:tcPr>
          <w:p>
            <w:pPr>
              <w:pStyle w:val="TableContents"/>
              <w:spacing w:before="0" w:after="0"/>
              <w:ind w:left="0" w:right="0" w:firstLine="30"/>
              <w:jc w:val="left"/>
              <w:rPr/>
            </w:pPr>
            <w:r>
              <w:rPr/>
              <w:t> </w:t>
            </w:r>
          </w:p>
        </w:tc>
        <w:tc>
          <w:tcPr>
            <w:tcW w:w="6954" w:type="dxa"/>
            <w:gridSpan w:val="2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 March 31, 2018</w:t>
            </w:r>
          </w:p>
        </w:tc>
      </w:tr>
      <w:tr>
        <w:trPr/>
        <w:tc>
          <w:tcPr>
            <w:tcW w:w="3251" w:type="dxa"/>
            <w:tcBorders/>
            <w:shd w:fill="auto" w:val="clear"/>
            <w:vAlign w:val="center"/>
          </w:tcPr>
          <w:p>
            <w:pPr>
              <w:pStyle w:val="TableContents"/>
              <w:spacing w:before="0" w:after="0"/>
              <w:ind w:left="0" w:right="0" w:firstLine="30"/>
              <w:rPr/>
            </w:pPr>
            <w:r>
              <w:rPr/>
              <w:t>  </w:t>
            </w:r>
          </w:p>
        </w:tc>
        <w:tc>
          <w:tcPr>
            <w:tcW w:w="76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U.S. Pawn</w:t>
            </w:r>
          </w:p>
        </w:tc>
        <w:tc>
          <w:tcPr>
            <w:tcW w:w="90" w:type="dxa"/>
            <w:tcBorders/>
            <w:shd w:fill="auto" w:val="clear"/>
            <w:vAlign w:val="center"/>
          </w:tcPr>
          <w:p>
            <w:pPr>
              <w:pStyle w:val="TableContents"/>
              <w:spacing w:before="0" w:after="0"/>
              <w:ind w:left="0" w:right="0" w:firstLine="30"/>
              <w:rPr/>
            </w:pPr>
            <w:r>
              <w:rPr/>
              <w:t> </w:t>
            </w:r>
          </w:p>
        </w:tc>
        <w:tc>
          <w:tcPr>
            <w:tcW w:w="121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Latin America Pawn</w:t>
            </w:r>
          </w:p>
        </w:tc>
        <w:tc>
          <w:tcPr>
            <w:tcW w:w="90" w:type="dxa"/>
            <w:tcBorders/>
            <w:shd w:fill="auto" w:val="clear"/>
            <w:vAlign w:val="center"/>
          </w:tcPr>
          <w:p>
            <w:pPr>
              <w:pStyle w:val="TableContents"/>
              <w:spacing w:before="0" w:after="0"/>
              <w:ind w:left="0" w:right="0" w:firstLine="30"/>
              <w:rPr/>
            </w:pPr>
            <w:r>
              <w:rPr/>
              <w:t> </w:t>
            </w:r>
          </w:p>
        </w:tc>
        <w:tc>
          <w:tcPr>
            <w:tcW w:w="995"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Other</w:t>
            </w:r>
          </w:p>
          <w:p>
            <w:pPr>
              <w:pStyle w:val="TableContents"/>
              <w:spacing w:before="0" w:after="0"/>
              <w:ind w:left="0" w:right="0" w:firstLine="30"/>
              <w:jc w:val="center"/>
              <w:rPr>
                <w:rFonts w:ascii="inherit" w:hAnsi="inherit"/>
                <w:b/>
                <w:sz w:val="13"/>
              </w:rPr>
            </w:pPr>
            <w:r>
              <w:rPr>
                <w:rFonts w:ascii="inherit" w:hAnsi="inherit"/>
                <w:b/>
                <w:sz w:val="13"/>
              </w:rPr>
              <w:t>International</w:t>
            </w:r>
          </w:p>
        </w:tc>
        <w:tc>
          <w:tcPr>
            <w:tcW w:w="90" w:type="dxa"/>
            <w:tcBorders/>
            <w:shd w:fill="auto" w:val="clear"/>
            <w:vAlign w:val="center"/>
          </w:tcPr>
          <w:p>
            <w:pPr>
              <w:pStyle w:val="TableContents"/>
              <w:spacing w:before="0" w:after="0"/>
              <w:ind w:left="0" w:right="0" w:firstLine="30"/>
              <w:rPr/>
            </w:pPr>
            <w:r>
              <w:rPr/>
              <w:t> </w:t>
            </w:r>
          </w:p>
        </w:tc>
        <w:tc>
          <w:tcPr>
            <w:tcW w:w="107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Total Segments</w:t>
            </w:r>
          </w:p>
        </w:tc>
        <w:tc>
          <w:tcPr>
            <w:tcW w:w="90" w:type="dxa"/>
            <w:tcBorders/>
            <w:shd w:fill="auto" w:val="clear"/>
            <w:vAlign w:val="center"/>
          </w:tcPr>
          <w:p>
            <w:pPr>
              <w:pStyle w:val="TableContents"/>
              <w:spacing w:before="0" w:after="0"/>
              <w:ind w:left="0" w:right="0" w:firstLine="30"/>
              <w:rPr/>
            </w:pPr>
            <w:r>
              <w:rPr/>
              <w:t> </w:t>
            </w:r>
          </w:p>
        </w:tc>
        <w:tc>
          <w:tcPr>
            <w:tcW w:w="107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Corporate Items</w:t>
            </w:r>
          </w:p>
        </w:tc>
        <w:tc>
          <w:tcPr>
            <w:tcW w:w="90" w:type="dxa"/>
            <w:tcBorders/>
            <w:shd w:fill="auto" w:val="clear"/>
            <w:vAlign w:val="center"/>
          </w:tcPr>
          <w:p>
            <w:pPr>
              <w:pStyle w:val="TableContents"/>
              <w:spacing w:before="0" w:after="0"/>
              <w:ind w:left="0" w:right="0" w:firstLine="30"/>
              <w:rPr/>
            </w:pPr>
            <w:r>
              <w:rPr/>
              <w:t> </w:t>
            </w:r>
          </w:p>
        </w:tc>
        <w:tc>
          <w:tcPr>
            <w:tcW w:w="138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Consolidated</w:t>
            </w:r>
          </w:p>
        </w:tc>
      </w:tr>
      <w:tr>
        <w:trPr/>
        <w:tc>
          <w:tcPr>
            <w:tcW w:w="3251" w:type="dxa"/>
            <w:tcBorders/>
            <w:shd w:fill="auto" w:val="clear"/>
            <w:vAlign w:val="center"/>
          </w:tcPr>
          <w:p>
            <w:pPr>
              <w:pStyle w:val="TableContents"/>
              <w:spacing w:before="0" w:after="0"/>
              <w:ind w:left="0" w:right="0" w:firstLine="30"/>
              <w:rPr/>
            </w:pPr>
            <w:r>
              <w:rPr/>
              <w:t> </w:t>
            </w:r>
          </w:p>
        </w:tc>
        <w:tc>
          <w:tcPr>
            <w:tcW w:w="76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211"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9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73"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79"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381" w:type="dxa"/>
            <w:gridSpan w:val="3"/>
            <w:tcBorders/>
            <w:shd w:fill="auto" w:val="clear"/>
            <w:vAlign w:val="center"/>
          </w:tcPr>
          <w:p>
            <w:pPr>
              <w:pStyle w:val="TableContents"/>
              <w:spacing w:before="0" w:after="0"/>
              <w:ind w:left="0" w:right="0" w:firstLine="30"/>
              <w:rPr/>
            </w:pPr>
            <w:r>
              <w:rPr/>
              <w:t> </w:t>
            </w:r>
          </w:p>
        </w:tc>
      </w:tr>
      <w:tr>
        <w:trPr/>
        <w:tc>
          <w:tcPr>
            <w:tcW w:w="3251" w:type="dxa"/>
            <w:tcBorders/>
            <w:shd w:fill="auto" w:val="clear"/>
            <w:vAlign w:val="center"/>
          </w:tcPr>
          <w:p>
            <w:pPr>
              <w:pStyle w:val="TableContents"/>
              <w:spacing w:before="0" w:after="0"/>
              <w:ind w:left="0" w:right="0" w:firstLine="30"/>
              <w:jc w:val="left"/>
              <w:rPr/>
            </w:pPr>
            <w:r>
              <w:rPr/>
              <w:t> </w:t>
            </w:r>
          </w:p>
        </w:tc>
        <w:tc>
          <w:tcPr>
            <w:tcW w:w="6954" w:type="dxa"/>
            <w:gridSpan w:val="23"/>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32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Revenues:</w:t>
            </w:r>
          </w:p>
        </w:tc>
        <w:tc>
          <w:tcPr>
            <w:tcW w:w="76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211"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9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73"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79"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381" w:type="dxa"/>
            <w:gridSpan w:val="3"/>
            <w:tcBorders/>
            <w:shd w:fill="auto" w:val="clear"/>
            <w:vAlign w:val="center"/>
          </w:tcPr>
          <w:p>
            <w:pPr>
              <w:pStyle w:val="TableContents"/>
              <w:spacing w:before="0" w:after="0"/>
              <w:ind w:left="0" w:right="0" w:firstLine="300"/>
              <w:rPr/>
            </w:pPr>
            <w:r>
              <w:rPr/>
              <w:t> </w:t>
            </w:r>
          </w:p>
        </w:tc>
      </w:tr>
      <w:tr>
        <w:trPr/>
        <w:tc>
          <w:tcPr>
            <w:tcW w:w="32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Merchandise sales</w:t>
            </w:r>
          </w:p>
        </w:tc>
        <w:tc>
          <w:tcPr>
            <w:tcW w:w="128"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607" w:type="dxa"/>
            <w:tcBorders/>
            <w:shd w:fill="auto" w:val="clear"/>
            <w:vAlign w:val="center"/>
          </w:tcPr>
          <w:p>
            <w:pPr>
              <w:pStyle w:val="TableContents"/>
              <w:spacing w:before="0" w:after="0"/>
              <w:jc w:val="right"/>
              <w:rPr>
                <w:rFonts w:ascii="inherit" w:hAnsi="inherit"/>
                <w:sz w:val="17"/>
              </w:rPr>
            </w:pPr>
            <w:r>
              <w:rPr>
                <w:rFonts w:ascii="inherit" w:hAnsi="inherit"/>
                <w:sz w:val="17"/>
              </w:rPr>
              <w:t>94,753</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83"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867" w:type="dxa"/>
            <w:tcBorders/>
            <w:shd w:fill="auto" w:val="clear"/>
            <w:vAlign w:val="center"/>
          </w:tcPr>
          <w:p>
            <w:pPr>
              <w:pStyle w:val="TableContents"/>
              <w:spacing w:before="0" w:after="0"/>
              <w:jc w:val="right"/>
              <w:rPr>
                <w:rFonts w:ascii="inherit" w:hAnsi="inherit"/>
                <w:sz w:val="17"/>
              </w:rPr>
            </w:pPr>
            <w:r>
              <w:rPr>
                <w:rFonts w:ascii="inherit" w:hAnsi="inherit"/>
                <w:sz w:val="17"/>
              </w:rPr>
              <w:t>20,192</w:t>
            </w:r>
          </w:p>
        </w:tc>
        <w:tc>
          <w:tcPr>
            <w:tcW w:w="1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218"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584" w:type="dxa"/>
            <w:tcBorders/>
            <w:shd w:fill="auto" w:val="clear"/>
            <w:vAlign w:val="center"/>
          </w:tcPr>
          <w:p>
            <w:pPr>
              <w:pStyle w:val="TableContents"/>
              <w:spacing w:before="0" w:after="0"/>
              <w:jc w:val="right"/>
              <w:rPr/>
            </w:pPr>
            <w:r>
              <w:rPr/>
              <w:t>—</w:t>
            </w:r>
          </w:p>
        </w:tc>
        <w:tc>
          <w:tcPr>
            <w:tcW w:w="1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44"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803" w:type="dxa"/>
            <w:tcBorders/>
            <w:shd w:fill="auto" w:val="clear"/>
            <w:vAlign w:val="center"/>
          </w:tcPr>
          <w:p>
            <w:pPr>
              <w:pStyle w:val="TableContents"/>
              <w:spacing w:before="0" w:after="0"/>
              <w:jc w:val="right"/>
              <w:rPr>
                <w:rFonts w:ascii="inherit" w:hAnsi="inherit"/>
                <w:sz w:val="17"/>
              </w:rPr>
            </w:pPr>
            <w:r>
              <w:rPr>
                <w:rFonts w:ascii="inherit" w:hAnsi="inherit"/>
                <w:sz w:val="17"/>
              </w:rPr>
              <w:t>114,945</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52"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793" w:type="dxa"/>
            <w:tcBorders/>
            <w:shd w:fill="auto" w:val="clear"/>
            <w:vAlign w:val="center"/>
          </w:tcPr>
          <w:p>
            <w:pPr>
              <w:pStyle w:val="TableContents"/>
              <w:spacing w:before="0" w:after="0"/>
              <w:jc w:val="right"/>
              <w:rPr/>
            </w:pPr>
            <w:r>
              <w:rPr/>
              <w:t>—</w:t>
            </w:r>
          </w:p>
        </w:tc>
        <w:tc>
          <w:tcPr>
            <w:tcW w:w="1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shd w:fill="auto" w:val="clear"/>
            <w:vAlign w:val="center"/>
          </w:tcPr>
          <w:p>
            <w:pPr>
              <w:pStyle w:val="TableContents"/>
              <w:spacing w:before="0" w:after="0"/>
              <w:jc w:val="right"/>
              <w:rPr>
                <w:rFonts w:ascii="inherit" w:hAnsi="inherit"/>
                <w:sz w:val="17"/>
              </w:rPr>
            </w:pPr>
            <w:r>
              <w:rPr>
                <w:rFonts w:ascii="inherit" w:hAnsi="inherit"/>
                <w:sz w:val="17"/>
              </w:rPr>
              <w:t>114,945</w:t>
            </w:r>
          </w:p>
        </w:tc>
        <w:tc>
          <w:tcPr>
            <w:tcW w:w="561"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2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sales</w:t>
            </w:r>
          </w:p>
        </w:tc>
        <w:tc>
          <w:tcPr>
            <w:tcW w:w="73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8,177</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5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3,348</w:t>
            </w:r>
          </w:p>
        </w:tc>
        <w:tc>
          <w:tcPr>
            <w:tcW w:w="1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02" w:type="dxa"/>
            <w:gridSpan w:val="2"/>
            <w:tcBorders/>
            <w:shd w:fill="auto" w:val="clear"/>
            <w:vAlign w:val="center"/>
          </w:tcPr>
          <w:p>
            <w:pPr>
              <w:pStyle w:val="TableContents"/>
              <w:spacing w:before="0" w:after="0"/>
              <w:jc w:val="right"/>
              <w:rPr/>
            </w:pPr>
            <w:r>
              <w:rPr/>
              <w:t>—</w:t>
            </w:r>
          </w:p>
        </w:tc>
        <w:tc>
          <w:tcPr>
            <w:tcW w:w="1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4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11,525</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45" w:type="dxa"/>
            <w:gridSpan w:val="2"/>
            <w:tcBorders/>
            <w:shd w:fill="auto" w:val="clear"/>
            <w:vAlign w:val="center"/>
          </w:tcPr>
          <w:p>
            <w:pPr>
              <w:pStyle w:val="TableContents"/>
              <w:spacing w:before="0" w:after="0"/>
              <w:jc w:val="right"/>
              <w:rPr/>
            </w:pPr>
            <w:r>
              <w:rPr/>
              <w:t>—</w:t>
            </w:r>
          </w:p>
        </w:tc>
        <w:tc>
          <w:tcPr>
            <w:tcW w:w="1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11,525</w:t>
            </w:r>
          </w:p>
        </w:tc>
        <w:tc>
          <w:tcPr>
            <w:tcW w:w="561"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2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Pawn service charges</w:t>
            </w:r>
          </w:p>
        </w:tc>
        <w:tc>
          <w:tcPr>
            <w:tcW w:w="73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59,114</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5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15,253</w:t>
            </w:r>
          </w:p>
        </w:tc>
        <w:tc>
          <w:tcPr>
            <w:tcW w:w="1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02" w:type="dxa"/>
            <w:gridSpan w:val="2"/>
            <w:tcBorders/>
            <w:shd w:fill="auto" w:val="clear"/>
            <w:vAlign w:val="center"/>
          </w:tcPr>
          <w:p>
            <w:pPr>
              <w:pStyle w:val="TableContents"/>
              <w:spacing w:before="0" w:after="0"/>
              <w:jc w:val="right"/>
              <w:rPr/>
            </w:pPr>
            <w:r>
              <w:rPr/>
              <w:t>—</w:t>
            </w:r>
          </w:p>
        </w:tc>
        <w:tc>
          <w:tcPr>
            <w:tcW w:w="1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4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74,367</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45" w:type="dxa"/>
            <w:gridSpan w:val="2"/>
            <w:tcBorders/>
            <w:shd w:fill="auto" w:val="clear"/>
            <w:vAlign w:val="center"/>
          </w:tcPr>
          <w:p>
            <w:pPr>
              <w:pStyle w:val="TableContents"/>
              <w:spacing w:before="0" w:after="0"/>
              <w:jc w:val="right"/>
              <w:rPr/>
            </w:pPr>
            <w:r>
              <w:rPr/>
              <w:t>—</w:t>
            </w:r>
          </w:p>
        </w:tc>
        <w:tc>
          <w:tcPr>
            <w:tcW w:w="1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74,367</w:t>
            </w:r>
          </w:p>
        </w:tc>
        <w:tc>
          <w:tcPr>
            <w:tcW w:w="561"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2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revenues</w:t>
            </w:r>
          </w:p>
        </w:tc>
        <w:tc>
          <w:tcPr>
            <w:tcW w:w="73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76</w:t>
            </w:r>
          </w:p>
        </w:tc>
        <w:tc>
          <w:tcPr>
            <w:tcW w:w="3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5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174</w:t>
            </w:r>
          </w:p>
        </w:tc>
        <w:tc>
          <w:tcPr>
            <w:tcW w:w="161"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02"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1,647</w:t>
            </w:r>
          </w:p>
        </w:tc>
        <w:tc>
          <w:tcPr>
            <w:tcW w:w="193"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4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1,897</w:t>
            </w:r>
          </w:p>
        </w:tc>
        <w:tc>
          <w:tcPr>
            <w:tcW w:w="12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45"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34"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1,897</w:t>
            </w:r>
          </w:p>
        </w:tc>
        <w:tc>
          <w:tcPr>
            <w:tcW w:w="561" w:type="dxa"/>
            <w:tcBorders>
              <w:bottom w:val="single" w:sz="2" w:space="0" w:color="000000"/>
            </w:tcBorders>
            <w:shd w:fill="auto" w:val="clear"/>
            <w:tcMar>
              <w:bottom w:w="28" w:type="dxa"/>
            </w:tcMar>
            <w:vAlign w:val="center"/>
          </w:tcPr>
          <w:p>
            <w:pPr>
              <w:pStyle w:val="TableContents"/>
              <w:spacing w:before="0" w:after="0"/>
              <w:ind w:left="0" w:right="0" w:firstLine="540"/>
              <w:jc w:val="left"/>
              <w:rPr>
                <w:rFonts w:ascii="inherit" w:hAnsi="inherit"/>
                <w:sz w:val="17"/>
              </w:rPr>
            </w:pPr>
            <w:r>
              <w:rPr>
                <w:rFonts w:ascii="inherit" w:hAnsi="inherit"/>
                <w:sz w:val="17"/>
              </w:rPr>
            </w:r>
          </w:p>
        </w:tc>
      </w:tr>
      <w:tr>
        <w:trPr/>
        <w:tc>
          <w:tcPr>
            <w:tcW w:w="32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revenues</w:t>
            </w:r>
          </w:p>
        </w:tc>
        <w:tc>
          <w:tcPr>
            <w:tcW w:w="73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162,120</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5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38,967</w:t>
            </w:r>
          </w:p>
        </w:tc>
        <w:tc>
          <w:tcPr>
            <w:tcW w:w="1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0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1,647</w:t>
            </w:r>
          </w:p>
        </w:tc>
        <w:tc>
          <w:tcPr>
            <w:tcW w:w="1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4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202,734</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45" w:type="dxa"/>
            <w:gridSpan w:val="2"/>
            <w:tcBorders/>
            <w:shd w:fill="auto" w:val="clear"/>
            <w:vAlign w:val="center"/>
          </w:tcPr>
          <w:p>
            <w:pPr>
              <w:pStyle w:val="TableContents"/>
              <w:spacing w:before="0" w:after="0"/>
              <w:jc w:val="right"/>
              <w:rPr/>
            </w:pPr>
            <w:r>
              <w:rPr/>
              <w:t>—</w:t>
            </w:r>
          </w:p>
        </w:tc>
        <w:tc>
          <w:tcPr>
            <w:tcW w:w="1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202,734</w:t>
            </w:r>
          </w:p>
        </w:tc>
        <w:tc>
          <w:tcPr>
            <w:tcW w:w="5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2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Merchandise cost of goods sold</w:t>
            </w:r>
          </w:p>
        </w:tc>
        <w:tc>
          <w:tcPr>
            <w:tcW w:w="73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58,537</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5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13,683</w:t>
            </w:r>
          </w:p>
        </w:tc>
        <w:tc>
          <w:tcPr>
            <w:tcW w:w="1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02" w:type="dxa"/>
            <w:gridSpan w:val="2"/>
            <w:tcBorders/>
            <w:shd w:fill="auto" w:val="clear"/>
            <w:vAlign w:val="center"/>
          </w:tcPr>
          <w:p>
            <w:pPr>
              <w:pStyle w:val="TableContents"/>
              <w:spacing w:before="0" w:after="0"/>
              <w:jc w:val="right"/>
              <w:rPr/>
            </w:pPr>
            <w:r>
              <w:rPr/>
              <w:t>—</w:t>
            </w:r>
          </w:p>
        </w:tc>
        <w:tc>
          <w:tcPr>
            <w:tcW w:w="1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4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72,220</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45" w:type="dxa"/>
            <w:gridSpan w:val="2"/>
            <w:tcBorders/>
            <w:shd w:fill="auto" w:val="clear"/>
            <w:vAlign w:val="center"/>
          </w:tcPr>
          <w:p>
            <w:pPr>
              <w:pStyle w:val="TableContents"/>
              <w:spacing w:before="0" w:after="0"/>
              <w:jc w:val="right"/>
              <w:rPr/>
            </w:pPr>
            <w:r>
              <w:rPr/>
              <w:t>—</w:t>
            </w:r>
          </w:p>
        </w:tc>
        <w:tc>
          <w:tcPr>
            <w:tcW w:w="1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72,220</w:t>
            </w:r>
          </w:p>
        </w:tc>
        <w:tc>
          <w:tcPr>
            <w:tcW w:w="5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2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cost of goods sold</w:t>
            </w:r>
          </w:p>
        </w:tc>
        <w:tc>
          <w:tcPr>
            <w:tcW w:w="73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6,512</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5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3,062</w:t>
            </w:r>
          </w:p>
        </w:tc>
        <w:tc>
          <w:tcPr>
            <w:tcW w:w="1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02" w:type="dxa"/>
            <w:gridSpan w:val="2"/>
            <w:tcBorders/>
            <w:shd w:fill="auto" w:val="clear"/>
            <w:vAlign w:val="center"/>
          </w:tcPr>
          <w:p>
            <w:pPr>
              <w:pStyle w:val="TableContents"/>
              <w:spacing w:before="0" w:after="0"/>
              <w:jc w:val="right"/>
              <w:rPr/>
            </w:pPr>
            <w:r>
              <w:rPr/>
              <w:t>—</w:t>
            </w:r>
          </w:p>
        </w:tc>
        <w:tc>
          <w:tcPr>
            <w:tcW w:w="1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4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9,574</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45" w:type="dxa"/>
            <w:gridSpan w:val="2"/>
            <w:tcBorders/>
            <w:shd w:fill="auto" w:val="clear"/>
            <w:vAlign w:val="center"/>
          </w:tcPr>
          <w:p>
            <w:pPr>
              <w:pStyle w:val="TableContents"/>
              <w:spacing w:before="0" w:after="0"/>
              <w:jc w:val="right"/>
              <w:rPr/>
            </w:pPr>
            <w:r>
              <w:rPr/>
              <w:t>—</w:t>
            </w:r>
          </w:p>
        </w:tc>
        <w:tc>
          <w:tcPr>
            <w:tcW w:w="1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9,574</w:t>
            </w:r>
          </w:p>
        </w:tc>
        <w:tc>
          <w:tcPr>
            <w:tcW w:w="5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2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cost of revenues</w:t>
            </w:r>
          </w:p>
        </w:tc>
        <w:tc>
          <w:tcPr>
            <w:tcW w:w="735"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3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50"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61"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02"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347</w:t>
            </w:r>
          </w:p>
        </w:tc>
        <w:tc>
          <w:tcPr>
            <w:tcW w:w="193"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4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347</w:t>
            </w:r>
          </w:p>
        </w:tc>
        <w:tc>
          <w:tcPr>
            <w:tcW w:w="12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45"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34"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347</w:t>
            </w:r>
          </w:p>
        </w:tc>
        <w:tc>
          <w:tcPr>
            <w:tcW w:w="561" w:type="dxa"/>
            <w:tcBorders>
              <w:bottom w:val="single" w:sz="2" w:space="0" w:color="000000"/>
            </w:tcBorders>
            <w:shd w:fill="auto" w:val="clear"/>
            <w:tcMar>
              <w:bottom w:w="28" w:type="dxa"/>
            </w:tcMar>
            <w:vAlign w:val="center"/>
          </w:tcPr>
          <w:p>
            <w:pPr>
              <w:pStyle w:val="TableContents"/>
              <w:spacing w:before="0" w:after="0"/>
              <w:ind w:left="0" w:right="0" w:firstLine="540"/>
              <w:jc w:val="left"/>
              <w:rPr>
                <w:rFonts w:ascii="inherit" w:hAnsi="inherit"/>
                <w:sz w:val="17"/>
              </w:rPr>
            </w:pPr>
            <w:r>
              <w:rPr>
                <w:rFonts w:ascii="inherit" w:hAnsi="inherit"/>
                <w:sz w:val="17"/>
              </w:rPr>
            </w:r>
          </w:p>
        </w:tc>
      </w:tr>
      <w:tr>
        <w:trPr/>
        <w:tc>
          <w:tcPr>
            <w:tcW w:w="32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revenues</w:t>
            </w:r>
          </w:p>
        </w:tc>
        <w:tc>
          <w:tcPr>
            <w:tcW w:w="73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97,071</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5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22,222</w:t>
            </w:r>
          </w:p>
        </w:tc>
        <w:tc>
          <w:tcPr>
            <w:tcW w:w="1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0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1,300</w:t>
            </w:r>
          </w:p>
        </w:tc>
        <w:tc>
          <w:tcPr>
            <w:tcW w:w="1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4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120,593</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45" w:type="dxa"/>
            <w:gridSpan w:val="2"/>
            <w:tcBorders/>
            <w:shd w:fill="auto" w:val="clear"/>
            <w:vAlign w:val="center"/>
          </w:tcPr>
          <w:p>
            <w:pPr>
              <w:pStyle w:val="TableContents"/>
              <w:spacing w:before="0" w:after="0"/>
              <w:jc w:val="right"/>
              <w:rPr/>
            </w:pPr>
            <w:r>
              <w:rPr/>
              <w:t>—</w:t>
            </w:r>
          </w:p>
        </w:tc>
        <w:tc>
          <w:tcPr>
            <w:tcW w:w="1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120,593</w:t>
            </w:r>
          </w:p>
        </w:tc>
        <w:tc>
          <w:tcPr>
            <w:tcW w:w="5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2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Segment and corporate expenses (income):</w:t>
            </w:r>
          </w:p>
        </w:tc>
        <w:tc>
          <w:tcPr>
            <w:tcW w:w="76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211"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9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73"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79"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381" w:type="dxa"/>
            <w:gridSpan w:val="3"/>
            <w:tcBorders/>
            <w:shd w:fill="auto" w:val="clear"/>
            <w:vAlign w:val="center"/>
          </w:tcPr>
          <w:p>
            <w:pPr>
              <w:pStyle w:val="TableContents"/>
              <w:spacing w:before="0" w:after="0"/>
              <w:ind w:left="0" w:right="0" w:firstLine="300"/>
              <w:rPr/>
            </w:pPr>
            <w:r>
              <w:rPr/>
              <w:t> </w:t>
            </w:r>
          </w:p>
        </w:tc>
      </w:tr>
      <w:tr>
        <w:trPr/>
        <w:tc>
          <w:tcPr>
            <w:tcW w:w="32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Operations</w:t>
            </w:r>
          </w:p>
        </w:tc>
        <w:tc>
          <w:tcPr>
            <w:tcW w:w="73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65,191</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5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14,994</w:t>
            </w:r>
          </w:p>
        </w:tc>
        <w:tc>
          <w:tcPr>
            <w:tcW w:w="1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0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1,975</w:t>
            </w:r>
          </w:p>
        </w:tc>
        <w:tc>
          <w:tcPr>
            <w:tcW w:w="1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4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82,160</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45" w:type="dxa"/>
            <w:gridSpan w:val="2"/>
            <w:tcBorders/>
            <w:shd w:fill="auto" w:val="clear"/>
            <w:vAlign w:val="center"/>
          </w:tcPr>
          <w:p>
            <w:pPr>
              <w:pStyle w:val="TableContents"/>
              <w:spacing w:before="0" w:after="0"/>
              <w:jc w:val="right"/>
              <w:rPr/>
            </w:pPr>
            <w:r>
              <w:rPr/>
              <w:t>—</w:t>
            </w:r>
          </w:p>
        </w:tc>
        <w:tc>
          <w:tcPr>
            <w:tcW w:w="1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82,160</w:t>
            </w:r>
          </w:p>
        </w:tc>
        <w:tc>
          <w:tcPr>
            <w:tcW w:w="561"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2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Administrative</w:t>
            </w:r>
          </w:p>
        </w:tc>
        <w:tc>
          <w:tcPr>
            <w:tcW w:w="735" w:type="dxa"/>
            <w:gridSpan w:val="2"/>
            <w:tcBorders/>
            <w:shd w:fill="auto" w:val="clear"/>
            <w:vAlign w:val="center"/>
          </w:tcPr>
          <w:p>
            <w:pPr>
              <w:pStyle w:val="TableContents"/>
              <w:spacing w:before="0" w:after="0"/>
              <w:jc w:val="right"/>
              <w:rPr/>
            </w:pPr>
            <w:r>
              <w:rPr/>
              <w:t>—</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50" w:type="dxa"/>
            <w:gridSpan w:val="2"/>
            <w:tcBorders/>
            <w:shd w:fill="auto" w:val="clear"/>
            <w:vAlign w:val="center"/>
          </w:tcPr>
          <w:p>
            <w:pPr>
              <w:pStyle w:val="TableContents"/>
              <w:spacing w:before="0" w:after="0"/>
              <w:jc w:val="right"/>
              <w:rPr/>
            </w:pPr>
            <w:r>
              <w:rPr/>
              <w:t>—</w:t>
            </w:r>
          </w:p>
        </w:tc>
        <w:tc>
          <w:tcPr>
            <w:tcW w:w="1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02" w:type="dxa"/>
            <w:gridSpan w:val="2"/>
            <w:tcBorders/>
            <w:shd w:fill="auto" w:val="clear"/>
            <w:vAlign w:val="center"/>
          </w:tcPr>
          <w:p>
            <w:pPr>
              <w:pStyle w:val="TableContents"/>
              <w:spacing w:before="0" w:after="0"/>
              <w:jc w:val="right"/>
              <w:rPr/>
            </w:pPr>
            <w:r>
              <w:rPr/>
              <w:t>—</w:t>
            </w:r>
          </w:p>
        </w:tc>
        <w:tc>
          <w:tcPr>
            <w:tcW w:w="1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47" w:type="dxa"/>
            <w:gridSpan w:val="2"/>
            <w:tcBorders/>
            <w:shd w:fill="auto" w:val="clear"/>
            <w:vAlign w:val="center"/>
          </w:tcPr>
          <w:p>
            <w:pPr>
              <w:pStyle w:val="TableContents"/>
              <w:spacing w:before="0" w:after="0"/>
              <w:jc w:val="right"/>
              <w:rPr/>
            </w:pPr>
            <w:r>
              <w:rPr/>
              <w:t>—</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4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13,341</w:t>
            </w:r>
          </w:p>
        </w:tc>
        <w:tc>
          <w:tcPr>
            <w:tcW w:w="1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13,341</w:t>
            </w:r>
          </w:p>
        </w:tc>
        <w:tc>
          <w:tcPr>
            <w:tcW w:w="561"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2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Depreciation and amortization</w:t>
            </w:r>
          </w:p>
        </w:tc>
        <w:tc>
          <w:tcPr>
            <w:tcW w:w="73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3,531</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5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916</w:t>
            </w:r>
          </w:p>
        </w:tc>
        <w:tc>
          <w:tcPr>
            <w:tcW w:w="1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0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47</w:t>
            </w:r>
          </w:p>
        </w:tc>
        <w:tc>
          <w:tcPr>
            <w:tcW w:w="1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4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4,494</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4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1,957</w:t>
            </w:r>
          </w:p>
        </w:tc>
        <w:tc>
          <w:tcPr>
            <w:tcW w:w="1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6,451</w:t>
            </w:r>
          </w:p>
        </w:tc>
        <w:tc>
          <w:tcPr>
            <w:tcW w:w="561"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2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Loss (gain) on sale or disposal of assets</w:t>
            </w:r>
          </w:p>
        </w:tc>
        <w:tc>
          <w:tcPr>
            <w:tcW w:w="73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107</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5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w:t>
            </w:r>
          </w:p>
        </w:tc>
        <w:tc>
          <w:tcPr>
            <w:tcW w:w="1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802" w:type="dxa"/>
            <w:gridSpan w:val="2"/>
            <w:tcBorders/>
            <w:shd w:fill="auto" w:val="clear"/>
            <w:vAlign w:val="center"/>
          </w:tcPr>
          <w:p>
            <w:pPr>
              <w:pStyle w:val="TableContents"/>
              <w:spacing w:before="0" w:after="0"/>
              <w:jc w:val="right"/>
              <w:rPr/>
            </w:pPr>
            <w:r>
              <w:rPr/>
              <w:t>—</w:t>
            </w:r>
          </w:p>
        </w:tc>
        <w:tc>
          <w:tcPr>
            <w:tcW w:w="1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4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102</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4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w:t>
            </w:r>
          </w:p>
        </w:tc>
        <w:tc>
          <w:tcPr>
            <w:tcW w:w="1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100</w:t>
            </w:r>
          </w:p>
        </w:tc>
        <w:tc>
          <w:tcPr>
            <w:tcW w:w="561"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2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Interest expense</w:t>
            </w:r>
          </w:p>
        </w:tc>
        <w:tc>
          <w:tcPr>
            <w:tcW w:w="735" w:type="dxa"/>
            <w:gridSpan w:val="2"/>
            <w:tcBorders/>
            <w:shd w:fill="auto" w:val="clear"/>
            <w:vAlign w:val="center"/>
          </w:tcPr>
          <w:p>
            <w:pPr>
              <w:pStyle w:val="TableContents"/>
              <w:spacing w:before="0" w:after="0"/>
              <w:jc w:val="right"/>
              <w:rPr/>
            </w:pPr>
            <w:r>
              <w:rPr/>
              <w:t>—</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5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w:t>
            </w:r>
          </w:p>
        </w:tc>
        <w:tc>
          <w:tcPr>
            <w:tcW w:w="1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02" w:type="dxa"/>
            <w:gridSpan w:val="2"/>
            <w:tcBorders/>
            <w:shd w:fill="auto" w:val="clear"/>
            <w:vAlign w:val="center"/>
          </w:tcPr>
          <w:p>
            <w:pPr>
              <w:pStyle w:val="TableContents"/>
              <w:spacing w:before="0" w:after="0"/>
              <w:jc w:val="right"/>
              <w:rPr/>
            </w:pPr>
            <w:r>
              <w:rPr/>
              <w:t>—</w:t>
            </w:r>
          </w:p>
        </w:tc>
        <w:tc>
          <w:tcPr>
            <w:tcW w:w="1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4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4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5,827</w:t>
            </w:r>
          </w:p>
        </w:tc>
        <w:tc>
          <w:tcPr>
            <w:tcW w:w="1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5,829</w:t>
            </w:r>
          </w:p>
        </w:tc>
        <w:tc>
          <w:tcPr>
            <w:tcW w:w="561"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2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Interest income</w:t>
            </w:r>
          </w:p>
        </w:tc>
        <w:tc>
          <w:tcPr>
            <w:tcW w:w="735" w:type="dxa"/>
            <w:gridSpan w:val="2"/>
            <w:tcBorders/>
            <w:shd w:fill="auto" w:val="clear"/>
            <w:vAlign w:val="center"/>
          </w:tcPr>
          <w:p>
            <w:pPr>
              <w:pStyle w:val="TableContents"/>
              <w:spacing w:before="0" w:after="0"/>
              <w:jc w:val="right"/>
              <w:rPr/>
            </w:pPr>
            <w:r>
              <w:rPr/>
              <w:t>—</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5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(763</w:t>
            </w:r>
          </w:p>
        </w:tc>
        <w:tc>
          <w:tcPr>
            <w:tcW w:w="1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802" w:type="dxa"/>
            <w:gridSpan w:val="2"/>
            <w:tcBorders/>
            <w:shd w:fill="auto" w:val="clear"/>
            <w:vAlign w:val="center"/>
          </w:tcPr>
          <w:p>
            <w:pPr>
              <w:pStyle w:val="TableContents"/>
              <w:spacing w:before="0" w:after="0"/>
              <w:jc w:val="right"/>
              <w:rPr/>
            </w:pPr>
            <w:r>
              <w:rPr/>
              <w:t>—</w:t>
            </w:r>
          </w:p>
        </w:tc>
        <w:tc>
          <w:tcPr>
            <w:tcW w:w="1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4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(763</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94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(3,505</w:t>
            </w:r>
          </w:p>
        </w:tc>
        <w:tc>
          <w:tcPr>
            <w:tcW w:w="1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(4,268</w:t>
            </w:r>
          </w:p>
        </w:tc>
        <w:tc>
          <w:tcPr>
            <w:tcW w:w="561"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t>)</w:t>
            </w:r>
          </w:p>
        </w:tc>
      </w:tr>
      <w:tr>
        <w:trPr/>
        <w:tc>
          <w:tcPr>
            <w:tcW w:w="32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Equity in net income of unconsolidated affiliate</w:t>
            </w:r>
          </w:p>
        </w:tc>
        <w:tc>
          <w:tcPr>
            <w:tcW w:w="735" w:type="dxa"/>
            <w:gridSpan w:val="2"/>
            <w:tcBorders/>
            <w:shd w:fill="auto" w:val="clear"/>
            <w:vAlign w:val="center"/>
          </w:tcPr>
          <w:p>
            <w:pPr>
              <w:pStyle w:val="TableContents"/>
              <w:spacing w:before="0" w:after="0"/>
              <w:jc w:val="right"/>
              <w:rPr/>
            </w:pPr>
            <w:r>
              <w:rPr/>
              <w:t>—</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50" w:type="dxa"/>
            <w:gridSpan w:val="2"/>
            <w:tcBorders/>
            <w:shd w:fill="auto" w:val="clear"/>
            <w:vAlign w:val="center"/>
          </w:tcPr>
          <w:p>
            <w:pPr>
              <w:pStyle w:val="TableContents"/>
              <w:spacing w:before="0" w:after="0"/>
              <w:jc w:val="right"/>
              <w:rPr/>
            </w:pPr>
            <w:r>
              <w:rPr/>
              <w:t>—</w:t>
            </w:r>
          </w:p>
        </w:tc>
        <w:tc>
          <w:tcPr>
            <w:tcW w:w="1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0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(876</w:t>
            </w:r>
          </w:p>
        </w:tc>
        <w:tc>
          <w:tcPr>
            <w:tcW w:w="1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94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(876</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945" w:type="dxa"/>
            <w:gridSpan w:val="2"/>
            <w:tcBorders/>
            <w:shd w:fill="auto" w:val="clear"/>
            <w:vAlign w:val="center"/>
          </w:tcPr>
          <w:p>
            <w:pPr>
              <w:pStyle w:val="TableContents"/>
              <w:spacing w:before="0" w:after="0"/>
              <w:jc w:val="right"/>
              <w:rPr/>
            </w:pPr>
            <w:r>
              <w:rPr/>
              <w:t>—</w:t>
            </w:r>
          </w:p>
        </w:tc>
        <w:tc>
          <w:tcPr>
            <w:tcW w:w="1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(876</w:t>
            </w:r>
          </w:p>
        </w:tc>
        <w:tc>
          <w:tcPr>
            <w:tcW w:w="561"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t>)</w:t>
            </w:r>
          </w:p>
        </w:tc>
      </w:tr>
      <w:tr>
        <w:trPr/>
        <w:tc>
          <w:tcPr>
            <w:tcW w:w="32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(income) expense</w:t>
            </w:r>
          </w:p>
        </w:tc>
        <w:tc>
          <w:tcPr>
            <w:tcW w:w="73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5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w:t>
            </w:r>
          </w:p>
        </w:tc>
        <w:tc>
          <w:tcPr>
            <w:tcW w:w="1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80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(35</w:t>
            </w:r>
          </w:p>
        </w:tc>
        <w:tc>
          <w:tcPr>
            <w:tcW w:w="1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94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(35</w:t>
            </w:r>
          </w:p>
        </w:tc>
        <w:tc>
          <w:tcPr>
            <w:tcW w:w="126"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94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31</w:t>
            </w:r>
          </w:p>
        </w:tc>
        <w:tc>
          <w:tcPr>
            <w:tcW w:w="134"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w:t>
            </w:r>
          </w:p>
        </w:tc>
        <w:tc>
          <w:tcPr>
            <w:tcW w:w="561"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32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 xml:space="preserve">Segment contribution </w:t>
            </w:r>
          </w:p>
        </w:tc>
        <w:tc>
          <w:tcPr>
            <w:tcW w:w="128"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07"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28,241</w:t>
            </w:r>
          </w:p>
        </w:tc>
        <w:tc>
          <w:tcPr>
            <w:tcW w:w="30"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83"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67"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7,079</w:t>
            </w:r>
          </w:p>
        </w:tc>
        <w:tc>
          <w:tcPr>
            <w:tcW w:w="161"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218"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84"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189</w:t>
            </w:r>
          </w:p>
        </w:tc>
        <w:tc>
          <w:tcPr>
            <w:tcW w:w="193"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44"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03"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35,509</w:t>
            </w:r>
          </w:p>
        </w:tc>
        <w:tc>
          <w:tcPr>
            <w:tcW w:w="126"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79" w:type="dxa"/>
            <w:gridSpan w:val="3"/>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381" w:type="dxa"/>
            <w:gridSpan w:val="3"/>
            <w:tcBorders/>
            <w:shd w:fill="auto" w:val="clear"/>
            <w:vAlign w:val="center"/>
          </w:tcPr>
          <w:p>
            <w:pPr>
              <w:pStyle w:val="TableContents"/>
              <w:spacing w:before="0" w:after="0"/>
              <w:ind w:left="0" w:right="0" w:firstLine="30"/>
              <w:rPr/>
            </w:pPr>
            <w:r>
              <w:rPr/>
              <w:t> </w:t>
            </w:r>
          </w:p>
        </w:tc>
      </w:tr>
      <w:tr>
        <w:trPr/>
        <w:tc>
          <w:tcPr>
            <w:tcW w:w="32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Income from continuing operations before income taxes</w:t>
            </w:r>
          </w:p>
        </w:tc>
        <w:tc>
          <w:tcPr>
            <w:tcW w:w="76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211"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9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44"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03"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35,509</w:t>
            </w:r>
          </w:p>
        </w:tc>
        <w:tc>
          <w:tcPr>
            <w:tcW w:w="126"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52"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93"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(17,649</w:t>
            </w:r>
          </w:p>
        </w:tc>
        <w:tc>
          <w:tcPr>
            <w:tcW w:w="134" w:type="dxa"/>
            <w:tcBorders>
              <w:bottom w:val="double" w:sz="6"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125"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17,860</w:t>
            </w:r>
          </w:p>
        </w:tc>
        <w:tc>
          <w:tcPr>
            <w:tcW w:w="561" w:type="dxa"/>
            <w:tcBorders>
              <w:bottom w:val="double" w:sz="6" w:space="0" w:color="000000"/>
            </w:tcBorders>
            <w:shd w:fill="auto"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rPr/>
      </w:pPr>
      <w:r>
        <w:rPr/>
      </w:r>
      <w:r>
        <w:br w:type="page"/>
      </w:r>
    </w:p>
    <w:p>
      <w:pPr>
        <w:pStyle w:val="TextBody"/>
        <w:spacing w:lineRule="auto" w:line="288" w:before="0" w:after="0"/>
        <w:rPr>
          <w:rFonts w:ascii="inherit" w:hAnsi="inherit"/>
          <w:sz w:val="17"/>
        </w:rPr>
      </w:pPr>
      <w:r>
        <w:rPr>
          <w:rFonts w:ascii="inherit" w:hAnsi="inherit"/>
          <w:sz w:val="17"/>
        </w:rPr>
      </w:r>
      <w:bookmarkStart w:id="36" w:name="scd4dab9d2f384aaab4c75a5a95e4597e"/>
      <w:bookmarkStart w:id="37" w:name="scd4dab9d2f384aaab4c75a5a95e4597e"/>
      <w:bookmarkEnd w:id="37"/>
    </w:p>
    <w:p>
      <w:pPr>
        <w:pStyle w:val="TextBody"/>
        <w:spacing w:before="0" w:after="0"/>
        <w:rPr/>
      </w:pPr>
      <w:r>
        <w:rPr/>
      </w:r>
    </w:p>
    <w:p>
      <w:pPr>
        <w:pStyle w:val="TextBody"/>
        <w:spacing w:lineRule="auto" w:line="288" w:before="0" w:after="0"/>
        <w:jc w:val="center"/>
        <w:rPr>
          <w:rFonts w:ascii="inherit" w:hAnsi="inherit"/>
          <w:b/>
          <w:sz w:val="15"/>
        </w:rPr>
      </w:pPr>
      <w:r>
        <w:rPr>
          <w:rFonts w:ascii="inherit" w:hAnsi="inherit"/>
          <w:b/>
          <w:sz w:val="15"/>
        </w:rPr>
        <w:t>EZCORP, Inc.</w:t>
      </w:r>
    </w:p>
    <w:p>
      <w:pPr>
        <w:pStyle w:val="TextBody"/>
        <w:spacing w:lineRule="auto" w:line="288" w:before="0" w:after="0"/>
        <w:jc w:val="center"/>
        <w:rPr>
          <w:rFonts w:ascii="inherit" w:hAnsi="inherit"/>
          <w:b/>
          <w:sz w:val="15"/>
        </w:rPr>
      </w:pPr>
      <w:r>
        <w:rPr>
          <w:rFonts w:ascii="inherit" w:hAnsi="inherit"/>
          <w:b/>
          <w:sz w:val="15"/>
        </w:rPr>
        <w:t>OPERATING SEGMENT RESULTS (UNAUDITED)</w:t>
      </w:r>
    </w:p>
    <w:tbl>
      <w:tblPr>
        <w:tblW w:w="10205" w:type="dxa"/>
        <w:jc w:val="center"/>
        <w:tblInd w:w="0" w:type="dxa"/>
        <w:tblCellMar>
          <w:top w:w="0" w:type="dxa"/>
          <w:left w:w="0" w:type="dxa"/>
          <w:bottom w:w="0" w:type="dxa"/>
          <w:right w:w="0" w:type="dxa"/>
        </w:tblCellMar>
      </w:tblPr>
      <w:tblGrid>
        <w:gridCol w:w="3209"/>
        <w:gridCol w:w="125"/>
        <w:gridCol w:w="590"/>
        <w:gridCol w:w="110"/>
        <w:gridCol w:w="90"/>
        <w:gridCol w:w="182"/>
        <w:gridCol w:w="861"/>
        <w:gridCol w:w="160"/>
        <w:gridCol w:w="90"/>
        <w:gridCol w:w="218"/>
        <w:gridCol w:w="584"/>
        <w:gridCol w:w="193"/>
        <w:gridCol w:w="90"/>
        <w:gridCol w:w="143"/>
        <w:gridCol w:w="801"/>
        <w:gridCol w:w="126"/>
        <w:gridCol w:w="90"/>
        <w:gridCol w:w="151"/>
        <w:gridCol w:w="790"/>
        <w:gridCol w:w="133"/>
        <w:gridCol w:w="90"/>
        <w:gridCol w:w="125"/>
        <w:gridCol w:w="695"/>
        <w:gridCol w:w="559"/>
      </w:tblGrid>
      <w:tr>
        <w:trPr/>
        <w:tc>
          <w:tcPr>
            <w:tcW w:w="10205" w:type="dxa"/>
            <w:gridSpan w:val="24"/>
            <w:tcBorders/>
            <w:shd w:fill="auto" w:val="clear"/>
            <w:vAlign w:val="center"/>
          </w:tcPr>
          <w:p>
            <w:pPr>
              <w:pStyle w:val="TableContents"/>
              <w:spacing w:before="0" w:after="283"/>
              <w:rPr>
                <w:sz w:val="4"/>
                <w:szCs w:val="4"/>
              </w:rPr>
            </w:pPr>
            <w:r>
              <w:rPr>
                <w:sz w:val="4"/>
                <w:szCs w:val="4"/>
              </w:rPr>
            </w:r>
          </w:p>
        </w:tc>
      </w:tr>
      <w:tr>
        <w:trPr/>
        <w:tc>
          <w:tcPr>
            <w:tcW w:w="320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861"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584"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790"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559"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209" w:type="dxa"/>
            <w:tcBorders/>
            <w:shd w:fill="auto" w:val="clear"/>
            <w:vAlign w:val="center"/>
          </w:tcPr>
          <w:p>
            <w:pPr>
              <w:pStyle w:val="TableContents"/>
              <w:spacing w:before="0" w:after="0"/>
              <w:ind w:left="0" w:right="0" w:firstLine="30"/>
              <w:jc w:val="left"/>
              <w:rPr/>
            </w:pPr>
            <w:r>
              <w:rPr/>
              <w:t> </w:t>
            </w:r>
          </w:p>
        </w:tc>
        <w:tc>
          <w:tcPr>
            <w:tcW w:w="6996" w:type="dxa"/>
            <w:gridSpan w:val="2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 March 31, 2017</w:t>
            </w:r>
          </w:p>
        </w:tc>
      </w:tr>
      <w:tr>
        <w:trPr/>
        <w:tc>
          <w:tcPr>
            <w:tcW w:w="3209" w:type="dxa"/>
            <w:tcBorders/>
            <w:shd w:fill="auto" w:val="clear"/>
            <w:vAlign w:val="center"/>
          </w:tcPr>
          <w:p>
            <w:pPr>
              <w:pStyle w:val="TableContents"/>
              <w:spacing w:before="0" w:after="0"/>
              <w:ind w:left="0" w:right="0" w:firstLine="30"/>
              <w:rPr/>
            </w:pPr>
            <w:r>
              <w:rPr/>
              <w:t>  </w:t>
            </w:r>
          </w:p>
        </w:tc>
        <w:tc>
          <w:tcPr>
            <w:tcW w:w="82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U.S. Pawn</w:t>
            </w:r>
          </w:p>
        </w:tc>
        <w:tc>
          <w:tcPr>
            <w:tcW w:w="90" w:type="dxa"/>
            <w:tcBorders/>
            <w:shd w:fill="auto" w:val="clear"/>
            <w:vAlign w:val="center"/>
          </w:tcPr>
          <w:p>
            <w:pPr>
              <w:pStyle w:val="TableContents"/>
              <w:spacing w:before="0" w:after="0"/>
              <w:ind w:left="0" w:right="0" w:firstLine="30"/>
              <w:rPr/>
            </w:pPr>
            <w:r>
              <w:rPr/>
              <w:t> </w:t>
            </w:r>
          </w:p>
        </w:tc>
        <w:tc>
          <w:tcPr>
            <w:tcW w:w="120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Latin America Pawn</w:t>
            </w:r>
          </w:p>
        </w:tc>
        <w:tc>
          <w:tcPr>
            <w:tcW w:w="90" w:type="dxa"/>
            <w:tcBorders/>
            <w:shd w:fill="auto" w:val="clear"/>
            <w:vAlign w:val="center"/>
          </w:tcPr>
          <w:p>
            <w:pPr>
              <w:pStyle w:val="TableContents"/>
              <w:spacing w:before="0" w:after="0"/>
              <w:ind w:left="0" w:right="0" w:firstLine="30"/>
              <w:rPr/>
            </w:pPr>
            <w:r>
              <w:rPr/>
              <w:t> </w:t>
            </w:r>
          </w:p>
        </w:tc>
        <w:tc>
          <w:tcPr>
            <w:tcW w:w="995"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Other</w:t>
            </w:r>
          </w:p>
          <w:p>
            <w:pPr>
              <w:pStyle w:val="TableContents"/>
              <w:spacing w:before="0" w:after="0"/>
              <w:ind w:left="0" w:right="0" w:firstLine="30"/>
              <w:jc w:val="center"/>
              <w:rPr>
                <w:rFonts w:ascii="inherit" w:hAnsi="inherit"/>
                <w:b/>
                <w:sz w:val="13"/>
              </w:rPr>
            </w:pPr>
            <w:r>
              <w:rPr>
                <w:rFonts w:ascii="inherit" w:hAnsi="inherit"/>
                <w:b/>
                <w:sz w:val="13"/>
              </w:rPr>
              <w:t>International</w:t>
            </w:r>
          </w:p>
        </w:tc>
        <w:tc>
          <w:tcPr>
            <w:tcW w:w="90" w:type="dxa"/>
            <w:tcBorders/>
            <w:shd w:fill="auto" w:val="clear"/>
            <w:vAlign w:val="center"/>
          </w:tcPr>
          <w:p>
            <w:pPr>
              <w:pStyle w:val="TableContents"/>
              <w:spacing w:before="0" w:after="0"/>
              <w:ind w:left="0" w:right="0" w:firstLine="30"/>
              <w:rPr/>
            </w:pPr>
            <w:r>
              <w:rPr/>
              <w:t> </w:t>
            </w:r>
          </w:p>
        </w:tc>
        <w:tc>
          <w:tcPr>
            <w:tcW w:w="107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Total Segments</w:t>
            </w:r>
          </w:p>
        </w:tc>
        <w:tc>
          <w:tcPr>
            <w:tcW w:w="90" w:type="dxa"/>
            <w:tcBorders/>
            <w:shd w:fill="auto" w:val="clear"/>
            <w:vAlign w:val="center"/>
          </w:tcPr>
          <w:p>
            <w:pPr>
              <w:pStyle w:val="TableContents"/>
              <w:spacing w:before="0" w:after="0"/>
              <w:ind w:left="0" w:right="0" w:firstLine="30"/>
              <w:rPr/>
            </w:pPr>
            <w:r>
              <w:rPr/>
              <w:t> </w:t>
            </w:r>
          </w:p>
        </w:tc>
        <w:tc>
          <w:tcPr>
            <w:tcW w:w="107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Corporate Items</w:t>
            </w:r>
          </w:p>
        </w:tc>
        <w:tc>
          <w:tcPr>
            <w:tcW w:w="90" w:type="dxa"/>
            <w:tcBorders/>
            <w:shd w:fill="auto" w:val="clear"/>
            <w:vAlign w:val="center"/>
          </w:tcPr>
          <w:p>
            <w:pPr>
              <w:pStyle w:val="TableContents"/>
              <w:spacing w:before="0" w:after="0"/>
              <w:ind w:left="0" w:right="0" w:firstLine="30"/>
              <w:rPr/>
            </w:pPr>
            <w:r>
              <w:rPr/>
              <w:t> </w:t>
            </w:r>
          </w:p>
        </w:tc>
        <w:tc>
          <w:tcPr>
            <w:tcW w:w="137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Consolidated</w:t>
            </w:r>
          </w:p>
        </w:tc>
      </w:tr>
      <w:tr>
        <w:trPr/>
        <w:tc>
          <w:tcPr>
            <w:tcW w:w="3209" w:type="dxa"/>
            <w:tcBorders/>
            <w:shd w:fill="auto" w:val="clear"/>
            <w:vAlign w:val="center"/>
          </w:tcPr>
          <w:p>
            <w:pPr>
              <w:pStyle w:val="TableContents"/>
              <w:spacing w:before="0" w:after="0"/>
              <w:ind w:left="0" w:right="0" w:firstLine="30"/>
              <w:rPr/>
            </w:pPr>
            <w:r>
              <w:rPr/>
              <w:t> </w:t>
            </w:r>
          </w:p>
        </w:tc>
        <w:tc>
          <w:tcPr>
            <w:tcW w:w="82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203"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9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7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74"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379" w:type="dxa"/>
            <w:gridSpan w:val="3"/>
            <w:tcBorders/>
            <w:shd w:fill="auto" w:val="clear"/>
            <w:vAlign w:val="center"/>
          </w:tcPr>
          <w:p>
            <w:pPr>
              <w:pStyle w:val="TableContents"/>
              <w:spacing w:before="0" w:after="0"/>
              <w:ind w:left="0" w:right="0" w:firstLine="30"/>
              <w:rPr/>
            </w:pPr>
            <w:r>
              <w:rPr/>
              <w:t> </w:t>
            </w:r>
          </w:p>
        </w:tc>
      </w:tr>
      <w:tr>
        <w:trPr/>
        <w:tc>
          <w:tcPr>
            <w:tcW w:w="3209" w:type="dxa"/>
            <w:tcBorders/>
            <w:shd w:fill="auto" w:val="clear"/>
            <w:vAlign w:val="center"/>
          </w:tcPr>
          <w:p>
            <w:pPr>
              <w:pStyle w:val="TableContents"/>
              <w:spacing w:before="0" w:after="0"/>
              <w:ind w:left="0" w:right="0" w:firstLine="30"/>
              <w:jc w:val="left"/>
              <w:rPr/>
            </w:pPr>
            <w:r>
              <w:rPr/>
              <w:t> </w:t>
            </w:r>
          </w:p>
        </w:tc>
        <w:tc>
          <w:tcPr>
            <w:tcW w:w="6996" w:type="dxa"/>
            <w:gridSpan w:val="23"/>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320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Revenues:</w:t>
            </w:r>
          </w:p>
        </w:tc>
        <w:tc>
          <w:tcPr>
            <w:tcW w:w="82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203"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9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7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74"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379" w:type="dxa"/>
            <w:gridSpan w:val="3"/>
            <w:tcBorders/>
            <w:shd w:fill="auto" w:val="clear"/>
            <w:vAlign w:val="center"/>
          </w:tcPr>
          <w:p>
            <w:pPr>
              <w:pStyle w:val="TableContents"/>
              <w:spacing w:before="0" w:after="0"/>
              <w:ind w:left="0" w:right="0" w:firstLine="300"/>
              <w:rPr/>
            </w:pPr>
            <w:r>
              <w:rPr/>
              <w:t> </w:t>
            </w:r>
          </w:p>
        </w:tc>
      </w:tr>
      <w:tr>
        <w:trPr/>
        <w:tc>
          <w:tcPr>
            <w:tcW w:w="320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Merchandise sales</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shd w:fill="auto" w:val="clear"/>
            <w:vAlign w:val="center"/>
          </w:tcPr>
          <w:p>
            <w:pPr>
              <w:pStyle w:val="TableContents"/>
              <w:spacing w:before="0" w:after="0"/>
              <w:jc w:val="right"/>
              <w:rPr>
                <w:rFonts w:ascii="inherit" w:hAnsi="inherit"/>
                <w:sz w:val="17"/>
              </w:rPr>
            </w:pPr>
            <w:r>
              <w:rPr>
                <w:rFonts w:ascii="inherit" w:hAnsi="inherit"/>
                <w:sz w:val="17"/>
              </w:rPr>
              <w:t>95,550</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82"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861" w:type="dxa"/>
            <w:tcBorders/>
            <w:shd w:fill="auto" w:val="clear"/>
            <w:vAlign w:val="center"/>
          </w:tcPr>
          <w:p>
            <w:pPr>
              <w:pStyle w:val="TableContents"/>
              <w:spacing w:before="0" w:after="0"/>
              <w:jc w:val="right"/>
              <w:rPr>
                <w:rFonts w:ascii="inherit" w:hAnsi="inherit"/>
                <w:sz w:val="17"/>
              </w:rPr>
            </w:pPr>
            <w:r>
              <w:rPr>
                <w:rFonts w:ascii="inherit" w:hAnsi="inherit"/>
                <w:sz w:val="17"/>
              </w:rPr>
              <w:t>14,688</w:t>
            </w:r>
          </w:p>
        </w:tc>
        <w:tc>
          <w:tcPr>
            <w:tcW w:w="1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218"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584" w:type="dxa"/>
            <w:tcBorders/>
            <w:shd w:fill="auto" w:val="clear"/>
            <w:vAlign w:val="center"/>
          </w:tcPr>
          <w:p>
            <w:pPr>
              <w:pStyle w:val="TableContents"/>
              <w:spacing w:before="0" w:after="0"/>
              <w:jc w:val="right"/>
              <w:rPr/>
            </w:pPr>
            <w:r>
              <w:rPr/>
              <w:t>—</w:t>
            </w:r>
          </w:p>
        </w:tc>
        <w:tc>
          <w:tcPr>
            <w:tcW w:w="1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43"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801" w:type="dxa"/>
            <w:tcBorders/>
            <w:shd w:fill="auto" w:val="clear"/>
            <w:vAlign w:val="center"/>
          </w:tcPr>
          <w:p>
            <w:pPr>
              <w:pStyle w:val="TableContents"/>
              <w:spacing w:before="0" w:after="0"/>
              <w:jc w:val="right"/>
              <w:rPr>
                <w:rFonts w:ascii="inherit" w:hAnsi="inherit"/>
                <w:sz w:val="17"/>
              </w:rPr>
            </w:pPr>
            <w:r>
              <w:rPr>
                <w:rFonts w:ascii="inherit" w:hAnsi="inherit"/>
                <w:sz w:val="17"/>
              </w:rPr>
              <w:t>110,238</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5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790" w:type="dxa"/>
            <w:tcBorders/>
            <w:shd w:fill="auto" w:val="clear"/>
            <w:vAlign w:val="center"/>
          </w:tcPr>
          <w:p>
            <w:pPr>
              <w:pStyle w:val="TableContents"/>
              <w:spacing w:before="0" w:after="0"/>
              <w:jc w:val="right"/>
              <w:rPr/>
            </w:pPr>
            <w:r>
              <w:rPr/>
              <w:t>—</w:t>
            </w:r>
          </w:p>
        </w:tc>
        <w:tc>
          <w:tcPr>
            <w:tcW w:w="13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shd w:fill="auto" w:val="clear"/>
            <w:vAlign w:val="center"/>
          </w:tcPr>
          <w:p>
            <w:pPr>
              <w:pStyle w:val="TableContents"/>
              <w:spacing w:before="0" w:after="0"/>
              <w:jc w:val="right"/>
              <w:rPr>
                <w:rFonts w:ascii="inherit" w:hAnsi="inherit"/>
                <w:sz w:val="17"/>
              </w:rPr>
            </w:pPr>
            <w:r>
              <w:rPr>
                <w:rFonts w:ascii="inherit" w:hAnsi="inherit"/>
                <w:sz w:val="17"/>
              </w:rPr>
              <w:t>110,238</w:t>
            </w:r>
          </w:p>
        </w:tc>
        <w:tc>
          <w:tcPr>
            <w:tcW w:w="559"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20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sales</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9,056</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4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1,163</w:t>
            </w:r>
          </w:p>
        </w:tc>
        <w:tc>
          <w:tcPr>
            <w:tcW w:w="1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02" w:type="dxa"/>
            <w:gridSpan w:val="2"/>
            <w:tcBorders/>
            <w:shd w:fill="auto" w:val="clear"/>
            <w:vAlign w:val="center"/>
          </w:tcPr>
          <w:p>
            <w:pPr>
              <w:pStyle w:val="TableContents"/>
              <w:spacing w:before="0" w:after="0"/>
              <w:jc w:val="right"/>
              <w:rPr/>
            </w:pPr>
            <w:r>
              <w:rPr/>
              <w:t>—</w:t>
            </w:r>
          </w:p>
        </w:tc>
        <w:tc>
          <w:tcPr>
            <w:tcW w:w="1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4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10,219</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41" w:type="dxa"/>
            <w:gridSpan w:val="2"/>
            <w:tcBorders/>
            <w:shd w:fill="auto" w:val="clear"/>
            <w:vAlign w:val="center"/>
          </w:tcPr>
          <w:p>
            <w:pPr>
              <w:pStyle w:val="TableContents"/>
              <w:spacing w:before="0" w:after="0"/>
              <w:jc w:val="right"/>
              <w:rPr/>
            </w:pPr>
            <w:r>
              <w:rPr/>
              <w:t>—</w:t>
            </w:r>
          </w:p>
        </w:tc>
        <w:tc>
          <w:tcPr>
            <w:tcW w:w="13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10,219</w:t>
            </w:r>
          </w:p>
        </w:tc>
        <w:tc>
          <w:tcPr>
            <w:tcW w:w="559"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20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Pawn service charges</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59,661</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4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7,431</w:t>
            </w:r>
          </w:p>
        </w:tc>
        <w:tc>
          <w:tcPr>
            <w:tcW w:w="1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02" w:type="dxa"/>
            <w:gridSpan w:val="2"/>
            <w:tcBorders/>
            <w:shd w:fill="auto" w:val="clear"/>
            <w:vAlign w:val="center"/>
          </w:tcPr>
          <w:p>
            <w:pPr>
              <w:pStyle w:val="TableContents"/>
              <w:spacing w:before="0" w:after="0"/>
              <w:jc w:val="right"/>
              <w:rPr/>
            </w:pPr>
            <w:r>
              <w:rPr/>
              <w:t>—</w:t>
            </w:r>
          </w:p>
        </w:tc>
        <w:tc>
          <w:tcPr>
            <w:tcW w:w="1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4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67,092</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41" w:type="dxa"/>
            <w:gridSpan w:val="2"/>
            <w:tcBorders/>
            <w:shd w:fill="auto" w:val="clear"/>
            <w:vAlign w:val="center"/>
          </w:tcPr>
          <w:p>
            <w:pPr>
              <w:pStyle w:val="TableContents"/>
              <w:spacing w:before="0" w:after="0"/>
              <w:jc w:val="right"/>
              <w:rPr/>
            </w:pPr>
            <w:r>
              <w:rPr/>
              <w:t>—</w:t>
            </w:r>
          </w:p>
        </w:tc>
        <w:tc>
          <w:tcPr>
            <w:tcW w:w="13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67,092</w:t>
            </w:r>
          </w:p>
        </w:tc>
        <w:tc>
          <w:tcPr>
            <w:tcW w:w="559"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20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revenues</w:t>
            </w:r>
          </w:p>
        </w:tc>
        <w:tc>
          <w:tcPr>
            <w:tcW w:w="71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56</w:t>
            </w:r>
          </w:p>
        </w:tc>
        <w:tc>
          <w:tcPr>
            <w:tcW w:w="11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4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147</w:t>
            </w:r>
          </w:p>
        </w:tc>
        <w:tc>
          <w:tcPr>
            <w:tcW w:w="16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02"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1,876</w:t>
            </w:r>
          </w:p>
        </w:tc>
        <w:tc>
          <w:tcPr>
            <w:tcW w:w="193"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4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2,079</w:t>
            </w:r>
          </w:p>
        </w:tc>
        <w:tc>
          <w:tcPr>
            <w:tcW w:w="12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41"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33"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2,079</w:t>
            </w:r>
          </w:p>
        </w:tc>
        <w:tc>
          <w:tcPr>
            <w:tcW w:w="559" w:type="dxa"/>
            <w:tcBorders>
              <w:bottom w:val="single" w:sz="2" w:space="0" w:color="000000"/>
            </w:tcBorders>
            <w:shd w:fill="auto" w:val="clear"/>
            <w:tcMar>
              <w:bottom w:w="28" w:type="dxa"/>
            </w:tcMar>
            <w:vAlign w:val="center"/>
          </w:tcPr>
          <w:p>
            <w:pPr>
              <w:pStyle w:val="TableContents"/>
              <w:spacing w:before="0" w:after="0"/>
              <w:ind w:left="0" w:right="0" w:firstLine="540"/>
              <w:jc w:val="left"/>
              <w:rPr>
                <w:rFonts w:ascii="inherit" w:hAnsi="inherit"/>
                <w:sz w:val="17"/>
              </w:rPr>
            </w:pPr>
            <w:r>
              <w:rPr>
                <w:rFonts w:ascii="inherit" w:hAnsi="inherit"/>
                <w:sz w:val="17"/>
              </w:rPr>
            </w:r>
          </w:p>
        </w:tc>
      </w:tr>
      <w:tr>
        <w:trPr/>
        <w:tc>
          <w:tcPr>
            <w:tcW w:w="320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revenues</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164,323</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4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23,429</w:t>
            </w:r>
          </w:p>
        </w:tc>
        <w:tc>
          <w:tcPr>
            <w:tcW w:w="1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0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1,876</w:t>
            </w:r>
          </w:p>
        </w:tc>
        <w:tc>
          <w:tcPr>
            <w:tcW w:w="1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4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189,628</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41" w:type="dxa"/>
            <w:gridSpan w:val="2"/>
            <w:tcBorders/>
            <w:shd w:fill="auto" w:val="clear"/>
            <w:vAlign w:val="center"/>
          </w:tcPr>
          <w:p>
            <w:pPr>
              <w:pStyle w:val="TableContents"/>
              <w:spacing w:before="0" w:after="0"/>
              <w:jc w:val="right"/>
              <w:rPr/>
            </w:pPr>
            <w:r>
              <w:rPr/>
              <w:t>—</w:t>
            </w:r>
          </w:p>
        </w:tc>
        <w:tc>
          <w:tcPr>
            <w:tcW w:w="13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189,628</w:t>
            </w:r>
          </w:p>
        </w:tc>
        <w:tc>
          <w:tcPr>
            <w:tcW w:w="55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20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Merchandise cost of goods sold</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60,499</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4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9,994</w:t>
            </w:r>
          </w:p>
        </w:tc>
        <w:tc>
          <w:tcPr>
            <w:tcW w:w="1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02" w:type="dxa"/>
            <w:gridSpan w:val="2"/>
            <w:tcBorders/>
            <w:shd w:fill="auto" w:val="clear"/>
            <w:vAlign w:val="center"/>
          </w:tcPr>
          <w:p>
            <w:pPr>
              <w:pStyle w:val="TableContents"/>
              <w:spacing w:before="0" w:after="0"/>
              <w:jc w:val="right"/>
              <w:rPr/>
            </w:pPr>
            <w:r>
              <w:rPr/>
              <w:t>—</w:t>
            </w:r>
          </w:p>
        </w:tc>
        <w:tc>
          <w:tcPr>
            <w:tcW w:w="1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4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70,493</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41" w:type="dxa"/>
            <w:gridSpan w:val="2"/>
            <w:tcBorders/>
            <w:shd w:fill="auto" w:val="clear"/>
            <w:vAlign w:val="center"/>
          </w:tcPr>
          <w:p>
            <w:pPr>
              <w:pStyle w:val="TableContents"/>
              <w:spacing w:before="0" w:after="0"/>
              <w:jc w:val="right"/>
              <w:rPr/>
            </w:pPr>
            <w:r>
              <w:rPr/>
              <w:t>—</w:t>
            </w:r>
          </w:p>
        </w:tc>
        <w:tc>
          <w:tcPr>
            <w:tcW w:w="13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70,493</w:t>
            </w:r>
          </w:p>
        </w:tc>
        <w:tc>
          <w:tcPr>
            <w:tcW w:w="55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20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cost of goods sold</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7,890</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4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951</w:t>
            </w:r>
          </w:p>
        </w:tc>
        <w:tc>
          <w:tcPr>
            <w:tcW w:w="1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02" w:type="dxa"/>
            <w:gridSpan w:val="2"/>
            <w:tcBorders/>
            <w:shd w:fill="auto" w:val="clear"/>
            <w:vAlign w:val="center"/>
          </w:tcPr>
          <w:p>
            <w:pPr>
              <w:pStyle w:val="TableContents"/>
              <w:spacing w:before="0" w:after="0"/>
              <w:jc w:val="right"/>
              <w:rPr/>
            </w:pPr>
            <w:r>
              <w:rPr/>
              <w:t>—</w:t>
            </w:r>
          </w:p>
        </w:tc>
        <w:tc>
          <w:tcPr>
            <w:tcW w:w="1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4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8,841</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41" w:type="dxa"/>
            <w:gridSpan w:val="2"/>
            <w:tcBorders/>
            <w:shd w:fill="auto" w:val="clear"/>
            <w:vAlign w:val="center"/>
          </w:tcPr>
          <w:p>
            <w:pPr>
              <w:pStyle w:val="TableContents"/>
              <w:spacing w:before="0" w:after="0"/>
              <w:jc w:val="right"/>
              <w:rPr/>
            </w:pPr>
            <w:r>
              <w:rPr/>
              <w:t>—</w:t>
            </w:r>
          </w:p>
        </w:tc>
        <w:tc>
          <w:tcPr>
            <w:tcW w:w="13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8,841</w:t>
            </w:r>
          </w:p>
        </w:tc>
        <w:tc>
          <w:tcPr>
            <w:tcW w:w="55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20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cost of revenues</w:t>
            </w:r>
          </w:p>
        </w:tc>
        <w:tc>
          <w:tcPr>
            <w:tcW w:w="715"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1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43"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6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02"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397</w:t>
            </w:r>
          </w:p>
        </w:tc>
        <w:tc>
          <w:tcPr>
            <w:tcW w:w="193"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4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397</w:t>
            </w:r>
          </w:p>
        </w:tc>
        <w:tc>
          <w:tcPr>
            <w:tcW w:w="12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41"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33"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397</w:t>
            </w:r>
          </w:p>
        </w:tc>
        <w:tc>
          <w:tcPr>
            <w:tcW w:w="559" w:type="dxa"/>
            <w:tcBorders>
              <w:bottom w:val="single" w:sz="2" w:space="0" w:color="000000"/>
            </w:tcBorders>
            <w:shd w:fill="auto" w:val="clear"/>
            <w:tcMar>
              <w:bottom w:w="28" w:type="dxa"/>
            </w:tcMar>
            <w:vAlign w:val="center"/>
          </w:tcPr>
          <w:p>
            <w:pPr>
              <w:pStyle w:val="TableContents"/>
              <w:spacing w:before="0" w:after="0"/>
              <w:ind w:left="0" w:right="0" w:firstLine="540"/>
              <w:jc w:val="left"/>
              <w:rPr>
                <w:rFonts w:ascii="inherit" w:hAnsi="inherit"/>
                <w:sz w:val="17"/>
              </w:rPr>
            </w:pPr>
            <w:r>
              <w:rPr>
                <w:rFonts w:ascii="inherit" w:hAnsi="inherit"/>
                <w:sz w:val="17"/>
              </w:rPr>
            </w:r>
          </w:p>
        </w:tc>
      </w:tr>
      <w:tr>
        <w:trPr/>
        <w:tc>
          <w:tcPr>
            <w:tcW w:w="320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revenues</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95,934</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4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12,484</w:t>
            </w:r>
          </w:p>
        </w:tc>
        <w:tc>
          <w:tcPr>
            <w:tcW w:w="1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0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1,479</w:t>
            </w:r>
          </w:p>
        </w:tc>
        <w:tc>
          <w:tcPr>
            <w:tcW w:w="1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4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109,897</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41" w:type="dxa"/>
            <w:gridSpan w:val="2"/>
            <w:tcBorders/>
            <w:shd w:fill="auto" w:val="clear"/>
            <w:vAlign w:val="center"/>
          </w:tcPr>
          <w:p>
            <w:pPr>
              <w:pStyle w:val="TableContents"/>
              <w:spacing w:before="0" w:after="0"/>
              <w:jc w:val="right"/>
              <w:rPr/>
            </w:pPr>
            <w:r>
              <w:rPr/>
              <w:t>—</w:t>
            </w:r>
          </w:p>
        </w:tc>
        <w:tc>
          <w:tcPr>
            <w:tcW w:w="13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109,897</w:t>
            </w:r>
          </w:p>
        </w:tc>
        <w:tc>
          <w:tcPr>
            <w:tcW w:w="55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20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Segment and corporate expenses (income):</w:t>
            </w:r>
          </w:p>
        </w:tc>
        <w:tc>
          <w:tcPr>
            <w:tcW w:w="82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203"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9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7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74"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379" w:type="dxa"/>
            <w:gridSpan w:val="3"/>
            <w:tcBorders/>
            <w:shd w:fill="auto" w:val="clear"/>
            <w:vAlign w:val="center"/>
          </w:tcPr>
          <w:p>
            <w:pPr>
              <w:pStyle w:val="TableContents"/>
              <w:spacing w:before="0" w:after="0"/>
              <w:ind w:left="0" w:right="0" w:firstLine="300"/>
              <w:rPr/>
            </w:pPr>
            <w:r>
              <w:rPr/>
              <w:t> </w:t>
            </w:r>
          </w:p>
        </w:tc>
      </w:tr>
      <w:tr>
        <w:trPr/>
        <w:tc>
          <w:tcPr>
            <w:tcW w:w="320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Operations</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63,556</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4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8,901</w:t>
            </w:r>
          </w:p>
        </w:tc>
        <w:tc>
          <w:tcPr>
            <w:tcW w:w="1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0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2,003</w:t>
            </w:r>
          </w:p>
        </w:tc>
        <w:tc>
          <w:tcPr>
            <w:tcW w:w="1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4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74,460</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41" w:type="dxa"/>
            <w:gridSpan w:val="2"/>
            <w:tcBorders/>
            <w:shd w:fill="auto" w:val="clear"/>
            <w:vAlign w:val="center"/>
          </w:tcPr>
          <w:p>
            <w:pPr>
              <w:pStyle w:val="TableContents"/>
              <w:spacing w:before="0" w:after="0"/>
              <w:jc w:val="right"/>
              <w:rPr/>
            </w:pPr>
            <w:r>
              <w:rPr/>
              <w:t>—</w:t>
            </w:r>
          </w:p>
        </w:tc>
        <w:tc>
          <w:tcPr>
            <w:tcW w:w="13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74,460</w:t>
            </w:r>
          </w:p>
        </w:tc>
        <w:tc>
          <w:tcPr>
            <w:tcW w:w="559"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20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Administrative</w:t>
            </w:r>
          </w:p>
        </w:tc>
        <w:tc>
          <w:tcPr>
            <w:tcW w:w="715" w:type="dxa"/>
            <w:gridSpan w:val="2"/>
            <w:tcBorders/>
            <w:shd w:fill="auto" w:val="clear"/>
            <w:vAlign w:val="center"/>
          </w:tcPr>
          <w:p>
            <w:pPr>
              <w:pStyle w:val="TableContents"/>
              <w:spacing w:before="0" w:after="0"/>
              <w:jc w:val="right"/>
              <w:rPr/>
            </w:pPr>
            <w:r>
              <w:rPr/>
              <w:t>—</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43" w:type="dxa"/>
            <w:gridSpan w:val="2"/>
            <w:tcBorders/>
            <w:shd w:fill="auto" w:val="clear"/>
            <w:vAlign w:val="center"/>
          </w:tcPr>
          <w:p>
            <w:pPr>
              <w:pStyle w:val="TableContents"/>
              <w:spacing w:before="0" w:after="0"/>
              <w:jc w:val="right"/>
              <w:rPr/>
            </w:pPr>
            <w:r>
              <w:rPr/>
              <w:t>—</w:t>
            </w:r>
          </w:p>
        </w:tc>
        <w:tc>
          <w:tcPr>
            <w:tcW w:w="1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02" w:type="dxa"/>
            <w:gridSpan w:val="2"/>
            <w:tcBorders/>
            <w:shd w:fill="auto" w:val="clear"/>
            <w:vAlign w:val="center"/>
          </w:tcPr>
          <w:p>
            <w:pPr>
              <w:pStyle w:val="TableContents"/>
              <w:spacing w:before="0" w:after="0"/>
              <w:jc w:val="right"/>
              <w:rPr/>
            </w:pPr>
            <w:r>
              <w:rPr/>
              <w:t>—</w:t>
            </w:r>
          </w:p>
        </w:tc>
        <w:tc>
          <w:tcPr>
            <w:tcW w:w="1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44" w:type="dxa"/>
            <w:gridSpan w:val="2"/>
            <w:tcBorders/>
            <w:shd w:fill="auto" w:val="clear"/>
            <w:vAlign w:val="center"/>
          </w:tcPr>
          <w:p>
            <w:pPr>
              <w:pStyle w:val="TableContents"/>
              <w:spacing w:before="0" w:after="0"/>
              <w:jc w:val="right"/>
              <w:rPr/>
            </w:pPr>
            <w:r>
              <w:rPr/>
              <w:t>—</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4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13,283</w:t>
            </w:r>
          </w:p>
        </w:tc>
        <w:tc>
          <w:tcPr>
            <w:tcW w:w="13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13,283</w:t>
            </w:r>
          </w:p>
        </w:tc>
        <w:tc>
          <w:tcPr>
            <w:tcW w:w="559"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20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Depreciation and amortization</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2,660</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4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660</w:t>
            </w:r>
          </w:p>
        </w:tc>
        <w:tc>
          <w:tcPr>
            <w:tcW w:w="1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0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50</w:t>
            </w:r>
          </w:p>
        </w:tc>
        <w:tc>
          <w:tcPr>
            <w:tcW w:w="1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4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3,370</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4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2,660</w:t>
            </w:r>
          </w:p>
        </w:tc>
        <w:tc>
          <w:tcPr>
            <w:tcW w:w="13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6,030</w:t>
            </w:r>
          </w:p>
        </w:tc>
        <w:tc>
          <w:tcPr>
            <w:tcW w:w="559"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20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Loss (gain) on sale or disposal of assets</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104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74</w:t>
            </w:r>
          </w:p>
        </w:tc>
        <w:tc>
          <w:tcPr>
            <w:tcW w:w="1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02" w:type="dxa"/>
            <w:gridSpan w:val="2"/>
            <w:tcBorders/>
            <w:shd w:fill="auto" w:val="clear"/>
            <w:vAlign w:val="center"/>
          </w:tcPr>
          <w:p>
            <w:pPr>
              <w:pStyle w:val="TableContents"/>
              <w:spacing w:before="0" w:after="0"/>
              <w:jc w:val="right"/>
              <w:rPr/>
            </w:pPr>
            <w:r>
              <w:rPr/>
              <w:t>—</w:t>
            </w:r>
          </w:p>
        </w:tc>
        <w:tc>
          <w:tcPr>
            <w:tcW w:w="1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4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71</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41" w:type="dxa"/>
            <w:gridSpan w:val="2"/>
            <w:tcBorders/>
            <w:shd w:fill="auto" w:val="clear"/>
            <w:vAlign w:val="center"/>
          </w:tcPr>
          <w:p>
            <w:pPr>
              <w:pStyle w:val="TableContents"/>
              <w:spacing w:before="0" w:after="0"/>
              <w:jc w:val="right"/>
              <w:rPr/>
            </w:pPr>
            <w:r>
              <w:rPr/>
              <w:t>—</w:t>
            </w:r>
          </w:p>
        </w:tc>
        <w:tc>
          <w:tcPr>
            <w:tcW w:w="13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71</w:t>
            </w:r>
          </w:p>
        </w:tc>
        <w:tc>
          <w:tcPr>
            <w:tcW w:w="559"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20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Interest expense</w:t>
            </w:r>
          </w:p>
        </w:tc>
        <w:tc>
          <w:tcPr>
            <w:tcW w:w="715" w:type="dxa"/>
            <w:gridSpan w:val="2"/>
            <w:tcBorders/>
            <w:shd w:fill="auto" w:val="clear"/>
            <w:vAlign w:val="center"/>
          </w:tcPr>
          <w:p>
            <w:pPr>
              <w:pStyle w:val="TableContents"/>
              <w:spacing w:before="0" w:after="0"/>
              <w:jc w:val="right"/>
              <w:rPr/>
            </w:pPr>
            <w:r>
              <w:rPr/>
              <w:t>—</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4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w:t>
            </w:r>
          </w:p>
        </w:tc>
        <w:tc>
          <w:tcPr>
            <w:tcW w:w="1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02" w:type="dxa"/>
            <w:gridSpan w:val="2"/>
            <w:tcBorders/>
            <w:shd w:fill="auto" w:val="clear"/>
            <w:vAlign w:val="center"/>
          </w:tcPr>
          <w:p>
            <w:pPr>
              <w:pStyle w:val="TableContents"/>
              <w:spacing w:before="0" w:after="0"/>
              <w:jc w:val="right"/>
              <w:rPr/>
            </w:pPr>
            <w:r>
              <w:rPr/>
              <w:t>—</w:t>
            </w:r>
          </w:p>
        </w:tc>
        <w:tc>
          <w:tcPr>
            <w:tcW w:w="1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4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4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5,625</w:t>
            </w:r>
          </w:p>
        </w:tc>
        <w:tc>
          <w:tcPr>
            <w:tcW w:w="13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5,628</w:t>
            </w:r>
          </w:p>
        </w:tc>
        <w:tc>
          <w:tcPr>
            <w:tcW w:w="559"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20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Interest income</w:t>
            </w:r>
          </w:p>
        </w:tc>
        <w:tc>
          <w:tcPr>
            <w:tcW w:w="715" w:type="dxa"/>
            <w:gridSpan w:val="2"/>
            <w:tcBorders/>
            <w:shd w:fill="auto" w:val="clear"/>
            <w:vAlign w:val="center"/>
          </w:tcPr>
          <w:p>
            <w:pPr>
              <w:pStyle w:val="TableContents"/>
              <w:spacing w:before="0" w:after="0"/>
              <w:jc w:val="right"/>
              <w:rPr/>
            </w:pPr>
            <w:r>
              <w:rPr/>
              <w:t>—</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4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(342</w:t>
            </w:r>
          </w:p>
        </w:tc>
        <w:tc>
          <w:tcPr>
            <w:tcW w:w="1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802" w:type="dxa"/>
            <w:gridSpan w:val="2"/>
            <w:tcBorders/>
            <w:shd w:fill="auto" w:val="clear"/>
            <w:vAlign w:val="center"/>
          </w:tcPr>
          <w:p>
            <w:pPr>
              <w:pStyle w:val="TableContents"/>
              <w:spacing w:before="0" w:after="0"/>
              <w:jc w:val="right"/>
              <w:rPr/>
            </w:pPr>
            <w:r>
              <w:rPr/>
              <w:t>—</w:t>
            </w:r>
          </w:p>
        </w:tc>
        <w:tc>
          <w:tcPr>
            <w:tcW w:w="1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4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(342</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94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(1,898</w:t>
            </w:r>
          </w:p>
        </w:tc>
        <w:tc>
          <w:tcPr>
            <w:tcW w:w="13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(2,240</w:t>
            </w:r>
          </w:p>
        </w:tc>
        <w:tc>
          <w:tcPr>
            <w:tcW w:w="559"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t>)</w:t>
            </w:r>
          </w:p>
        </w:tc>
      </w:tr>
      <w:tr>
        <w:trPr/>
        <w:tc>
          <w:tcPr>
            <w:tcW w:w="320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Equity in net income of unconsolidated affiliate</w:t>
            </w:r>
          </w:p>
        </w:tc>
        <w:tc>
          <w:tcPr>
            <w:tcW w:w="715" w:type="dxa"/>
            <w:gridSpan w:val="2"/>
            <w:tcBorders/>
            <w:shd w:fill="auto" w:val="clear"/>
            <w:vAlign w:val="center"/>
          </w:tcPr>
          <w:p>
            <w:pPr>
              <w:pStyle w:val="TableContents"/>
              <w:spacing w:before="0" w:after="0"/>
              <w:jc w:val="right"/>
              <w:rPr/>
            </w:pPr>
            <w:r>
              <w:rPr/>
              <w:t>—</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43" w:type="dxa"/>
            <w:gridSpan w:val="2"/>
            <w:tcBorders/>
            <w:shd w:fill="auto" w:val="clear"/>
            <w:vAlign w:val="center"/>
          </w:tcPr>
          <w:p>
            <w:pPr>
              <w:pStyle w:val="TableContents"/>
              <w:spacing w:before="0" w:after="0"/>
              <w:jc w:val="right"/>
              <w:rPr/>
            </w:pPr>
            <w:r>
              <w:rPr/>
              <w:t>—</w:t>
            </w:r>
          </w:p>
        </w:tc>
        <w:tc>
          <w:tcPr>
            <w:tcW w:w="1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0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(1,243</w:t>
            </w:r>
          </w:p>
        </w:tc>
        <w:tc>
          <w:tcPr>
            <w:tcW w:w="1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94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(1,243</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941" w:type="dxa"/>
            <w:gridSpan w:val="2"/>
            <w:tcBorders/>
            <w:shd w:fill="auto" w:val="clear"/>
            <w:vAlign w:val="center"/>
          </w:tcPr>
          <w:p>
            <w:pPr>
              <w:pStyle w:val="TableContents"/>
              <w:spacing w:before="0" w:after="0"/>
              <w:jc w:val="right"/>
              <w:rPr/>
            </w:pPr>
            <w:r>
              <w:rPr/>
              <w:t>—</w:t>
            </w:r>
          </w:p>
        </w:tc>
        <w:tc>
          <w:tcPr>
            <w:tcW w:w="13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(1,243</w:t>
            </w:r>
          </w:p>
        </w:tc>
        <w:tc>
          <w:tcPr>
            <w:tcW w:w="559"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t>)</w:t>
            </w:r>
          </w:p>
        </w:tc>
      </w:tr>
      <w:tr>
        <w:trPr/>
        <w:tc>
          <w:tcPr>
            <w:tcW w:w="320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expense (income)</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104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(48</w:t>
            </w:r>
          </w:p>
        </w:tc>
        <w:tc>
          <w:tcPr>
            <w:tcW w:w="1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80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41</w:t>
            </w:r>
          </w:p>
        </w:tc>
        <w:tc>
          <w:tcPr>
            <w:tcW w:w="1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4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(11</w:t>
            </w:r>
          </w:p>
        </w:tc>
        <w:tc>
          <w:tcPr>
            <w:tcW w:w="126"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94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239</w:t>
            </w:r>
          </w:p>
        </w:tc>
        <w:tc>
          <w:tcPr>
            <w:tcW w:w="133"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228</w:t>
            </w:r>
          </w:p>
        </w:tc>
        <w:tc>
          <w:tcPr>
            <w:tcW w:w="559"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20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 xml:space="preserve">Segment contribution </w:t>
            </w:r>
          </w:p>
        </w:tc>
        <w:tc>
          <w:tcPr>
            <w:tcW w:w="12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29,725</w:t>
            </w:r>
          </w:p>
        </w:tc>
        <w:tc>
          <w:tcPr>
            <w:tcW w:w="110"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82"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6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3,236</w:t>
            </w:r>
          </w:p>
        </w:tc>
        <w:tc>
          <w:tcPr>
            <w:tcW w:w="160"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218"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84"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628</w:t>
            </w:r>
          </w:p>
        </w:tc>
        <w:tc>
          <w:tcPr>
            <w:tcW w:w="193"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43"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0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33,589</w:t>
            </w:r>
          </w:p>
        </w:tc>
        <w:tc>
          <w:tcPr>
            <w:tcW w:w="126"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74" w:type="dxa"/>
            <w:gridSpan w:val="3"/>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379" w:type="dxa"/>
            <w:gridSpan w:val="3"/>
            <w:tcBorders/>
            <w:shd w:fill="auto" w:val="clear"/>
            <w:vAlign w:val="center"/>
          </w:tcPr>
          <w:p>
            <w:pPr>
              <w:pStyle w:val="TableContents"/>
              <w:spacing w:before="0" w:after="0"/>
              <w:ind w:left="0" w:right="0" w:firstLine="30"/>
              <w:rPr/>
            </w:pPr>
            <w:r>
              <w:rPr/>
              <w:t> </w:t>
            </w:r>
          </w:p>
        </w:tc>
      </w:tr>
      <w:tr>
        <w:trPr/>
        <w:tc>
          <w:tcPr>
            <w:tcW w:w="320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Income from continuing operations before income taxes</w:t>
            </w:r>
          </w:p>
        </w:tc>
        <w:tc>
          <w:tcPr>
            <w:tcW w:w="82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203"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9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43"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01"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33,589</w:t>
            </w:r>
          </w:p>
        </w:tc>
        <w:tc>
          <w:tcPr>
            <w:tcW w:w="126"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51"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90"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(19,909</w:t>
            </w:r>
          </w:p>
        </w:tc>
        <w:tc>
          <w:tcPr>
            <w:tcW w:w="133" w:type="dxa"/>
            <w:tcBorders>
              <w:bottom w:val="double" w:sz="6"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125"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13,680</w:t>
            </w:r>
          </w:p>
        </w:tc>
        <w:tc>
          <w:tcPr>
            <w:tcW w:w="559" w:type="dxa"/>
            <w:tcBorders>
              <w:bottom w:val="double" w:sz="6" w:space="0" w:color="000000"/>
            </w:tcBorders>
            <w:shd w:fill="auto"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rPr/>
      </w:pPr>
      <w:r>
        <w:rPr/>
      </w:r>
      <w:r>
        <w:br w:type="page"/>
      </w:r>
    </w:p>
    <w:p>
      <w:pPr>
        <w:pStyle w:val="TextBody"/>
        <w:spacing w:lineRule="auto" w:line="288" w:before="0" w:after="0"/>
        <w:rPr>
          <w:rFonts w:ascii="inherit" w:hAnsi="inherit"/>
          <w:sz w:val="17"/>
        </w:rPr>
      </w:pPr>
      <w:r>
        <w:rPr>
          <w:rFonts w:ascii="inherit" w:hAnsi="inherit"/>
          <w:sz w:val="17"/>
        </w:rPr>
      </w:r>
      <w:bookmarkStart w:id="38" w:name="sf75c00c84d9844e1bafdc68299b988f7"/>
      <w:bookmarkStart w:id="39" w:name="sf75c00c84d9844e1bafdc68299b988f7"/>
      <w:bookmarkEnd w:id="39"/>
    </w:p>
    <w:p>
      <w:pPr>
        <w:pStyle w:val="TextBody"/>
        <w:spacing w:before="0" w:after="0"/>
        <w:rPr/>
      </w:pPr>
      <w:r>
        <w:rPr/>
      </w:r>
    </w:p>
    <w:p>
      <w:pPr>
        <w:pStyle w:val="TextBody"/>
        <w:spacing w:lineRule="auto" w:line="288" w:before="0" w:after="0"/>
        <w:jc w:val="center"/>
        <w:rPr>
          <w:rFonts w:ascii="inherit" w:hAnsi="inherit"/>
          <w:b/>
          <w:sz w:val="15"/>
        </w:rPr>
      </w:pPr>
      <w:r>
        <w:rPr>
          <w:rFonts w:ascii="inherit" w:hAnsi="inherit"/>
          <w:b/>
          <w:sz w:val="15"/>
        </w:rPr>
        <w:t>EZCORP, Inc.</w:t>
      </w:r>
    </w:p>
    <w:p>
      <w:pPr>
        <w:pStyle w:val="TextBody"/>
        <w:spacing w:lineRule="auto" w:line="288" w:before="0" w:after="0"/>
        <w:jc w:val="center"/>
        <w:rPr>
          <w:rFonts w:ascii="inherit" w:hAnsi="inherit"/>
          <w:b/>
          <w:sz w:val="15"/>
        </w:rPr>
      </w:pPr>
      <w:r>
        <w:rPr>
          <w:rFonts w:ascii="inherit" w:hAnsi="inherit"/>
          <w:b/>
          <w:sz w:val="15"/>
        </w:rPr>
        <w:t>OPERATING SEGMENT RESULTS (UNAUDITED)</w:t>
      </w:r>
    </w:p>
    <w:tbl>
      <w:tblPr>
        <w:tblW w:w="10205" w:type="dxa"/>
        <w:jc w:val="center"/>
        <w:tblInd w:w="0" w:type="dxa"/>
        <w:tblCellMar>
          <w:top w:w="0" w:type="dxa"/>
          <w:left w:w="0" w:type="dxa"/>
          <w:bottom w:w="0" w:type="dxa"/>
          <w:right w:w="0" w:type="dxa"/>
        </w:tblCellMar>
      </w:tblPr>
      <w:tblGrid>
        <w:gridCol w:w="3132"/>
        <w:gridCol w:w="125"/>
        <w:gridCol w:w="695"/>
        <w:gridCol w:w="110"/>
        <w:gridCol w:w="90"/>
        <w:gridCol w:w="180"/>
        <w:gridCol w:w="850"/>
        <w:gridCol w:w="158"/>
        <w:gridCol w:w="90"/>
        <w:gridCol w:w="218"/>
        <w:gridCol w:w="584"/>
        <w:gridCol w:w="193"/>
        <w:gridCol w:w="90"/>
        <w:gridCol w:w="142"/>
        <w:gridCol w:w="796"/>
        <w:gridCol w:w="125"/>
        <w:gridCol w:w="90"/>
        <w:gridCol w:w="150"/>
        <w:gridCol w:w="784"/>
        <w:gridCol w:w="132"/>
        <w:gridCol w:w="90"/>
        <w:gridCol w:w="125"/>
        <w:gridCol w:w="695"/>
        <w:gridCol w:w="561"/>
      </w:tblGrid>
      <w:tr>
        <w:trPr/>
        <w:tc>
          <w:tcPr>
            <w:tcW w:w="10205" w:type="dxa"/>
            <w:gridSpan w:val="24"/>
            <w:tcBorders/>
            <w:shd w:fill="auto" w:val="clear"/>
            <w:vAlign w:val="center"/>
          </w:tcPr>
          <w:p>
            <w:pPr>
              <w:pStyle w:val="TableContents"/>
              <w:spacing w:before="0" w:after="283"/>
              <w:rPr>
                <w:sz w:val="4"/>
                <w:szCs w:val="4"/>
              </w:rPr>
            </w:pPr>
            <w:r>
              <w:rPr>
                <w:sz w:val="4"/>
                <w:szCs w:val="4"/>
              </w:rPr>
            </w:r>
          </w:p>
        </w:tc>
      </w:tr>
      <w:tr>
        <w:trPr/>
        <w:tc>
          <w:tcPr>
            <w:tcW w:w="3132"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850"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584"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784"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561"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132" w:type="dxa"/>
            <w:tcBorders/>
            <w:shd w:fill="auto" w:val="clear"/>
            <w:vAlign w:val="center"/>
          </w:tcPr>
          <w:p>
            <w:pPr>
              <w:pStyle w:val="TableContents"/>
              <w:spacing w:before="0" w:after="0"/>
              <w:ind w:left="0" w:right="0" w:firstLine="30"/>
              <w:jc w:val="left"/>
              <w:rPr/>
            </w:pPr>
            <w:r>
              <w:rPr/>
              <w:t> </w:t>
            </w:r>
          </w:p>
        </w:tc>
        <w:tc>
          <w:tcPr>
            <w:tcW w:w="7073" w:type="dxa"/>
            <w:gridSpan w:val="2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Six Months Ended March 31, 2018</w:t>
            </w:r>
          </w:p>
        </w:tc>
      </w:tr>
      <w:tr>
        <w:trPr/>
        <w:tc>
          <w:tcPr>
            <w:tcW w:w="3132" w:type="dxa"/>
            <w:tcBorders/>
            <w:shd w:fill="auto" w:val="clear"/>
            <w:vAlign w:val="center"/>
          </w:tcPr>
          <w:p>
            <w:pPr>
              <w:pStyle w:val="TableContents"/>
              <w:spacing w:before="0" w:after="0"/>
              <w:ind w:left="0" w:right="0" w:firstLine="30"/>
              <w:rPr/>
            </w:pPr>
            <w:r>
              <w:rPr/>
              <w:t>  </w:t>
            </w:r>
          </w:p>
        </w:tc>
        <w:tc>
          <w:tcPr>
            <w:tcW w:w="93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U.S. Pawn</w:t>
            </w:r>
          </w:p>
        </w:tc>
        <w:tc>
          <w:tcPr>
            <w:tcW w:w="90" w:type="dxa"/>
            <w:tcBorders/>
            <w:shd w:fill="auto" w:val="clear"/>
            <w:vAlign w:val="center"/>
          </w:tcPr>
          <w:p>
            <w:pPr>
              <w:pStyle w:val="TableContents"/>
              <w:spacing w:before="0" w:after="0"/>
              <w:ind w:left="0" w:right="0" w:firstLine="30"/>
              <w:rPr/>
            </w:pPr>
            <w:r>
              <w:rPr/>
              <w:t> </w:t>
            </w:r>
          </w:p>
        </w:tc>
        <w:tc>
          <w:tcPr>
            <w:tcW w:w="118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Latin America Pawn</w:t>
            </w:r>
          </w:p>
        </w:tc>
        <w:tc>
          <w:tcPr>
            <w:tcW w:w="90" w:type="dxa"/>
            <w:tcBorders/>
            <w:shd w:fill="auto" w:val="clear"/>
            <w:vAlign w:val="center"/>
          </w:tcPr>
          <w:p>
            <w:pPr>
              <w:pStyle w:val="TableContents"/>
              <w:spacing w:before="0" w:after="0"/>
              <w:ind w:left="0" w:right="0" w:firstLine="30"/>
              <w:rPr/>
            </w:pPr>
            <w:r>
              <w:rPr/>
              <w:t> </w:t>
            </w:r>
          </w:p>
        </w:tc>
        <w:tc>
          <w:tcPr>
            <w:tcW w:w="995"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Other</w:t>
            </w:r>
          </w:p>
          <w:p>
            <w:pPr>
              <w:pStyle w:val="TableContents"/>
              <w:spacing w:before="0" w:after="0"/>
              <w:ind w:left="0" w:right="0" w:firstLine="30"/>
              <w:jc w:val="center"/>
              <w:rPr>
                <w:rFonts w:ascii="inherit" w:hAnsi="inherit"/>
                <w:b/>
                <w:sz w:val="13"/>
              </w:rPr>
            </w:pPr>
            <w:r>
              <w:rPr>
                <w:rFonts w:ascii="inherit" w:hAnsi="inherit"/>
                <w:b/>
                <w:sz w:val="13"/>
              </w:rPr>
              <w:t>International</w:t>
            </w:r>
          </w:p>
        </w:tc>
        <w:tc>
          <w:tcPr>
            <w:tcW w:w="90" w:type="dxa"/>
            <w:tcBorders/>
            <w:shd w:fill="auto" w:val="clear"/>
            <w:vAlign w:val="center"/>
          </w:tcPr>
          <w:p>
            <w:pPr>
              <w:pStyle w:val="TableContents"/>
              <w:spacing w:before="0" w:after="0"/>
              <w:ind w:left="0" w:right="0" w:firstLine="30"/>
              <w:rPr/>
            </w:pPr>
            <w:r>
              <w:rPr/>
              <w:t> </w:t>
            </w:r>
          </w:p>
        </w:tc>
        <w:tc>
          <w:tcPr>
            <w:tcW w:w="1063"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Total Segments</w:t>
            </w:r>
          </w:p>
        </w:tc>
        <w:tc>
          <w:tcPr>
            <w:tcW w:w="90"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1066"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Corporate Items</w:t>
            </w:r>
          </w:p>
        </w:tc>
        <w:tc>
          <w:tcPr>
            <w:tcW w:w="90"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1381"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Consolidated</w:t>
            </w:r>
          </w:p>
        </w:tc>
      </w:tr>
      <w:tr>
        <w:trPr/>
        <w:tc>
          <w:tcPr>
            <w:tcW w:w="3132" w:type="dxa"/>
            <w:tcBorders/>
            <w:shd w:fill="auto" w:val="clear"/>
            <w:vAlign w:val="center"/>
          </w:tcPr>
          <w:p>
            <w:pPr>
              <w:pStyle w:val="TableContents"/>
              <w:spacing w:before="0" w:after="0"/>
              <w:ind w:left="0" w:right="0" w:firstLine="30"/>
              <w:rPr/>
            </w:pPr>
            <w:r>
              <w:rPr/>
              <w:t> </w:t>
            </w:r>
          </w:p>
        </w:tc>
        <w:tc>
          <w:tcPr>
            <w:tcW w:w="93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188"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9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63"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66"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381" w:type="dxa"/>
            <w:gridSpan w:val="3"/>
            <w:tcBorders/>
            <w:shd w:fill="auto" w:val="clear"/>
            <w:vAlign w:val="center"/>
          </w:tcPr>
          <w:p>
            <w:pPr>
              <w:pStyle w:val="TableContents"/>
              <w:spacing w:before="0" w:after="0"/>
              <w:ind w:left="0" w:right="0" w:firstLine="30"/>
              <w:rPr/>
            </w:pPr>
            <w:r>
              <w:rPr/>
              <w:t> </w:t>
            </w:r>
          </w:p>
        </w:tc>
      </w:tr>
      <w:tr>
        <w:trPr/>
        <w:tc>
          <w:tcPr>
            <w:tcW w:w="3132" w:type="dxa"/>
            <w:tcBorders/>
            <w:shd w:fill="auto" w:val="clear"/>
            <w:vAlign w:val="center"/>
          </w:tcPr>
          <w:p>
            <w:pPr>
              <w:pStyle w:val="TableContents"/>
              <w:spacing w:before="0" w:after="0"/>
              <w:ind w:left="0" w:right="0" w:firstLine="30"/>
              <w:jc w:val="left"/>
              <w:rPr/>
            </w:pPr>
            <w:r>
              <w:rPr/>
              <w:t> </w:t>
            </w:r>
          </w:p>
        </w:tc>
        <w:tc>
          <w:tcPr>
            <w:tcW w:w="7073" w:type="dxa"/>
            <w:gridSpan w:val="23"/>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3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Revenues:</w:t>
            </w:r>
          </w:p>
        </w:tc>
        <w:tc>
          <w:tcPr>
            <w:tcW w:w="93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188"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9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63"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66"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381" w:type="dxa"/>
            <w:gridSpan w:val="3"/>
            <w:tcBorders/>
            <w:shd w:fill="auto" w:val="clear"/>
            <w:vAlign w:val="center"/>
          </w:tcPr>
          <w:p>
            <w:pPr>
              <w:pStyle w:val="TableContents"/>
              <w:spacing w:before="0" w:after="0"/>
              <w:ind w:left="0" w:right="0" w:firstLine="300"/>
              <w:rPr/>
            </w:pPr>
            <w:r>
              <w:rPr/>
              <w:t> </w:t>
            </w:r>
          </w:p>
        </w:tc>
      </w:tr>
      <w:tr>
        <w:trPr/>
        <w:tc>
          <w:tcPr>
            <w:tcW w:w="3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Merchandise sales</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shd w:fill="auto" w:val="clear"/>
            <w:vAlign w:val="center"/>
          </w:tcPr>
          <w:p>
            <w:pPr>
              <w:pStyle w:val="TableContents"/>
              <w:spacing w:before="0" w:after="0"/>
              <w:jc w:val="right"/>
              <w:rPr>
                <w:rFonts w:ascii="inherit" w:hAnsi="inherit"/>
                <w:sz w:val="17"/>
              </w:rPr>
            </w:pPr>
            <w:r>
              <w:rPr>
                <w:rFonts w:ascii="inherit" w:hAnsi="inherit"/>
                <w:sz w:val="17"/>
              </w:rPr>
              <w:t>186,247</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80"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850" w:type="dxa"/>
            <w:tcBorders/>
            <w:shd w:fill="auto" w:val="clear"/>
            <w:vAlign w:val="center"/>
          </w:tcPr>
          <w:p>
            <w:pPr>
              <w:pStyle w:val="TableContents"/>
              <w:spacing w:before="0" w:after="0"/>
              <w:jc w:val="right"/>
              <w:rPr>
                <w:rFonts w:ascii="inherit" w:hAnsi="inherit"/>
                <w:sz w:val="17"/>
              </w:rPr>
            </w:pPr>
            <w:r>
              <w:rPr>
                <w:rFonts w:ascii="inherit" w:hAnsi="inherit"/>
                <w:sz w:val="17"/>
              </w:rPr>
              <w:t>42,286</w:t>
            </w:r>
          </w:p>
        </w:tc>
        <w:tc>
          <w:tcPr>
            <w:tcW w:w="1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218"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584" w:type="dxa"/>
            <w:tcBorders/>
            <w:shd w:fill="auto" w:val="clear"/>
            <w:vAlign w:val="center"/>
          </w:tcPr>
          <w:p>
            <w:pPr>
              <w:pStyle w:val="TableContents"/>
              <w:spacing w:before="0" w:after="0"/>
              <w:jc w:val="right"/>
              <w:rPr/>
            </w:pPr>
            <w:r>
              <w:rPr/>
              <w:t>—</w:t>
            </w:r>
          </w:p>
        </w:tc>
        <w:tc>
          <w:tcPr>
            <w:tcW w:w="1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42"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796" w:type="dxa"/>
            <w:tcBorders/>
            <w:shd w:fill="auto" w:val="clear"/>
            <w:vAlign w:val="center"/>
          </w:tcPr>
          <w:p>
            <w:pPr>
              <w:pStyle w:val="TableContents"/>
              <w:spacing w:before="0" w:after="0"/>
              <w:jc w:val="right"/>
              <w:rPr>
                <w:rFonts w:ascii="inherit" w:hAnsi="inherit"/>
                <w:sz w:val="17"/>
              </w:rPr>
            </w:pPr>
            <w:r>
              <w:rPr>
                <w:rFonts w:ascii="inherit" w:hAnsi="inherit"/>
                <w:sz w:val="17"/>
              </w:rPr>
              <w:t>228,533</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50"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784" w:type="dxa"/>
            <w:tcBorders/>
            <w:shd w:fill="auto" w:val="clear"/>
            <w:vAlign w:val="center"/>
          </w:tcPr>
          <w:p>
            <w:pPr>
              <w:pStyle w:val="TableContents"/>
              <w:spacing w:before="0" w:after="0"/>
              <w:jc w:val="right"/>
              <w:rPr/>
            </w:pPr>
            <w:r>
              <w:rPr/>
              <w:t>—</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shd w:fill="auto" w:val="clear"/>
            <w:vAlign w:val="center"/>
          </w:tcPr>
          <w:p>
            <w:pPr>
              <w:pStyle w:val="TableContents"/>
              <w:spacing w:before="0" w:after="0"/>
              <w:jc w:val="right"/>
              <w:rPr>
                <w:rFonts w:ascii="inherit" w:hAnsi="inherit"/>
                <w:sz w:val="17"/>
              </w:rPr>
            </w:pPr>
            <w:r>
              <w:rPr>
                <w:rFonts w:ascii="inherit" w:hAnsi="inherit"/>
                <w:sz w:val="17"/>
              </w:rPr>
              <w:t>228,533</w:t>
            </w:r>
          </w:p>
        </w:tc>
        <w:tc>
          <w:tcPr>
            <w:tcW w:w="561"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sales</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16,702</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3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7,036</w:t>
            </w:r>
          </w:p>
        </w:tc>
        <w:tc>
          <w:tcPr>
            <w:tcW w:w="1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02" w:type="dxa"/>
            <w:gridSpan w:val="2"/>
            <w:tcBorders/>
            <w:shd w:fill="auto" w:val="clear"/>
            <w:vAlign w:val="center"/>
          </w:tcPr>
          <w:p>
            <w:pPr>
              <w:pStyle w:val="TableContents"/>
              <w:spacing w:before="0" w:after="0"/>
              <w:jc w:val="right"/>
              <w:rPr/>
            </w:pPr>
            <w:r>
              <w:rPr/>
              <w:t>—</w:t>
            </w:r>
          </w:p>
        </w:tc>
        <w:tc>
          <w:tcPr>
            <w:tcW w:w="1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3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23,738</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34" w:type="dxa"/>
            <w:gridSpan w:val="2"/>
            <w:tcBorders/>
            <w:shd w:fill="auto" w:val="clear"/>
            <w:vAlign w:val="center"/>
          </w:tcPr>
          <w:p>
            <w:pPr>
              <w:pStyle w:val="TableContents"/>
              <w:spacing w:before="0" w:after="0"/>
              <w:jc w:val="right"/>
              <w:rPr/>
            </w:pPr>
            <w:r>
              <w:rPr/>
              <w:t>—</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23,738</w:t>
            </w:r>
          </w:p>
        </w:tc>
        <w:tc>
          <w:tcPr>
            <w:tcW w:w="561"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Pawn service charges</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118,819</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3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31,908</w:t>
            </w:r>
          </w:p>
        </w:tc>
        <w:tc>
          <w:tcPr>
            <w:tcW w:w="1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02" w:type="dxa"/>
            <w:gridSpan w:val="2"/>
            <w:tcBorders/>
            <w:shd w:fill="auto" w:val="clear"/>
            <w:vAlign w:val="center"/>
          </w:tcPr>
          <w:p>
            <w:pPr>
              <w:pStyle w:val="TableContents"/>
              <w:spacing w:before="0" w:after="0"/>
              <w:jc w:val="right"/>
              <w:rPr/>
            </w:pPr>
            <w:r>
              <w:rPr/>
              <w:t>—</w:t>
            </w:r>
          </w:p>
        </w:tc>
        <w:tc>
          <w:tcPr>
            <w:tcW w:w="1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3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150,727</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34" w:type="dxa"/>
            <w:gridSpan w:val="2"/>
            <w:tcBorders/>
            <w:shd w:fill="auto" w:val="clear"/>
            <w:vAlign w:val="center"/>
          </w:tcPr>
          <w:p>
            <w:pPr>
              <w:pStyle w:val="TableContents"/>
              <w:spacing w:before="0" w:after="0"/>
              <w:jc w:val="right"/>
              <w:rPr/>
            </w:pPr>
            <w:r>
              <w:rPr/>
              <w:t>—</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150,727</w:t>
            </w:r>
          </w:p>
        </w:tc>
        <w:tc>
          <w:tcPr>
            <w:tcW w:w="561"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revenues</w:t>
            </w:r>
          </w:p>
        </w:tc>
        <w:tc>
          <w:tcPr>
            <w:tcW w:w="82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150</w:t>
            </w:r>
          </w:p>
        </w:tc>
        <w:tc>
          <w:tcPr>
            <w:tcW w:w="11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3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343</w:t>
            </w:r>
          </w:p>
        </w:tc>
        <w:tc>
          <w:tcPr>
            <w:tcW w:w="15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02"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3,751</w:t>
            </w:r>
          </w:p>
        </w:tc>
        <w:tc>
          <w:tcPr>
            <w:tcW w:w="193"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3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4,244</w:t>
            </w:r>
          </w:p>
        </w:tc>
        <w:tc>
          <w:tcPr>
            <w:tcW w:w="12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34"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3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4,244</w:t>
            </w:r>
          </w:p>
        </w:tc>
        <w:tc>
          <w:tcPr>
            <w:tcW w:w="561" w:type="dxa"/>
            <w:tcBorders>
              <w:bottom w:val="single" w:sz="2" w:space="0" w:color="000000"/>
            </w:tcBorders>
            <w:shd w:fill="auto" w:val="clear"/>
            <w:tcMar>
              <w:bottom w:w="28" w:type="dxa"/>
            </w:tcMar>
            <w:vAlign w:val="center"/>
          </w:tcPr>
          <w:p>
            <w:pPr>
              <w:pStyle w:val="TableContents"/>
              <w:spacing w:before="0" w:after="0"/>
              <w:ind w:left="0" w:right="0" w:firstLine="540"/>
              <w:jc w:val="left"/>
              <w:rPr>
                <w:rFonts w:ascii="inherit" w:hAnsi="inherit"/>
                <w:sz w:val="17"/>
              </w:rPr>
            </w:pPr>
            <w:r>
              <w:rPr>
                <w:rFonts w:ascii="inherit" w:hAnsi="inherit"/>
                <w:sz w:val="17"/>
              </w:rPr>
            </w:r>
          </w:p>
        </w:tc>
      </w:tr>
      <w:tr>
        <w:trPr/>
        <w:tc>
          <w:tcPr>
            <w:tcW w:w="3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revenues</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321,918</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3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81,573</w:t>
            </w:r>
          </w:p>
        </w:tc>
        <w:tc>
          <w:tcPr>
            <w:tcW w:w="1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0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3,751</w:t>
            </w:r>
          </w:p>
        </w:tc>
        <w:tc>
          <w:tcPr>
            <w:tcW w:w="1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3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407,242</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34" w:type="dxa"/>
            <w:gridSpan w:val="2"/>
            <w:tcBorders/>
            <w:shd w:fill="auto" w:val="clear"/>
            <w:vAlign w:val="center"/>
          </w:tcPr>
          <w:p>
            <w:pPr>
              <w:pStyle w:val="TableContents"/>
              <w:spacing w:before="0" w:after="0"/>
              <w:jc w:val="right"/>
              <w:rPr/>
            </w:pPr>
            <w:r>
              <w:rPr/>
              <w:t>—</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407,242</w:t>
            </w:r>
          </w:p>
        </w:tc>
        <w:tc>
          <w:tcPr>
            <w:tcW w:w="5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Merchandise cost of goods sold</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114,625</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3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28,762</w:t>
            </w:r>
          </w:p>
        </w:tc>
        <w:tc>
          <w:tcPr>
            <w:tcW w:w="1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02" w:type="dxa"/>
            <w:gridSpan w:val="2"/>
            <w:tcBorders/>
            <w:shd w:fill="auto" w:val="clear"/>
            <w:vAlign w:val="center"/>
          </w:tcPr>
          <w:p>
            <w:pPr>
              <w:pStyle w:val="TableContents"/>
              <w:spacing w:before="0" w:after="0"/>
              <w:jc w:val="right"/>
              <w:rPr/>
            </w:pPr>
            <w:r>
              <w:rPr/>
              <w:t>—</w:t>
            </w:r>
          </w:p>
        </w:tc>
        <w:tc>
          <w:tcPr>
            <w:tcW w:w="1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3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143,387</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34" w:type="dxa"/>
            <w:gridSpan w:val="2"/>
            <w:tcBorders/>
            <w:shd w:fill="auto" w:val="clear"/>
            <w:vAlign w:val="center"/>
          </w:tcPr>
          <w:p>
            <w:pPr>
              <w:pStyle w:val="TableContents"/>
              <w:spacing w:before="0" w:after="0"/>
              <w:jc w:val="right"/>
              <w:rPr/>
            </w:pPr>
            <w:r>
              <w:rPr/>
              <w:t>—</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143,387</w:t>
            </w:r>
          </w:p>
        </w:tc>
        <w:tc>
          <w:tcPr>
            <w:tcW w:w="5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cost of goods sold</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13,354</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3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6,557</w:t>
            </w:r>
          </w:p>
        </w:tc>
        <w:tc>
          <w:tcPr>
            <w:tcW w:w="1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02" w:type="dxa"/>
            <w:gridSpan w:val="2"/>
            <w:tcBorders/>
            <w:shd w:fill="auto" w:val="clear"/>
            <w:vAlign w:val="center"/>
          </w:tcPr>
          <w:p>
            <w:pPr>
              <w:pStyle w:val="TableContents"/>
              <w:spacing w:before="0" w:after="0"/>
              <w:jc w:val="right"/>
              <w:rPr/>
            </w:pPr>
            <w:r>
              <w:rPr/>
              <w:t>—</w:t>
            </w:r>
          </w:p>
        </w:tc>
        <w:tc>
          <w:tcPr>
            <w:tcW w:w="1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3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19,911</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34" w:type="dxa"/>
            <w:gridSpan w:val="2"/>
            <w:tcBorders/>
            <w:shd w:fill="auto" w:val="clear"/>
            <w:vAlign w:val="center"/>
          </w:tcPr>
          <w:p>
            <w:pPr>
              <w:pStyle w:val="TableContents"/>
              <w:spacing w:before="0" w:after="0"/>
              <w:jc w:val="right"/>
              <w:rPr/>
            </w:pPr>
            <w:r>
              <w:rPr/>
              <w:t>—</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19,911</w:t>
            </w:r>
          </w:p>
        </w:tc>
        <w:tc>
          <w:tcPr>
            <w:tcW w:w="5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cost of revenues</w:t>
            </w:r>
          </w:p>
        </w:tc>
        <w:tc>
          <w:tcPr>
            <w:tcW w:w="820"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1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30"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5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02"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924</w:t>
            </w:r>
          </w:p>
        </w:tc>
        <w:tc>
          <w:tcPr>
            <w:tcW w:w="193"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3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924</w:t>
            </w:r>
          </w:p>
        </w:tc>
        <w:tc>
          <w:tcPr>
            <w:tcW w:w="12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34"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3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924</w:t>
            </w:r>
          </w:p>
        </w:tc>
        <w:tc>
          <w:tcPr>
            <w:tcW w:w="561" w:type="dxa"/>
            <w:tcBorders>
              <w:bottom w:val="single" w:sz="2" w:space="0" w:color="000000"/>
            </w:tcBorders>
            <w:shd w:fill="auto" w:val="clear"/>
            <w:tcMar>
              <w:bottom w:w="28" w:type="dxa"/>
            </w:tcMar>
            <w:vAlign w:val="center"/>
          </w:tcPr>
          <w:p>
            <w:pPr>
              <w:pStyle w:val="TableContents"/>
              <w:spacing w:before="0" w:after="0"/>
              <w:ind w:left="0" w:right="0" w:firstLine="540"/>
              <w:jc w:val="left"/>
              <w:rPr>
                <w:rFonts w:ascii="inherit" w:hAnsi="inherit"/>
                <w:sz w:val="17"/>
              </w:rPr>
            </w:pPr>
            <w:r>
              <w:rPr>
                <w:rFonts w:ascii="inherit" w:hAnsi="inherit"/>
                <w:sz w:val="17"/>
              </w:rPr>
            </w:r>
          </w:p>
        </w:tc>
      </w:tr>
      <w:tr>
        <w:trPr/>
        <w:tc>
          <w:tcPr>
            <w:tcW w:w="3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revenues</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193,939</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30"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46,254</w:t>
            </w:r>
          </w:p>
        </w:tc>
        <w:tc>
          <w:tcPr>
            <w:tcW w:w="158"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0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2,827</w:t>
            </w:r>
          </w:p>
        </w:tc>
        <w:tc>
          <w:tcPr>
            <w:tcW w:w="1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3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243,020</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34" w:type="dxa"/>
            <w:gridSpan w:val="2"/>
            <w:tcBorders>
              <w:top w:val="single" w:sz="2" w:space="0" w:color="000000"/>
            </w:tcBorders>
            <w:shd w:fill="auto" w:val="clear"/>
            <w:tcMar>
              <w:top w:w="30" w:type="dxa"/>
            </w:tcMar>
            <w:vAlign w:val="center"/>
          </w:tcPr>
          <w:p>
            <w:pPr>
              <w:pStyle w:val="TableContents"/>
              <w:spacing w:before="0" w:after="0"/>
              <w:jc w:val="right"/>
              <w:rPr/>
            </w:pPr>
            <w:r>
              <w:rPr/>
              <w:t>—</w:t>
            </w:r>
          </w:p>
        </w:tc>
        <w:tc>
          <w:tcPr>
            <w:tcW w:w="132"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243,020</w:t>
            </w:r>
          </w:p>
        </w:tc>
        <w:tc>
          <w:tcPr>
            <w:tcW w:w="5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Segment and corporate expenses (income):</w:t>
            </w:r>
          </w:p>
        </w:tc>
        <w:tc>
          <w:tcPr>
            <w:tcW w:w="93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188"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9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63"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66"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381" w:type="dxa"/>
            <w:gridSpan w:val="3"/>
            <w:tcBorders/>
            <w:shd w:fill="auto" w:val="clear"/>
            <w:vAlign w:val="center"/>
          </w:tcPr>
          <w:p>
            <w:pPr>
              <w:pStyle w:val="TableContents"/>
              <w:spacing w:before="0" w:after="0"/>
              <w:ind w:left="0" w:right="0" w:firstLine="300"/>
              <w:rPr/>
            </w:pPr>
            <w:r>
              <w:rPr/>
              <w:t> </w:t>
            </w:r>
          </w:p>
        </w:tc>
      </w:tr>
      <w:tr>
        <w:trPr/>
        <w:tc>
          <w:tcPr>
            <w:tcW w:w="3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Operations</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131,491</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3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29,681</w:t>
            </w:r>
          </w:p>
        </w:tc>
        <w:tc>
          <w:tcPr>
            <w:tcW w:w="1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0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4,598</w:t>
            </w:r>
          </w:p>
        </w:tc>
        <w:tc>
          <w:tcPr>
            <w:tcW w:w="1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3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165,770</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34" w:type="dxa"/>
            <w:gridSpan w:val="2"/>
            <w:tcBorders/>
            <w:shd w:fill="auto" w:val="clear"/>
            <w:vAlign w:val="center"/>
          </w:tcPr>
          <w:p>
            <w:pPr>
              <w:pStyle w:val="TableContents"/>
              <w:spacing w:before="0" w:after="0"/>
              <w:jc w:val="right"/>
              <w:rPr/>
            </w:pPr>
            <w:r>
              <w:rPr/>
              <w:t>—</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165,770</w:t>
            </w:r>
          </w:p>
        </w:tc>
        <w:tc>
          <w:tcPr>
            <w:tcW w:w="561"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Administrative</w:t>
            </w:r>
          </w:p>
        </w:tc>
        <w:tc>
          <w:tcPr>
            <w:tcW w:w="820" w:type="dxa"/>
            <w:gridSpan w:val="2"/>
            <w:tcBorders/>
            <w:shd w:fill="auto" w:val="clear"/>
            <w:vAlign w:val="center"/>
          </w:tcPr>
          <w:p>
            <w:pPr>
              <w:pStyle w:val="TableContents"/>
              <w:spacing w:before="0" w:after="0"/>
              <w:jc w:val="right"/>
              <w:rPr/>
            </w:pPr>
            <w:r>
              <w:rPr/>
              <w:t>—</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30" w:type="dxa"/>
            <w:gridSpan w:val="2"/>
            <w:tcBorders/>
            <w:shd w:fill="auto" w:val="clear"/>
            <w:vAlign w:val="center"/>
          </w:tcPr>
          <w:p>
            <w:pPr>
              <w:pStyle w:val="TableContents"/>
              <w:spacing w:before="0" w:after="0"/>
              <w:jc w:val="right"/>
              <w:rPr/>
            </w:pPr>
            <w:r>
              <w:rPr/>
              <w:t>—</w:t>
            </w:r>
          </w:p>
        </w:tc>
        <w:tc>
          <w:tcPr>
            <w:tcW w:w="1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02" w:type="dxa"/>
            <w:gridSpan w:val="2"/>
            <w:tcBorders/>
            <w:shd w:fill="auto" w:val="clear"/>
            <w:vAlign w:val="center"/>
          </w:tcPr>
          <w:p>
            <w:pPr>
              <w:pStyle w:val="TableContents"/>
              <w:spacing w:before="0" w:after="0"/>
              <w:jc w:val="right"/>
              <w:rPr/>
            </w:pPr>
            <w:r>
              <w:rPr/>
              <w:t>—</w:t>
            </w:r>
          </w:p>
        </w:tc>
        <w:tc>
          <w:tcPr>
            <w:tcW w:w="1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38" w:type="dxa"/>
            <w:gridSpan w:val="2"/>
            <w:tcBorders/>
            <w:shd w:fill="auto" w:val="clear"/>
            <w:vAlign w:val="center"/>
          </w:tcPr>
          <w:p>
            <w:pPr>
              <w:pStyle w:val="TableContents"/>
              <w:spacing w:before="0" w:after="0"/>
              <w:jc w:val="right"/>
              <w:rPr/>
            </w:pPr>
            <w:r>
              <w:rPr/>
              <w:t>—</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3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26,659</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26,659</w:t>
            </w:r>
          </w:p>
        </w:tc>
        <w:tc>
          <w:tcPr>
            <w:tcW w:w="561"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Depreciation and amortization</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6,330</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3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1,761</w:t>
            </w:r>
          </w:p>
        </w:tc>
        <w:tc>
          <w:tcPr>
            <w:tcW w:w="1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0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94</w:t>
            </w:r>
          </w:p>
        </w:tc>
        <w:tc>
          <w:tcPr>
            <w:tcW w:w="1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3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8,185</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3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3,989</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12,174</w:t>
            </w:r>
          </w:p>
        </w:tc>
        <w:tc>
          <w:tcPr>
            <w:tcW w:w="561"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Loss on sale or disposal of assets</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123</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3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w:t>
            </w:r>
          </w:p>
        </w:tc>
        <w:tc>
          <w:tcPr>
            <w:tcW w:w="1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02" w:type="dxa"/>
            <w:gridSpan w:val="2"/>
            <w:tcBorders/>
            <w:shd w:fill="auto" w:val="clear"/>
            <w:vAlign w:val="center"/>
          </w:tcPr>
          <w:p>
            <w:pPr>
              <w:pStyle w:val="TableContents"/>
              <w:spacing w:before="0" w:after="0"/>
              <w:jc w:val="right"/>
              <w:rPr/>
            </w:pPr>
            <w:r>
              <w:rPr/>
              <w:t>—</w:t>
            </w:r>
          </w:p>
        </w:tc>
        <w:tc>
          <w:tcPr>
            <w:tcW w:w="1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3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128</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3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139</w:t>
            </w:r>
          </w:p>
        </w:tc>
        <w:tc>
          <w:tcPr>
            <w:tcW w:w="561"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Interest expense</w:t>
            </w:r>
          </w:p>
        </w:tc>
        <w:tc>
          <w:tcPr>
            <w:tcW w:w="820" w:type="dxa"/>
            <w:gridSpan w:val="2"/>
            <w:tcBorders/>
            <w:shd w:fill="auto" w:val="clear"/>
            <w:vAlign w:val="center"/>
          </w:tcPr>
          <w:p>
            <w:pPr>
              <w:pStyle w:val="TableContents"/>
              <w:spacing w:before="0" w:after="0"/>
              <w:jc w:val="right"/>
              <w:rPr/>
            </w:pPr>
            <w:r>
              <w:rPr/>
              <w:t>—</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3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w:t>
            </w:r>
          </w:p>
        </w:tc>
        <w:tc>
          <w:tcPr>
            <w:tcW w:w="1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02" w:type="dxa"/>
            <w:gridSpan w:val="2"/>
            <w:tcBorders/>
            <w:shd w:fill="auto" w:val="clear"/>
            <w:vAlign w:val="center"/>
          </w:tcPr>
          <w:p>
            <w:pPr>
              <w:pStyle w:val="TableContents"/>
              <w:spacing w:before="0" w:after="0"/>
              <w:jc w:val="right"/>
              <w:rPr/>
            </w:pPr>
            <w:r>
              <w:rPr/>
              <w:t>—</w:t>
            </w:r>
          </w:p>
        </w:tc>
        <w:tc>
          <w:tcPr>
            <w:tcW w:w="1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3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3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11,673</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11,676</w:t>
            </w:r>
          </w:p>
        </w:tc>
        <w:tc>
          <w:tcPr>
            <w:tcW w:w="561"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Interest income</w:t>
            </w:r>
          </w:p>
        </w:tc>
        <w:tc>
          <w:tcPr>
            <w:tcW w:w="820" w:type="dxa"/>
            <w:gridSpan w:val="2"/>
            <w:tcBorders/>
            <w:shd w:fill="auto" w:val="clear"/>
            <w:vAlign w:val="center"/>
          </w:tcPr>
          <w:p>
            <w:pPr>
              <w:pStyle w:val="TableContents"/>
              <w:spacing w:before="0" w:after="0"/>
              <w:jc w:val="right"/>
              <w:rPr/>
            </w:pPr>
            <w:r>
              <w:rPr/>
              <w:t>—</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3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(1,400</w:t>
            </w:r>
          </w:p>
        </w:tc>
        <w:tc>
          <w:tcPr>
            <w:tcW w:w="1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802" w:type="dxa"/>
            <w:gridSpan w:val="2"/>
            <w:tcBorders/>
            <w:shd w:fill="auto" w:val="clear"/>
            <w:vAlign w:val="center"/>
          </w:tcPr>
          <w:p>
            <w:pPr>
              <w:pStyle w:val="TableContents"/>
              <w:spacing w:before="0" w:after="0"/>
              <w:jc w:val="right"/>
              <w:rPr/>
            </w:pPr>
            <w:r>
              <w:rPr/>
              <w:t>—</w:t>
            </w:r>
          </w:p>
        </w:tc>
        <w:tc>
          <w:tcPr>
            <w:tcW w:w="1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3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(1,400</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93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(7,138</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(8,538</w:t>
            </w:r>
          </w:p>
        </w:tc>
        <w:tc>
          <w:tcPr>
            <w:tcW w:w="561"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t>)</w:t>
            </w:r>
          </w:p>
        </w:tc>
      </w:tr>
      <w:tr>
        <w:trPr/>
        <w:tc>
          <w:tcPr>
            <w:tcW w:w="3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Equity in net income of unconsolidated affiliate</w:t>
            </w:r>
          </w:p>
        </w:tc>
        <w:tc>
          <w:tcPr>
            <w:tcW w:w="820" w:type="dxa"/>
            <w:gridSpan w:val="2"/>
            <w:tcBorders/>
            <w:shd w:fill="auto" w:val="clear"/>
            <w:vAlign w:val="center"/>
          </w:tcPr>
          <w:p>
            <w:pPr>
              <w:pStyle w:val="TableContents"/>
              <w:spacing w:before="0" w:after="0"/>
              <w:jc w:val="right"/>
              <w:rPr/>
            </w:pPr>
            <w:r>
              <w:rPr/>
              <w:t>—</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30" w:type="dxa"/>
            <w:gridSpan w:val="2"/>
            <w:tcBorders/>
            <w:shd w:fill="auto" w:val="clear"/>
            <w:vAlign w:val="center"/>
          </w:tcPr>
          <w:p>
            <w:pPr>
              <w:pStyle w:val="TableContents"/>
              <w:spacing w:before="0" w:after="0"/>
              <w:jc w:val="right"/>
              <w:rPr/>
            </w:pPr>
            <w:r>
              <w:rPr/>
              <w:t>—</w:t>
            </w:r>
          </w:p>
        </w:tc>
        <w:tc>
          <w:tcPr>
            <w:tcW w:w="1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0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(2,326</w:t>
            </w:r>
          </w:p>
        </w:tc>
        <w:tc>
          <w:tcPr>
            <w:tcW w:w="1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93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(2,326</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934" w:type="dxa"/>
            <w:gridSpan w:val="2"/>
            <w:tcBorders/>
            <w:shd w:fill="auto" w:val="clear"/>
            <w:vAlign w:val="center"/>
          </w:tcPr>
          <w:p>
            <w:pPr>
              <w:pStyle w:val="TableContents"/>
              <w:spacing w:before="0" w:after="0"/>
              <w:jc w:val="right"/>
              <w:rPr/>
            </w:pPr>
            <w:r>
              <w:rPr/>
              <w:t>—</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(2,326</w:t>
            </w:r>
          </w:p>
        </w:tc>
        <w:tc>
          <w:tcPr>
            <w:tcW w:w="561"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t>)</w:t>
            </w:r>
          </w:p>
        </w:tc>
      </w:tr>
      <w:tr>
        <w:trPr/>
        <w:tc>
          <w:tcPr>
            <w:tcW w:w="3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(income) expense</w:t>
            </w:r>
          </w:p>
        </w:tc>
        <w:tc>
          <w:tcPr>
            <w:tcW w:w="82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w:t>
            </w:r>
          </w:p>
        </w:tc>
        <w:tc>
          <w:tcPr>
            <w:tcW w:w="11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103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114</w:t>
            </w:r>
          </w:p>
        </w:tc>
        <w:tc>
          <w:tcPr>
            <w:tcW w:w="15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02"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(118</w:t>
            </w:r>
          </w:p>
        </w:tc>
        <w:tc>
          <w:tcPr>
            <w:tcW w:w="193"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93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(7</w:t>
            </w:r>
          </w:p>
        </w:tc>
        <w:tc>
          <w:tcPr>
            <w:tcW w:w="12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93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(179</w:t>
            </w:r>
          </w:p>
        </w:tc>
        <w:tc>
          <w:tcPr>
            <w:tcW w:w="132"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(186</w:t>
            </w:r>
          </w:p>
        </w:tc>
        <w:tc>
          <w:tcPr>
            <w:tcW w:w="561"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3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Segment contribution</w:t>
            </w:r>
          </w:p>
        </w:tc>
        <w:tc>
          <w:tcPr>
            <w:tcW w:w="125"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55,998</w:t>
            </w:r>
          </w:p>
        </w:tc>
        <w:tc>
          <w:tcPr>
            <w:tcW w:w="110"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80"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50"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16,090</w:t>
            </w:r>
          </w:p>
        </w:tc>
        <w:tc>
          <w:tcPr>
            <w:tcW w:w="158"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218"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84"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579</w:t>
            </w:r>
          </w:p>
        </w:tc>
        <w:tc>
          <w:tcPr>
            <w:tcW w:w="193"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42"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96"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72,667</w:t>
            </w:r>
          </w:p>
        </w:tc>
        <w:tc>
          <w:tcPr>
            <w:tcW w:w="125"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66" w:type="dxa"/>
            <w:gridSpan w:val="3"/>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381" w:type="dxa"/>
            <w:gridSpan w:val="3"/>
            <w:tcBorders/>
            <w:shd w:fill="auto" w:val="clear"/>
            <w:vAlign w:val="center"/>
          </w:tcPr>
          <w:p>
            <w:pPr>
              <w:pStyle w:val="TableContents"/>
              <w:spacing w:before="0" w:after="0"/>
              <w:ind w:left="0" w:right="0" w:firstLine="30"/>
              <w:rPr/>
            </w:pPr>
            <w:r>
              <w:rPr/>
              <w:t> </w:t>
            </w:r>
          </w:p>
        </w:tc>
      </w:tr>
      <w:tr>
        <w:trPr/>
        <w:tc>
          <w:tcPr>
            <w:tcW w:w="3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Income from continuing operations before income taxes</w:t>
            </w:r>
          </w:p>
        </w:tc>
        <w:tc>
          <w:tcPr>
            <w:tcW w:w="93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188"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9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42" w:type="dxa"/>
            <w:tcBorders>
              <w:top w:val="double" w:sz="6"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96" w:type="dxa"/>
            <w:tcBorders>
              <w:top w:val="double" w:sz="6"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72,667</w:t>
            </w:r>
          </w:p>
        </w:tc>
        <w:tc>
          <w:tcPr>
            <w:tcW w:w="125" w:type="dxa"/>
            <w:tcBorders>
              <w:top w:val="double" w:sz="6"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50"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84"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(35,015</w:t>
            </w:r>
          </w:p>
        </w:tc>
        <w:tc>
          <w:tcPr>
            <w:tcW w:w="132" w:type="dxa"/>
            <w:tcBorders>
              <w:bottom w:val="double" w:sz="6"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125"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37,652</w:t>
            </w:r>
          </w:p>
        </w:tc>
        <w:tc>
          <w:tcPr>
            <w:tcW w:w="561" w:type="dxa"/>
            <w:tcBorders>
              <w:bottom w:val="double" w:sz="6" w:space="0" w:color="000000"/>
            </w:tcBorders>
            <w:shd w:fill="auto"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rPr/>
      </w:pPr>
      <w:r>
        <w:rPr/>
      </w:r>
      <w:r>
        <w:br w:type="page"/>
      </w:r>
    </w:p>
    <w:p>
      <w:pPr>
        <w:pStyle w:val="TextBody"/>
        <w:spacing w:lineRule="auto" w:line="288" w:before="0" w:after="0"/>
        <w:rPr>
          <w:rFonts w:ascii="inherit" w:hAnsi="inherit"/>
          <w:sz w:val="17"/>
        </w:rPr>
      </w:pPr>
      <w:r>
        <w:rPr>
          <w:rFonts w:ascii="inherit" w:hAnsi="inherit"/>
          <w:sz w:val="17"/>
        </w:rPr>
      </w:r>
      <w:bookmarkStart w:id="40" w:name="s48b1cf3729b84ecaa7dd6d8618fd2c36"/>
      <w:bookmarkStart w:id="41" w:name="s48b1cf3729b84ecaa7dd6d8618fd2c36"/>
      <w:bookmarkEnd w:id="41"/>
    </w:p>
    <w:p>
      <w:pPr>
        <w:pStyle w:val="TextBody"/>
        <w:spacing w:before="0" w:after="0"/>
        <w:rPr/>
      </w:pPr>
      <w:r>
        <w:rPr/>
      </w:r>
    </w:p>
    <w:p>
      <w:pPr>
        <w:pStyle w:val="TextBody"/>
        <w:spacing w:lineRule="auto" w:line="288" w:before="0" w:after="0"/>
        <w:jc w:val="center"/>
        <w:rPr>
          <w:rFonts w:ascii="inherit" w:hAnsi="inherit"/>
          <w:b/>
          <w:sz w:val="15"/>
        </w:rPr>
      </w:pPr>
      <w:r>
        <w:rPr>
          <w:rFonts w:ascii="inherit" w:hAnsi="inherit"/>
          <w:b/>
          <w:sz w:val="15"/>
        </w:rPr>
        <w:t>EZCORP, Inc.</w:t>
      </w:r>
    </w:p>
    <w:p>
      <w:pPr>
        <w:pStyle w:val="TextBody"/>
        <w:spacing w:lineRule="auto" w:line="288" w:before="0" w:after="0"/>
        <w:jc w:val="center"/>
        <w:rPr>
          <w:rFonts w:ascii="inherit" w:hAnsi="inherit"/>
          <w:b/>
          <w:sz w:val="15"/>
        </w:rPr>
      </w:pPr>
      <w:r>
        <w:rPr>
          <w:rFonts w:ascii="inherit" w:hAnsi="inherit"/>
          <w:b/>
          <w:sz w:val="15"/>
        </w:rPr>
        <w:t>OPERATING SEGMENT RESULTS (UNAUDITED)</w:t>
      </w:r>
    </w:p>
    <w:tbl>
      <w:tblPr>
        <w:tblW w:w="10205" w:type="dxa"/>
        <w:jc w:val="left"/>
        <w:tblInd w:w="0" w:type="dxa"/>
        <w:tblCellMar>
          <w:top w:w="0" w:type="dxa"/>
          <w:left w:w="0" w:type="dxa"/>
          <w:bottom w:w="0" w:type="dxa"/>
          <w:right w:w="0" w:type="dxa"/>
        </w:tblCellMar>
      </w:tblPr>
      <w:tblGrid>
        <w:gridCol w:w="3132"/>
        <w:gridCol w:w="125"/>
        <w:gridCol w:w="695"/>
        <w:gridCol w:w="110"/>
        <w:gridCol w:w="90"/>
        <w:gridCol w:w="180"/>
        <w:gridCol w:w="850"/>
        <w:gridCol w:w="158"/>
        <w:gridCol w:w="90"/>
        <w:gridCol w:w="172"/>
        <w:gridCol w:w="670"/>
        <w:gridCol w:w="153"/>
        <w:gridCol w:w="90"/>
        <w:gridCol w:w="142"/>
        <w:gridCol w:w="796"/>
        <w:gridCol w:w="125"/>
        <w:gridCol w:w="90"/>
        <w:gridCol w:w="150"/>
        <w:gridCol w:w="784"/>
        <w:gridCol w:w="132"/>
        <w:gridCol w:w="90"/>
        <w:gridCol w:w="125"/>
        <w:gridCol w:w="695"/>
        <w:gridCol w:w="561"/>
      </w:tblGrid>
      <w:tr>
        <w:trPr/>
        <w:tc>
          <w:tcPr>
            <w:tcW w:w="10205" w:type="dxa"/>
            <w:gridSpan w:val="24"/>
            <w:tcBorders/>
            <w:shd w:fill="auto" w:val="clear"/>
            <w:vAlign w:val="center"/>
          </w:tcPr>
          <w:p>
            <w:pPr>
              <w:pStyle w:val="TableContents"/>
              <w:spacing w:before="0" w:after="283"/>
              <w:rPr>
                <w:sz w:val="4"/>
                <w:szCs w:val="4"/>
              </w:rPr>
            </w:pPr>
            <w:r>
              <w:rPr>
                <w:sz w:val="4"/>
                <w:szCs w:val="4"/>
              </w:rPr>
            </w:r>
          </w:p>
        </w:tc>
      </w:tr>
      <w:tr>
        <w:trPr/>
        <w:tc>
          <w:tcPr>
            <w:tcW w:w="3132"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850"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670"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784"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561"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132" w:type="dxa"/>
            <w:tcBorders/>
            <w:shd w:fill="auto" w:val="clear"/>
            <w:vAlign w:val="center"/>
          </w:tcPr>
          <w:p>
            <w:pPr>
              <w:pStyle w:val="TableContents"/>
              <w:spacing w:before="0" w:after="0"/>
              <w:ind w:left="0" w:right="0" w:firstLine="30"/>
              <w:jc w:val="left"/>
              <w:rPr/>
            </w:pPr>
            <w:r>
              <w:rPr/>
              <w:t> </w:t>
            </w:r>
          </w:p>
        </w:tc>
        <w:tc>
          <w:tcPr>
            <w:tcW w:w="7073" w:type="dxa"/>
            <w:gridSpan w:val="2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Six Months Ended March 31, 2017</w:t>
            </w:r>
          </w:p>
        </w:tc>
      </w:tr>
      <w:tr>
        <w:trPr/>
        <w:tc>
          <w:tcPr>
            <w:tcW w:w="3132" w:type="dxa"/>
            <w:tcBorders/>
            <w:shd w:fill="auto" w:val="clear"/>
            <w:vAlign w:val="center"/>
          </w:tcPr>
          <w:p>
            <w:pPr>
              <w:pStyle w:val="TableContents"/>
              <w:spacing w:before="0" w:after="0"/>
              <w:ind w:left="0" w:right="0" w:firstLine="30"/>
              <w:rPr/>
            </w:pPr>
            <w:r>
              <w:rPr/>
              <w:t>  </w:t>
            </w:r>
          </w:p>
        </w:tc>
        <w:tc>
          <w:tcPr>
            <w:tcW w:w="93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U.S. Pawn</w:t>
            </w:r>
          </w:p>
        </w:tc>
        <w:tc>
          <w:tcPr>
            <w:tcW w:w="90" w:type="dxa"/>
            <w:tcBorders/>
            <w:shd w:fill="auto" w:val="clear"/>
            <w:vAlign w:val="center"/>
          </w:tcPr>
          <w:p>
            <w:pPr>
              <w:pStyle w:val="TableContents"/>
              <w:spacing w:before="0" w:after="0"/>
              <w:ind w:left="0" w:right="0" w:firstLine="30"/>
              <w:rPr/>
            </w:pPr>
            <w:r>
              <w:rPr/>
              <w:t> </w:t>
            </w:r>
          </w:p>
        </w:tc>
        <w:tc>
          <w:tcPr>
            <w:tcW w:w="118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Latin America Pawn</w:t>
            </w:r>
          </w:p>
        </w:tc>
        <w:tc>
          <w:tcPr>
            <w:tcW w:w="90" w:type="dxa"/>
            <w:tcBorders/>
            <w:shd w:fill="auto" w:val="clear"/>
            <w:vAlign w:val="center"/>
          </w:tcPr>
          <w:p>
            <w:pPr>
              <w:pStyle w:val="TableContents"/>
              <w:spacing w:before="0" w:after="0"/>
              <w:ind w:left="0" w:right="0" w:firstLine="30"/>
              <w:rPr/>
            </w:pPr>
            <w:r>
              <w:rPr/>
              <w:t> </w:t>
            </w:r>
          </w:p>
        </w:tc>
        <w:tc>
          <w:tcPr>
            <w:tcW w:w="995"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Other</w:t>
            </w:r>
          </w:p>
          <w:p>
            <w:pPr>
              <w:pStyle w:val="TableContents"/>
              <w:spacing w:before="0" w:after="0"/>
              <w:ind w:left="0" w:right="0" w:firstLine="30"/>
              <w:jc w:val="center"/>
              <w:rPr>
                <w:rFonts w:ascii="inherit" w:hAnsi="inherit"/>
                <w:b/>
                <w:sz w:val="13"/>
              </w:rPr>
            </w:pPr>
            <w:r>
              <w:rPr>
                <w:rFonts w:ascii="inherit" w:hAnsi="inherit"/>
                <w:b/>
                <w:sz w:val="13"/>
              </w:rPr>
              <w:t>International</w:t>
            </w:r>
          </w:p>
        </w:tc>
        <w:tc>
          <w:tcPr>
            <w:tcW w:w="90" w:type="dxa"/>
            <w:tcBorders/>
            <w:shd w:fill="auto" w:val="clear"/>
            <w:vAlign w:val="center"/>
          </w:tcPr>
          <w:p>
            <w:pPr>
              <w:pStyle w:val="TableContents"/>
              <w:spacing w:before="0" w:after="0"/>
              <w:ind w:left="0" w:right="0" w:firstLine="30"/>
              <w:rPr/>
            </w:pPr>
            <w:r>
              <w:rPr/>
              <w:t> </w:t>
            </w:r>
          </w:p>
        </w:tc>
        <w:tc>
          <w:tcPr>
            <w:tcW w:w="1063"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Total Segments</w:t>
            </w:r>
          </w:p>
        </w:tc>
        <w:tc>
          <w:tcPr>
            <w:tcW w:w="90"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1066"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Corporate Items</w:t>
            </w:r>
          </w:p>
        </w:tc>
        <w:tc>
          <w:tcPr>
            <w:tcW w:w="90"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1381"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Consolidated</w:t>
            </w:r>
          </w:p>
        </w:tc>
      </w:tr>
      <w:tr>
        <w:trPr/>
        <w:tc>
          <w:tcPr>
            <w:tcW w:w="3132" w:type="dxa"/>
            <w:tcBorders/>
            <w:shd w:fill="auto" w:val="clear"/>
            <w:vAlign w:val="center"/>
          </w:tcPr>
          <w:p>
            <w:pPr>
              <w:pStyle w:val="TableContents"/>
              <w:spacing w:before="0" w:after="0"/>
              <w:ind w:left="0" w:right="0" w:firstLine="30"/>
              <w:rPr/>
            </w:pPr>
            <w:r>
              <w:rPr/>
              <w:t> </w:t>
            </w:r>
          </w:p>
        </w:tc>
        <w:tc>
          <w:tcPr>
            <w:tcW w:w="93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188"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9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63"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66"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381" w:type="dxa"/>
            <w:gridSpan w:val="3"/>
            <w:tcBorders/>
            <w:shd w:fill="auto" w:val="clear"/>
            <w:vAlign w:val="center"/>
          </w:tcPr>
          <w:p>
            <w:pPr>
              <w:pStyle w:val="TableContents"/>
              <w:spacing w:before="0" w:after="0"/>
              <w:ind w:left="0" w:right="0" w:firstLine="30"/>
              <w:rPr/>
            </w:pPr>
            <w:r>
              <w:rPr/>
              <w:t> </w:t>
            </w:r>
          </w:p>
        </w:tc>
      </w:tr>
      <w:tr>
        <w:trPr/>
        <w:tc>
          <w:tcPr>
            <w:tcW w:w="3132" w:type="dxa"/>
            <w:tcBorders/>
            <w:shd w:fill="auto" w:val="clear"/>
            <w:vAlign w:val="center"/>
          </w:tcPr>
          <w:p>
            <w:pPr>
              <w:pStyle w:val="TableContents"/>
              <w:spacing w:before="0" w:after="0"/>
              <w:ind w:left="0" w:right="0" w:firstLine="30"/>
              <w:jc w:val="left"/>
              <w:rPr/>
            </w:pPr>
            <w:r>
              <w:rPr/>
              <w:t> </w:t>
            </w:r>
          </w:p>
        </w:tc>
        <w:tc>
          <w:tcPr>
            <w:tcW w:w="7073" w:type="dxa"/>
            <w:gridSpan w:val="23"/>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3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Revenues:</w:t>
            </w:r>
          </w:p>
        </w:tc>
        <w:tc>
          <w:tcPr>
            <w:tcW w:w="93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188"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9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63"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66"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381" w:type="dxa"/>
            <w:gridSpan w:val="3"/>
            <w:tcBorders/>
            <w:shd w:fill="auto" w:val="clear"/>
            <w:vAlign w:val="center"/>
          </w:tcPr>
          <w:p>
            <w:pPr>
              <w:pStyle w:val="TableContents"/>
              <w:spacing w:before="0" w:after="0"/>
              <w:ind w:left="0" w:right="0" w:firstLine="300"/>
              <w:rPr/>
            </w:pPr>
            <w:r>
              <w:rPr/>
              <w:t> </w:t>
            </w:r>
          </w:p>
        </w:tc>
      </w:tr>
      <w:tr>
        <w:trPr/>
        <w:tc>
          <w:tcPr>
            <w:tcW w:w="3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Merchandise sales</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shd w:fill="auto" w:val="clear"/>
            <w:vAlign w:val="center"/>
          </w:tcPr>
          <w:p>
            <w:pPr>
              <w:pStyle w:val="TableContents"/>
              <w:spacing w:before="0" w:after="0"/>
              <w:jc w:val="right"/>
              <w:rPr>
                <w:rFonts w:ascii="inherit" w:hAnsi="inherit"/>
                <w:sz w:val="17"/>
              </w:rPr>
            </w:pPr>
            <w:r>
              <w:rPr>
                <w:rFonts w:ascii="inherit" w:hAnsi="inherit"/>
                <w:sz w:val="17"/>
              </w:rPr>
              <w:t>190,411</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80"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850" w:type="dxa"/>
            <w:tcBorders/>
            <w:shd w:fill="auto" w:val="clear"/>
            <w:vAlign w:val="center"/>
          </w:tcPr>
          <w:p>
            <w:pPr>
              <w:pStyle w:val="TableContents"/>
              <w:spacing w:before="0" w:after="0"/>
              <w:jc w:val="right"/>
              <w:rPr>
                <w:rFonts w:ascii="inherit" w:hAnsi="inherit"/>
                <w:sz w:val="17"/>
              </w:rPr>
            </w:pPr>
            <w:r>
              <w:rPr>
                <w:rFonts w:ascii="inherit" w:hAnsi="inherit"/>
                <w:sz w:val="17"/>
              </w:rPr>
              <w:t>31,340</w:t>
            </w:r>
          </w:p>
        </w:tc>
        <w:tc>
          <w:tcPr>
            <w:tcW w:w="1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72"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670" w:type="dxa"/>
            <w:tcBorders/>
            <w:shd w:fill="auto" w:val="clear"/>
            <w:vAlign w:val="center"/>
          </w:tcPr>
          <w:p>
            <w:pPr>
              <w:pStyle w:val="TableContents"/>
              <w:spacing w:before="0" w:after="0"/>
              <w:jc w:val="right"/>
              <w:rPr/>
            </w:pPr>
            <w:r>
              <w:rPr/>
              <w:t>—</w:t>
            </w:r>
          </w:p>
        </w:tc>
        <w:tc>
          <w:tcPr>
            <w:tcW w:w="1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42"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796" w:type="dxa"/>
            <w:tcBorders/>
            <w:shd w:fill="auto" w:val="clear"/>
            <w:vAlign w:val="center"/>
          </w:tcPr>
          <w:p>
            <w:pPr>
              <w:pStyle w:val="TableContents"/>
              <w:spacing w:before="0" w:after="0"/>
              <w:jc w:val="right"/>
              <w:rPr>
                <w:rFonts w:ascii="inherit" w:hAnsi="inherit"/>
                <w:sz w:val="17"/>
              </w:rPr>
            </w:pPr>
            <w:r>
              <w:rPr>
                <w:rFonts w:ascii="inherit" w:hAnsi="inherit"/>
                <w:sz w:val="17"/>
              </w:rPr>
              <w:t>221,751</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50"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784" w:type="dxa"/>
            <w:tcBorders/>
            <w:shd w:fill="auto" w:val="clear"/>
            <w:vAlign w:val="center"/>
          </w:tcPr>
          <w:p>
            <w:pPr>
              <w:pStyle w:val="TableContents"/>
              <w:spacing w:before="0" w:after="0"/>
              <w:jc w:val="right"/>
              <w:rPr/>
            </w:pPr>
            <w:r>
              <w:rPr/>
              <w:t>—</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shd w:fill="auto" w:val="clear"/>
            <w:vAlign w:val="center"/>
          </w:tcPr>
          <w:p>
            <w:pPr>
              <w:pStyle w:val="TableContents"/>
              <w:spacing w:before="0" w:after="0"/>
              <w:jc w:val="right"/>
              <w:rPr>
                <w:rFonts w:ascii="inherit" w:hAnsi="inherit"/>
                <w:sz w:val="17"/>
              </w:rPr>
            </w:pPr>
            <w:r>
              <w:rPr>
                <w:rFonts w:ascii="inherit" w:hAnsi="inherit"/>
                <w:sz w:val="17"/>
              </w:rPr>
              <w:t>221,751</w:t>
            </w:r>
          </w:p>
        </w:tc>
        <w:tc>
          <w:tcPr>
            <w:tcW w:w="561"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sales</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17,901</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3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2,116</w:t>
            </w:r>
          </w:p>
        </w:tc>
        <w:tc>
          <w:tcPr>
            <w:tcW w:w="1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42" w:type="dxa"/>
            <w:gridSpan w:val="2"/>
            <w:tcBorders/>
            <w:shd w:fill="auto" w:val="clear"/>
            <w:vAlign w:val="center"/>
          </w:tcPr>
          <w:p>
            <w:pPr>
              <w:pStyle w:val="TableContents"/>
              <w:spacing w:before="0" w:after="0"/>
              <w:jc w:val="right"/>
              <w:rPr/>
            </w:pPr>
            <w:r>
              <w:rPr/>
              <w:t>—</w:t>
            </w:r>
          </w:p>
        </w:tc>
        <w:tc>
          <w:tcPr>
            <w:tcW w:w="1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3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20,017</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34" w:type="dxa"/>
            <w:gridSpan w:val="2"/>
            <w:tcBorders/>
            <w:shd w:fill="auto" w:val="clear"/>
            <w:vAlign w:val="center"/>
          </w:tcPr>
          <w:p>
            <w:pPr>
              <w:pStyle w:val="TableContents"/>
              <w:spacing w:before="0" w:after="0"/>
              <w:jc w:val="right"/>
              <w:rPr/>
            </w:pPr>
            <w:r>
              <w:rPr/>
              <w:t>—</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20,017</w:t>
            </w:r>
          </w:p>
        </w:tc>
        <w:tc>
          <w:tcPr>
            <w:tcW w:w="561"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Pawn service charges</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120,706</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3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15,399</w:t>
            </w:r>
          </w:p>
        </w:tc>
        <w:tc>
          <w:tcPr>
            <w:tcW w:w="1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42" w:type="dxa"/>
            <w:gridSpan w:val="2"/>
            <w:tcBorders/>
            <w:shd w:fill="auto" w:val="clear"/>
            <w:vAlign w:val="center"/>
          </w:tcPr>
          <w:p>
            <w:pPr>
              <w:pStyle w:val="TableContents"/>
              <w:spacing w:before="0" w:after="0"/>
              <w:jc w:val="right"/>
              <w:rPr/>
            </w:pPr>
            <w:r>
              <w:rPr/>
              <w:t>—</w:t>
            </w:r>
          </w:p>
        </w:tc>
        <w:tc>
          <w:tcPr>
            <w:tcW w:w="1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3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136,105</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34" w:type="dxa"/>
            <w:gridSpan w:val="2"/>
            <w:tcBorders/>
            <w:shd w:fill="auto" w:val="clear"/>
            <w:vAlign w:val="center"/>
          </w:tcPr>
          <w:p>
            <w:pPr>
              <w:pStyle w:val="TableContents"/>
              <w:spacing w:before="0" w:after="0"/>
              <w:jc w:val="right"/>
              <w:rPr/>
            </w:pPr>
            <w:r>
              <w:rPr/>
              <w:t>—</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136,105</w:t>
            </w:r>
          </w:p>
        </w:tc>
        <w:tc>
          <w:tcPr>
            <w:tcW w:w="561"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revenues</w:t>
            </w:r>
          </w:p>
        </w:tc>
        <w:tc>
          <w:tcPr>
            <w:tcW w:w="82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107</w:t>
            </w:r>
          </w:p>
        </w:tc>
        <w:tc>
          <w:tcPr>
            <w:tcW w:w="11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3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278</w:t>
            </w:r>
          </w:p>
        </w:tc>
        <w:tc>
          <w:tcPr>
            <w:tcW w:w="15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42"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3,994</w:t>
            </w:r>
          </w:p>
        </w:tc>
        <w:tc>
          <w:tcPr>
            <w:tcW w:w="153"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3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4,379</w:t>
            </w:r>
          </w:p>
        </w:tc>
        <w:tc>
          <w:tcPr>
            <w:tcW w:w="12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34"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3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4,379</w:t>
            </w:r>
          </w:p>
        </w:tc>
        <w:tc>
          <w:tcPr>
            <w:tcW w:w="561" w:type="dxa"/>
            <w:tcBorders>
              <w:bottom w:val="single" w:sz="2" w:space="0" w:color="000000"/>
            </w:tcBorders>
            <w:shd w:fill="auto" w:val="clear"/>
            <w:tcMar>
              <w:bottom w:w="28" w:type="dxa"/>
            </w:tcMar>
            <w:vAlign w:val="center"/>
          </w:tcPr>
          <w:p>
            <w:pPr>
              <w:pStyle w:val="TableContents"/>
              <w:spacing w:before="0" w:after="0"/>
              <w:ind w:left="0" w:right="0" w:firstLine="540"/>
              <w:jc w:val="left"/>
              <w:rPr>
                <w:rFonts w:ascii="inherit" w:hAnsi="inherit"/>
                <w:sz w:val="17"/>
              </w:rPr>
            </w:pPr>
            <w:r>
              <w:rPr>
                <w:rFonts w:ascii="inherit" w:hAnsi="inherit"/>
                <w:sz w:val="17"/>
              </w:rPr>
            </w:r>
          </w:p>
        </w:tc>
      </w:tr>
      <w:tr>
        <w:trPr/>
        <w:tc>
          <w:tcPr>
            <w:tcW w:w="3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revenues</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329,125</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3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49,133</w:t>
            </w:r>
          </w:p>
        </w:tc>
        <w:tc>
          <w:tcPr>
            <w:tcW w:w="1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4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3,994</w:t>
            </w:r>
          </w:p>
        </w:tc>
        <w:tc>
          <w:tcPr>
            <w:tcW w:w="1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3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382,252</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34" w:type="dxa"/>
            <w:gridSpan w:val="2"/>
            <w:tcBorders/>
            <w:shd w:fill="auto" w:val="clear"/>
            <w:vAlign w:val="center"/>
          </w:tcPr>
          <w:p>
            <w:pPr>
              <w:pStyle w:val="TableContents"/>
              <w:spacing w:before="0" w:after="0"/>
              <w:jc w:val="right"/>
              <w:rPr/>
            </w:pPr>
            <w:r>
              <w:rPr/>
              <w:t>—</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382,252</w:t>
            </w:r>
          </w:p>
        </w:tc>
        <w:tc>
          <w:tcPr>
            <w:tcW w:w="5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Merchandise cost of goods sold</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120,747</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3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21,478</w:t>
            </w:r>
          </w:p>
        </w:tc>
        <w:tc>
          <w:tcPr>
            <w:tcW w:w="1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42" w:type="dxa"/>
            <w:gridSpan w:val="2"/>
            <w:tcBorders/>
            <w:shd w:fill="auto" w:val="clear"/>
            <w:vAlign w:val="center"/>
          </w:tcPr>
          <w:p>
            <w:pPr>
              <w:pStyle w:val="TableContents"/>
              <w:spacing w:before="0" w:after="0"/>
              <w:jc w:val="right"/>
              <w:rPr/>
            </w:pPr>
            <w:r>
              <w:rPr/>
              <w:t>—</w:t>
            </w:r>
          </w:p>
        </w:tc>
        <w:tc>
          <w:tcPr>
            <w:tcW w:w="1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3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142,225</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34" w:type="dxa"/>
            <w:gridSpan w:val="2"/>
            <w:tcBorders/>
            <w:shd w:fill="auto" w:val="clear"/>
            <w:vAlign w:val="center"/>
          </w:tcPr>
          <w:p>
            <w:pPr>
              <w:pStyle w:val="TableContents"/>
              <w:spacing w:before="0" w:after="0"/>
              <w:jc w:val="right"/>
              <w:rPr/>
            </w:pPr>
            <w:r>
              <w:rPr/>
              <w:t>—</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142,225</w:t>
            </w:r>
          </w:p>
        </w:tc>
        <w:tc>
          <w:tcPr>
            <w:tcW w:w="5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cost of goods sold</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15,440</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3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1,745</w:t>
            </w:r>
          </w:p>
        </w:tc>
        <w:tc>
          <w:tcPr>
            <w:tcW w:w="1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42" w:type="dxa"/>
            <w:gridSpan w:val="2"/>
            <w:tcBorders/>
            <w:shd w:fill="auto" w:val="clear"/>
            <w:vAlign w:val="center"/>
          </w:tcPr>
          <w:p>
            <w:pPr>
              <w:pStyle w:val="TableContents"/>
              <w:spacing w:before="0" w:after="0"/>
              <w:jc w:val="right"/>
              <w:rPr/>
            </w:pPr>
            <w:r>
              <w:rPr/>
              <w:t>—</w:t>
            </w:r>
          </w:p>
        </w:tc>
        <w:tc>
          <w:tcPr>
            <w:tcW w:w="1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3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17,185</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34" w:type="dxa"/>
            <w:gridSpan w:val="2"/>
            <w:tcBorders/>
            <w:shd w:fill="auto" w:val="clear"/>
            <w:vAlign w:val="center"/>
          </w:tcPr>
          <w:p>
            <w:pPr>
              <w:pStyle w:val="TableContents"/>
              <w:spacing w:before="0" w:after="0"/>
              <w:jc w:val="right"/>
              <w:rPr/>
            </w:pPr>
            <w:r>
              <w:rPr/>
              <w:t>—</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17,185</w:t>
            </w:r>
          </w:p>
        </w:tc>
        <w:tc>
          <w:tcPr>
            <w:tcW w:w="5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cost of revenues</w:t>
            </w:r>
          </w:p>
        </w:tc>
        <w:tc>
          <w:tcPr>
            <w:tcW w:w="820"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1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30"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5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42"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980</w:t>
            </w:r>
          </w:p>
        </w:tc>
        <w:tc>
          <w:tcPr>
            <w:tcW w:w="153"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3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980</w:t>
            </w:r>
          </w:p>
        </w:tc>
        <w:tc>
          <w:tcPr>
            <w:tcW w:w="12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34"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3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980</w:t>
            </w:r>
          </w:p>
        </w:tc>
        <w:tc>
          <w:tcPr>
            <w:tcW w:w="561" w:type="dxa"/>
            <w:tcBorders>
              <w:bottom w:val="single" w:sz="2" w:space="0" w:color="000000"/>
            </w:tcBorders>
            <w:shd w:fill="auto" w:val="clear"/>
            <w:tcMar>
              <w:bottom w:w="28" w:type="dxa"/>
            </w:tcMar>
            <w:vAlign w:val="center"/>
          </w:tcPr>
          <w:p>
            <w:pPr>
              <w:pStyle w:val="TableContents"/>
              <w:spacing w:before="0" w:after="0"/>
              <w:ind w:left="0" w:right="0" w:firstLine="540"/>
              <w:jc w:val="left"/>
              <w:rPr>
                <w:rFonts w:ascii="inherit" w:hAnsi="inherit"/>
                <w:sz w:val="17"/>
              </w:rPr>
            </w:pPr>
            <w:r>
              <w:rPr>
                <w:rFonts w:ascii="inherit" w:hAnsi="inherit"/>
                <w:sz w:val="17"/>
              </w:rPr>
            </w:r>
          </w:p>
        </w:tc>
      </w:tr>
      <w:tr>
        <w:trPr/>
        <w:tc>
          <w:tcPr>
            <w:tcW w:w="3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revenues</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192,938</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30"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25,910</w:t>
            </w:r>
          </w:p>
        </w:tc>
        <w:tc>
          <w:tcPr>
            <w:tcW w:w="158"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4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3,014</w:t>
            </w:r>
          </w:p>
        </w:tc>
        <w:tc>
          <w:tcPr>
            <w:tcW w:w="1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3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221,862</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34" w:type="dxa"/>
            <w:gridSpan w:val="2"/>
            <w:tcBorders>
              <w:top w:val="single" w:sz="2" w:space="0" w:color="000000"/>
            </w:tcBorders>
            <w:shd w:fill="auto" w:val="clear"/>
            <w:tcMar>
              <w:top w:w="30" w:type="dxa"/>
            </w:tcMar>
            <w:vAlign w:val="center"/>
          </w:tcPr>
          <w:p>
            <w:pPr>
              <w:pStyle w:val="TableContents"/>
              <w:spacing w:before="0" w:after="0"/>
              <w:jc w:val="right"/>
              <w:rPr/>
            </w:pPr>
            <w:r>
              <w:rPr/>
              <w:t>—</w:t>
            </w:r>
          </w:p>
        </w:tc>
        <w:tc>
          <w:tcPr>
            <w:tcW w:w="132"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221,862</w:t>
            </w:r>
          </w:p>
        </w:tc>
        <w:tc>
          <w:tcPr>
            <w:tcW w:w="5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Segment and corporate expenses (income):</w:t>
            </w:r>
          </w:p>
        </w:tc>
        <w:tc>
          <w:tcPr>
            <w:tcW w:w="93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188"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9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63"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66"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381" w:type="dxa"/>
            <w:gridSpan w:val="3"/>
            <w:tcBorders/>
            <w:shd w:fill="auto" w:val="clear"/>
            <w:vAlign w:val="center"/>
          </w:tcPr>
          <w:p>
            <w:pPr>
              <w:pStyle w:val="TableContents"/>
              <w:spacing w:before="0" w:after="0"/>
              <w:ind w:left="0" w:right="0" w:firstLine="300"/>
              <w:rPr/>
            </w:pPr>
            <w:r>
              <w:rPr/>
              <w:t> </w:t>
            </w:r>
          </w:p>
        </w:tc>
      </w:tr>
      <w:tr>
        <w:trPr/>
        <w:tc>
          <w:tcPr>
            <w:tcW w:w="3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Operations</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130,906</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3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17,541</w:t>
            </w:r>
          </w:p>
        </w:tc>
        <w:tc>
          <w:tcPr>
            <w:tcW w:w="1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4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3,659</w:t>
            </w:r>
          </w:p>
        </w:tc>
        <w:tc>
          <w:tcPr>
            <w:tcW w:w="1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3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152,106</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34" w:type="dxa"/>
            <w:gridSpan w:val="2"/>
            <w:tcBorders/>
            <w:shd w:fill="auto" w:val="clear"/>
            <w:vAlign w:val="center"/>
          </w:tcPr>
          <w:p>
            <w:pPr>
              <w:pStyle w:val="TableContents"/>
              <w:spacing w:before="0" w:after="0"/>
              <w:jc w:val="right"/>
              <w:rPr/>
            </w:pPr>
            <w:r>
              <w:rPr/>
              <w:t>—</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152,106</w:t>
            </w:r>
          </w:p>
        </w:tc>
        <w:tc>
          <w:tcPr>
            <w:tcW w:w="561"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Administrative</w:t>
            </w:r>
          </w:p>
        </w:tc>
        <w:tc>
          <w:tcPr>
            <w:tcW w:w="820" w:type="dxa"/>
            <w:gridSpan w:val="2"/>
            <w:tcBorders/>
            <w:shd w:fill="auto" w:val="clear"/>
            <w:vAlign w:val="center"/>
          </w:tcPr>
          <w:p>
            <w:pPr>
              <w:pStyle w:val="TableContents"/>
              <w:spacing w:before="0" w:after="0"/>
              <w:jc w:val="right"/>
              <w:rPr/>
            </w:pPr>
            <w:r>
              <w:rPr/>
              <w:t>—</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30" w:type="dxa"/>
            <w:gridSpan w:val="2"/>
            <w:tcBorders/>
            <w:shd w:fill="auto" w:val="clear"/>
            <w:vAlign w:val="center"/>
          </w:tcPr>
          <w:p>
            <w:pPr>
              <w:pStyle w:val="TableContents"/>
              <w:spacing w:before="0" w:after="0"/>
              <w:jc w:val="right"/>
              <w:rPr/>
            </w:pPr>
            <w:r>
              <w:rPr/>
              <w:t>—</w:t>
            </w:r>
          </w:p>
        </w:tc>
        <w:tc>
          <w:tcPr>
            <w:tcW w:w="1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42" w:type="dxa"/>
            <w:gridSpan w:val="2"/>
            <w:tcBorders/>
            <w:shd w:fill="auto" w:val="clear"/>
            <w:vAlign w:val="center"/>
          </w:tcPr>
          <w:p>
            <w:pPr>
              <w:pStyle w:val="TableContents"/>
              <w:spacing w:before="0" w:after="0"/>
              <w:jc w:val="right"/>
              <w:rPr/>
            </w:pPr>
            <w:r>
              <w:rPr/>
              <w:t>—</w:t>
            </w:r>
          </w:p>
        </w:tc>
        <w:tc>
          <w:tcPr>
            <w:tcW w:w="1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38" w:type="dxa"/>
            <w:gridSpan w:val="2"/>
            <w:tcBorders/>
            <w:shd w:fill="auto" w:val="clear"/>
            <w:vAlign w:val="center"/>
          </w:tcPr>
          <w:p>
            <w:pPr>
              <w:pStyle w:val="TableContents"/>
              <w:spacing w:before="0" w:after="0"/>
              <w:jc w:val="right"/>
              <w:rPr/>
            </w:pPr>
            <w:r>
              <w:rPr/>
              <w:t>—</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3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27,210</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27,210</w:t>
            </w:r>
          </w:p>
        </w:tc>
        <w:tc>
          <w:tcPr>
            <w:tcW w:w="561"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Depreciation and amortization</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5,277</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3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1,291</w:t>
            </w:r>
          </w:p>
        </w:tc>
        <w:tc>
          <w:tcPr>
            <w:tcW w:w="1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4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100</w:t>
            </w:r>
          </w:p>
        </w:tc>
        <w:tc>
          <w:tcPr>
            <w:tcW w:w="1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3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6,668</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3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5,735</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12,403</w:t>
            </w:r>
          </w:p>
        </w:tc>
        <w:tc>
          <w:tcPr>
            <w:tcW w:w="561"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(Gain) loss on sale or disposal of assets</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(74</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103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68</w:t>
            </w:r>
          </w:p>
        </w:tc>
        <w:tc>
          <w:tcPr>
            <w:tcW w:w="1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42" w:type="dxa"/>
            <w:gridSpan w:val="2"/>
            <w:tcBorders/>
            <w:shd w:fill="auto" w:val="clear"/>
            <w:vAlign w:val="center"/>
          </w:tcPr>
          <w:p>
            <w:pPr>
              <w:pStyle w:val="TableContents"/>
              <w:spacing w:before="0" w:after="0"/>
              <w:jc w:val="right"/>
              <w:rPr/>
            </w:pPr>
            <w:r>
              <w:rPr/>
              <w:t>—</w:t>
            </w:r>
          </w:p>
        </w:tc>
        <w:tc>
          <w:tcPr>
            <w:tcW w:w="1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3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934" w:type="dxa"/>
            <w:gridSpan w:val="2"/>
            <w:tcBorders/>
            <w:shd w:fill="auto" w:val="clear"/>
            <w:vAlign w:val="center"/>
          </w:tcPr>
          <w:p>
            <w:pPr>
              <w:pStyle w:val="TableContents"/>
              <w:spacing w:before="0" w:after="0"/>
              <w:jc w:val="right"/>
              <w:rPr/>
            </w:pPr>
            <w:r>
              <w:rPr/>
              <w:t>—</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w:t>
            </w:r>
          </w:p>
        </w:tc>
        <w:tc>
          <w:tcPr>
            <w:tcW w:w="561"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t>)</w:t>
            </w:r>
          </w:p>
        </w:tc>
      </w:tr>
      <w:tr>
        <w:trPr/>
        <w:tc>
          <w:tcPr>
            <w:tcW w:w="3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Interest expense</w:t>
            </w:r>
          </w:p>
        </w:tc>
        <w:tc>
          <w:tcPr>
            <w:tcW w:w="820" w:type="dxa"/>
            <w:gridSpan w:val="2"/>
            <w:tcBorders/>
            <w:shd w:fill="auto" w:val="clear"/>
            <w:vAlign w:val="center"/>
          </w:tcPr>
          <w:p>
            <w:pPr>
              <w:pStyle w:val="TableContents"/>
              <w:spacing w:before="0" w:after="0"/>
              <w:jc w:val="right"/>
              <w:rPr/>
            </w:pPr>
            <w:r>
              <w:rPr/>
              <w:t>—</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3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w:t>
            </w:r>
          </w:p>
        </w:tc>
        <w:tc>
          <w:tcPr>
            <w:tcW w:w="1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42" w:type="dxa"/>
            <w:gridSpan w:val="2"/>
            <w:tcBorders/>
            <w:shd w:fill="auto" w:val="clear"/>
            <w:vAlign w:val="center"/>
          </w:tcPr>
          <w:p>
            <w:pPr>
              <w:pStyle w:val="TableContents"/>
              <w:spacing w:before="0" w:after="0"/>
              <w:jc w:val="right"/>
              <w:rPr/>
            </w:pPr>
            <w:r>
              <w:rPr/>
              <w:t>—</w:t>
            </w:r>
          </w:p>
        </w:tc>
        <w:tc>
          <w:tcPr>
            <w:tcW w:w="1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3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3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11,188</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11,193</w:t>
            </w:r>
          </w:p>
        </w:tc>
        <w:tc>
          <w:tcPr>
            <w:tcW w:w="561"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Interest income</w:t>
            </w:r>
          </w:p>
        </w:tc>
        <w:tc>
          <w:tcPr>
            <w:tcW w:w="820" w:type="dxa"/>
            <w:gridSpan w:val="2"/>
            <w:tcBorders/>
            <w:shd w:fill="auto" w:val="clear"/>
            <w:vAlign w:val="center"/>
          </w:tcPr>
          <w:p>
            <w:pPr>
              <w:pStyle w:val="TableContents"/>
              <w:spacing w:before="0" w:after="0"/>
              <w:jc w:val="right"/>
              <w:rPr/>
            </w:pPr>
            <w:r>
              <w:rPr/>
              <w:t>—</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3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(409</w:t>
            </w:r>
          </w:p>
        </w:tc>
        <w:tc>
          <w:tcPr>
            <w:tcW w:w="1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842" w:type="dxa"/>
            <w:gridSpan w:val="2"/>
            <w:tcBorders/>
            <w:shd w:fill="auto" w:val="clear"/>
            <w:vAlign w:val="center"/>
          </w:tcPr>
          <w:p>
            <w:pPr>
              <w:pStyle w:val="TableContents"/>
              <w:spacing w:before="0" w:after="0"/>
              <w:jc w:val="right"/>
              <w:rPr/>
            </w:pPr>
            <w:r>
              <w:rPr/>
              <w:t>—</w:t>
            </w:r>
          </w:p>
        </w:tc>
        <w:tc>
          <w:tcPr>
            <w:tcW w:w="1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3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(409</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93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(4,447</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(4,856</w:t>
            </w:r>
          </w:p>
        </w:tc>
        <w:tc>
          <w:tcPr>
            <w:tcW w:w="561"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t>)</w:t>
            </w:r>
          </w:p>
        </w:tc>
      </w:tr>
      <w:tr>
        <w:trPr/>
        <w:tc>
          <w:tcPr>
            <w:tcW w:w="3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Equity in net income of unconsolidated affiliate</w:t>
            </w:r>
          </w:p>
        </w:tc>
        <w:tc>
          <w:tcPr>
            <w:tcW w:w="820" w:type="dxa"/>
            <w:gridSpan w:val="2"/>
            <w:tcBorders/>
            <w:shd w:fill="auto" w:val="clear"/>
            <w:vAlign w:val="center"/>
          </w:tcPr>
          <w:p>
            <w:pPr>
              <w:pStyle w:val="TableContents"/>
              <w:spacing w:before="0" w:after="0"/>
              <w:jc w:val="right"/>
              <w:rPr/>
            </w:pPr>
            <w:r>
              <w:rPr/>
              <w:t>—</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30" w:type="dxa"/>
            <w:gridSpan w:val="2"/>
            <w:tcBorders/>
            <w:shd w:fill="auto" w:val="clear"/>
            <w:vAlign w:val="center"/>
          </w:tcPr>
          <w:p>
            <w:pPr>
              <w:pStyle w:val="TableContents"/>
              <w:spacing w:before="0" w:after="0"/>
              <w:jc w:val="right"/>
              <w:rPr/>
            </w:pPr>
            <w:r>
              <w:rPr/>
              <w:t>—</w:t>
            </w:r>
          </w:p>
        </w:tc>
        <w:tc>
          <w:tcPr>
            <w:tcW w:w="1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4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(2,721</w:t>
            </w:r>
          </w:p>
        </w:tc>
        <w:tc>
          <w:tcPr>
            <w:tcW w:w="1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93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(2,721</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934" w:type="dxa"/>
            <w:gridSpan w:val="2"/>
            <w:tcBorders/>
            <w:shd w:fill="auto" w:val="clear"/>
            <w:vAlign w:val="center"/>
          </w:tcPr>
          <w:p>
            <w:pPr>
              <w:pStyle w:val="TableContents"/>
              <w:spacing w:before="0" w:after="0"/>
              <w:jc w:val="right"/>
              <w:rPr/>
            </w:pPr>
            <w:r>
              <w:rPr/>
              <w:t>—</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(2,721</w:t>
            </w:r>
          </w:p>
        </w:tc>
        <w:tc>
          <w:tcPr>
            <w:tcW w:w="561"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t>)</w:t>
            </w:r>
          </w:p>
        </w:tc>
      </w:tr>
      <w:tr>
        <w:trPr/>
        <w:tc>
          <w:tcPr>
            <w:tcW w:w="3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(income) expense</w:t>
            </w:r>
          </w:p>
        </w:tc>
        <w:tc>
          <w:tcPr>
            <w:tcW w:w="82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(9</w:t>
            </w:r>
          </w:p>
        </w:tc>
        <w:tc>
          <w:tcPr>
            <w:tcW w:w="11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103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(37</w:t>
            </w:r>
          </w:p>
        </w:tc>
        <w:tc>
          <w:tcPr>
            <w:tcW w:w="158"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842"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40</w:t>
            </w:r>
          </w:p>
        </w:tc>
        <w:tc>
          <w:tcPr>
            <w:tcW w:w="153"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3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w:t>
            </w:r>
          </w:p>
        </w:tc>
        <w:tc>
          <w:tcPr>
            <w:tcW w:w="12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93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(189</w:t>
            </w:r>
          </w:p>
        </w:tc>
        <w:tc>
          <w:tcPr>
            <w:tcW w:w="132"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(195</w:t>
            </w:r>
          </w:p>
        </w:tc>
        <w:tc>
          <w:tcPr>
            <w:tcW w:w="561"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3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Segment contribution</w:t>
            </w:r>
          </w:p>
        </w:tc>
        <w:tc>
          <w:tcPr>
            <w:tcW w:w="125"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56,838</w:t>
            </w:r>
          </w:p>
        </w:tc>
        <w:tc>
          <w:tcPr>
            <w:tcW w:w="110"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80"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50"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7,451</w:t>
            </w:r>
          </w:p>
        </w:tc>
        <w:tc>
          <w:tcPr>
            <w:tcW w:w="158"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72"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70"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1,936</w:t>
            </w:r>
          </w:p>
        </w:tc>
        <w:tc>
          <w:tcPr>
            <w:tcW w:w="153"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42"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96"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66,225</w:t>
            </w:r>
          </w:p>
        </w:tc>
        <w:tc>
          <w:tcPr>
            <w:tcW w:w="125"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66" w:type="dxa"/>
            <w:gridSpan w:val="3"/>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381" w:type="dxa"/>
            <w:gridSpan w:val="3"/>
            <w:tcBorders/>
            <w:shd w:fill="auto" w:val="clear"/>
            <w:vAlign w:val="center"/>
          </w:tcPr>
          <w:p>
            <w:pPr>
              <w:pStyle w:val="TableContents"/>
              <w:spacing w:before="0" w:after="0"/>
              <w:ind w:left="0" w:right="0" w:firstLine="30"/>
              <w:rPr/>
            </w:pPr>
            <w:r>
              <w:rPr/>
              <w:t> </w:t>
            </w:r>
          </w:p>
        </w:tc>
      </w:tr>
      <w:tr>
        <w:trPr/>
        <w:tc>
          <w:tcPr>
            <w:tcW w:w="3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Income from continuing operations before income taxes</w:t>
            </w:r>
          </w:p>
        </w:tc>
        <w:tc>
          <w:tcPr>
            <w:tcW w:w="93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188"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9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42" w:type="dxa"/>
            <w:tcBorders>
              <w:top w:val="double" w:sz="6"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96" w:type="dxa"/>
            <w:tcBorders>
              <w:top w:val="double" w:sz="6"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66,225</w:t>
            </w:r>
          </w:p>
        </w:tc>
        <w:tc>
          <w:tcPr>
            <w:tcW w:w="125" w:type="dxa"/>
            <w:tcBorders>
              <w:top w:val="double" w:sz="6"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50"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84"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(39,497</w:t>
            </w:r>
          </w:p>
        </w:tc>
        <w:tc>
          <w:tcPr>
            <w:tcW w:w="132" w:type="dxa"/>
            <w:tcBorders>
              <w:bottom w:val="double" w:sz="6"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125"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26,728</w:t>
            </w:r>
          </w:p>
        </w:tc>
        <w:tc>
          <w:tcPr>
            <w:tcW w:w="561" w:type="dxa"/>
            <w:tcBorders>
              <w:bottom w:val="double" w:sz="6" w:space="0" w:color="000000"/>
            </w:tcBorders>
            <w:shd w:fill="auto"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rPr/>
      </w:pPr>
      <w:r>
        <w:rPr/>
      </w:r>
      <w:r>
        <w:br w:type="page"/>
      </w:r>
    </w:p>
    <w:p>
      <w:pPr>
        <w:pStyle w:val="TextBody"/>
        <w:spacing w:lineRule="auto" w:line="288" w:before="0" w:after="0"/>
        <w:rPr>
          <w:rFonts w:ascii="inherit" w:hAnsi="inherit"/>
          <w:sz w:val="17"/>
        </w:rPr>
      </w:pPr>
      <w:r>
        <w:rPr>
          <w:rFonts w:ascii="inherit" w:hAnsi="inherit"/>
          <w:sz w:val="17"/>
        </w:rPr>
      </w:r>
      <w:bookmarkStart w:id="42" w:name="sF3F42211211955828ACE028F7FA416F2"/>
      <w:bookmarkStart w:id="43" w:name="sF3F42211211955828ACE028F7FA416F2"/>
      <w:bookmarkEnd w:id="43"/>
    </w:p>
    <w:p>
      <w:pPr>
        <w:pStyle w:val="TextBody"/>
        <w:spacing w:before="0" w:after="0"/>
        <w:rPr/>
      </w:pPr>
      <w:r>
        <w:rPr/>
      </w:r>
    </w:p>
    <w:p>
      <w:pPr>
        <w:pStyle w:val="TextBody"/>
        <w:spacing w:lineRule="auto" w:line="288" w:before="0" w:after="0"/>
        <w:jc w:val="center"/>
        <w:rPr>
          <w:rFonts w:ascii="inherit" w:hAnsi="inherit"/>
          <w:b/>
          <w:sz w:val="15"/>
        </w:rPr>
      </w:pPr>
      <w:r>
        <w:rPr>
          <w:rFonts w:ascii="inherit" w:hAnsi="inherit"/>
          <w:b/>
          <w:sz w:val="15"/>
        </w:rPr>
        <w:t>EZCORP, Inc.</w:t>
      </w:r>
    </w:p>
    <w:p>
      <w:pPr>
        <w:pStyle w:val="TextBody"/>
        <w:spacing w:lineRule="auto" w:line="288" w:before="0" w:after="0"/>
        <w:jc w:val="center"/>
        <w:rPr>
          <w:rFonts w:ascii="inherit" w:hAnsi="inherit"/>
          <w:b/>
          <w:sz w:val="15"/>
        </w:rPr>
      </w:pPr>
      <w:r>
        <w:rPr>
          <w:rFonts w:ascii="inherit" w:hAnsi="inherit"/>
          <w:b/>
          <w:sz w:val="15"/>
        </w:rPr>
        <w:t>STORE COUNT ACTIVITY (UNAUDITED)</w:t>
      </w:r>
    </w:p>
    <w:tbl>
      <w:tblPr>
        <w:tblW w:w="8125" w:type="dxa"/>
        <w:jc w:val="center"/>
        <w:tblInd w:w="0" w:type="dxa"/>
        <w:tblCellMar>
          <w:top w:w="0" w:type="dxa"/>
          <w:left w:w="0" w:type="dxa"/>
          <w:bottom w:w="0" w:type="dxa"/>
          <w:right w:w="0" w:type="dxa"/>
        </w:tblCellMar>
      </w:tblPr>
      <w:tblGrid>
        <w:gridCol w:w="2975"/>
        <w:gridCol w:w="591"/>
        <w:gridCol w:w="193"/>
        <w:gridCol w:w="121"/>
        <w:gridCol w:w="1393"/>
        <w:gridCol w:w="126"/>
        <w:gridCol w:w="121"/>
        <w:gridCol w:w="1308"/>
        <w:gridCol w:w="151"/>
        <w:gridCol w:w="121"/>
        <w:gridCol w:w="528"/>
        <w:gridCol w:w="497"/>
      </w:tblGrid>
      <w:tr>
        <w:trPr/>
        <w:tc>
          <w:tcPr>
            <w:tcW w:w="8125" w:type="dxa"/>
            <w:gridSpan w:val="12"/>
            <w:tcBorders/>
            <w:shd w:fill="auto" w:val="clear"/>
            <w:vAlign w:val="center"/>
          </w:tcPr>
          <w:p>
            <w:pPr>
              <w:pStyle w:val="TableContents"/>
              <w:spacing w:before="0" w:after="283"/>
              <w:rPr>
                <w:sz w:val="4"/>
                <w:szCs w:val="4"/>
              </w:rPr>
            </w:pPr>
            <w:r>
              <w:rPr>
                <w:sz w:val="4"/>
                <w:szCs w:val="4"/>
              </w:rPr>
            </w:r>
          </w:p>
        </w:tc>
      </w:tr>
      <w:tr>
        <w:trPr/>
        <w:tc>
          <w:tcPr>
            <w:tcW w:w="2975"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393"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308"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528" w:type="dxa"/>
            <w:tcBorders/>
            <w:shd w:fill="auto" w:val="clear"/>
            <w:vAlign w:val="center"/>
          </w:tcPr>
          <w:p>
            <w:pPr>
              <w:pStyle w:val="TableContents"/>
              <w:spacing w:before="0" w:after="283"/>
              <w:rPr>
                <w:sz w:val="4"/>
                <w:szCs w:val="4"/>
              </w:rPr>
            </w:pPr>
            <w:r>
              <w:rPr>
                <w:sz w:val="4"/>
                <w:szCs w:val="4"/>
              </w:rPr>
            </w:r>
          </w:p>
        </w:tc>
        <w:tc>
          <w:tcPr>
            <w:tcW w:w="497"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975" w:type="dxa"/>
            <w:tcBorders/>
            <w:shd w:fill="auto" w:val="clear"/>
            <w:vAlign w:val="center"/>
          </w:tcPr>
          <w:p>
            <w:pPr>
              <w:pStyle w:val="TableContents"/>
              <w:spacing w:before="0" w:after="0"/>
              <w:ind w:left="0" w:right="0" w:firstLine="30"/>
              <w:jc w:val="left"/>
              <w:rPr/>
            </w:pPr>
            <w:r>
              <w:rPr/>
              <w:t> </w:t>
            </w:r>
          </w:p>
        </w:tc>
        <w:tc>
          <w:tcPr>
            <w:tcW w:w="5150"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 March 31, 2018</w:t>
            </w:r>
          </w:p>
        </w:tc>
      </w:tr>
      <w:tr>
        <w:trPr/>
        <w:tc>
          <w:tcPr>
            <w:tcW w:w="2975" w:type="dxa"/>
            <w:tcBorders/>
            <w:shd w:fill="auto" w:val="clear"/>
            <w:vAlign w:val="center"/>
          </w:tcPr>
          <w:p>
            <w:pPr>
              <w:pStyle w:val="TableContents"/>
              <w:spacing w:before="0" w:after="0"/>
              <w:ind w:left="0" w:right="0" w:firstLine="30"/>
              <w:jc w:val="left"/>
              <w:rPr/>
            </w:pPr>
            <w:r>
              <w:rPr/>
              <w:t> </w:t>
            </w:r>
          </w:p>
        </w:tc>
        <w:tc>
          <w:tcPr>
            <w:tcW w:w="5150"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Company-owned Stores</w:t>
            </w:r>
          </w:p>
        </w:tc>
      </w:tr>
      <w:tr>
        <w:trPr/>
        <w:tc>
          <w:tcPr>
            <w:tcW w:w="2975" w:type="dxa"/>
            <w:tcBorders/>
            <w:shd w:fill="auto" w:val="clear"/>
            <w:vAlign w:val="center"/>
          </w:tcPr>
          <w:p>
            <w:pPr>
              <w:pStyle w:val="TableContents"/>
              <w:spacing w:before="0" w:after="0"/>
              <w:ind w:left="0" w:right="0" w:firstLine="30"/>
              <w:jc w:val="left"/>
              <w:rPr/>
            </w:pPr>
            <w:r>
              <w:rPr/>
              <w:t> </w:t>
            </w:r>
          </w:p>
        </w:tc>
        <w:tc>
          <w:tcPr>
            <w:tcW w:w="784"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U.S. Pawn</w:t>
            </w:r>
          </w:p>
        </w:tc>
        <w:tc>
          <w:tcPr>
            <w:tcW w:w="121" w:type="dxa"/>
            <w:tcBorders/>
            <w:shd w:fill="auto" w:val="clear"/>
            <w:vAlign w:val="center"/>
          </w:tcPr>
          <w:p>
            <w:pPr>
              <w:pStyle w:val="TableContents"/>
              <w:spacing w:before="0" w:after="0"/>
              <w:ind w:left="0" w:right="0" w:firstLine="30"/>
              <w:rPr/>
            </w:pPr>
            <w:r>
              <w:rPr/>
              <w:t> </w:t>
            </w:r>
          </w:p>
        </w:tc>
        <w:tc>
          <w:tcPr>
            <w:tcW w:w="1519"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Latin America Pawn</w:t>
            </w:r>
          </w:p>
        </w:tc>
        <w:tc>
          <w:tcPr>
            <w:tcW w:w="121" w:type="dxa"/>
            <w:tcBorders/>
            <w:shd w:fill="auto" w:val="clear"/>
            <w:vAlign w:val="center"/>
          </w:tcPr>
          <w:p>
            <w:pPr>
              <w:pStyle w:val="TableContents"/>
              <w:spacing w:before="0" w:after="0"/>
              <w:ind w:left="0" w:right="0" w:firstLine="30"/>
              <w:rPr/>
            </w:pPr>
            <w:r>
              <w:rPr/>
              <w:t> </w:t>
            </w:r>
          </w:p>
        </w:tc>
        <w:tc>
          <w:tcPr>
            <w:tcW w:w="1459"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Other International</w:t>
            </w:r>
          </w:p>
        </w:tc>
        <w:tc>
          <w:tcPr>
            <w:tcW w:w="121" w:type="dxa"/>
            <w:tcBorders/>
            <w:shd w:fill="auto" w:val="clear"/>
            <w:vAlign w:val="center"/>
          </w:tcPr>
          <w:p>
            <w:pPr>
              <w:pStyle w:val="TableContents"/>
              <w:spacing w:before="0" w:after="0"/>
              <w:ind w:left="0" w:right="0" w:firstLine="30"/>
              <w:rPr/>
            </w:pPr>
            <w:r>
              <w:rPr/>
              <w:t> </w:t>
            </w:r>
          </w:p>
        </w:tc>
        <w:tc>
          <w:tcPr>
            <w:tcW w:w="1025"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Consolidated</w:t>
            </w:r>
          </w:p>
        </w:tc>
      </w:tr>
      <w:tr>
        <w:trPr/>
        <w:tc>
          <w:tcPr>
            <w:tcW w:w="2975" w:type="dxa"/>
            <w:tcBorders/>
            <w:shd w:fill="auto" w:val="clear"/>
            <w:vAlign w:val="center"/>
          </w:tcPr>
          <w:p>
            <w:pPr>
              <w:pStyle w:val="TableContents"/>
              <w:spacing w:before="0" w:after="0"/>
              <w:ind w:left="0" w:right="0" w:firstLine="30"/>
              <w:rPr/>
            </w:pPr>
            <w:r>
              <w:rPr/>
              <w:t> </w:t>
            </w:r>
          </w:p>
        </w:tc>
        <w:tc>
          <w:tcPr>
            <w:tcW w:w="784" w:type="dxa"/>
            <w:gridSpan w:val="2"/>
            <w:tcBorders/>
            <w:shd w:fill="auto" w:val="clear"/>
            <w:vAlign w:val="center"/>
          </w:tcPr>
          <w:p>
            <w:pPr>
              <w:pStyle w:val="TableContents"/>
              <w:spacing w:before="0" w:after="0"/>
              <w:ind w:left="0" w:right="0" w:firstLine="30"/>
              <w:rPr/>
            </w:pPr>
            <w:r>
              <w:rPr/>
              <w:t> </w:t>
            </w:r>
          </w:p>
        </w:tc>
        <w:tc>
          <w:tcPr>
            <w:tcW w:w="121" w:type="dxa"/>
            <w:tcBorders/>
            <w:shd w:fill="auto" w:val="clear"/>
            <w:vAlign w:val="center"/>
          </w:tcPr>
          <w:p>
            <w:pPr>
              <w:pStyle w:val="TableContents"/>
              <w:spacing w:before="0" w:after="0"/>
              <w:ind w:left="0" w:right="0" w:firstLine="30"/>
              <w:rPr/>
            </w:pPr>
            <w:r>
              <w:rPr/>
              <w:t> </w:t>
            </w:r>
          </w:p>
        </w:tc>
        <w:tc>
          <w:tcPr>
            <w:tcW w:w="1519" w:type="dxa"/>
            <w:gridSpan w:val="2"/>
            <w:tcBorders/>
            <w:shd w:fill="auto" w:val="clear"/>
            <w:vAlign w:val="center"/>
          </w:tcPr>
          <w:p>
            <w:pPr>
              <w:pStyle w:val="TableContents"/>
              <w:spacing w:before="0" w:after="0"/>
              <w:ind w:left="0" w:right="0" w:firstLine="30"/>
              <w:rPr/>
            </w:pPr>
            <w:r>
              <w:rPr/>
              <w:t> </w:t>
            </w:r>
          </w:p>
        </w:tc>
        <w:tc>
          <w:tcPr>
            <w:tcW w:w="121" w:type="dxa"/>
            <w:tcBorders/>
            <w:shd w:fill="auto" w:val="clear"/>
            <w:vAlign w:val="center"/>
          </w:tcPr>
          <w:p>
            <w:pPr>
              <w:pStyle w:val="TableContents"/>
              <w:spacing w:before="0" w:after="0"/>
              <w:ind w:left="0" w:right="0" w:firstLine="30"/>
              <w:rPr/>
            </w:pPr>
            <w:r>
              <w:rPr/>
              <w:t> </w:t>
            </w:r>
          </w:p>
        </w:tc>
        <w:tc>
          <w:tcPr>
            <w:tcW w:w="1459" w:type="dxa"/>
            <w:gridSpan w:val="2"/>
            <w:tcBorders/>
            <w:shd w:fill="auto" w:val="clear"/>
            <w:vAlign w:val="center"/>
          </w:tcPr>
          <w:p>
            <w:pPr>
              <w:pStyle w:val="TableContents"/>
              <w:spacing w:before="0" w:after="0"/>
              <w:ind w:left="0" w:right="0" w:firstLine="30"/>
              <w:rPr/>
            </w:pPr>
            <w:r>
              <w:rPr/>
              <w:t> </w:t>
            </w:r>
          </w:p>
        </w:tc>
        <w:tc>
          <w:tcPr>
            <w:tcW w:w="121" w:type="dxa"/>
            <w:tcBorders/>
            <w:shd w:fill="auto" w:val="clear"/>
            <w:vAlign w:val="center"/>
          </w:tcPr>
          <w:p>
            <w:pPr>
              <w:pStyle w:val="TableContents"/>
              <w:spacing w:before="0" w:after="0"/>
              <w:ind w:left="0" w:right="0" w:firstLine="30"/>
              <w:rPr/>
            </w:pPr>
            <w:r>
              <w:rPr/>
              <w:t> </w:t>
            </w:r>
          </w:p>
        </w:tc>
        <w:tc>
          <w:tcPr>
            <w:tcW w:w="1025" w:type="dxa"/>
            <w:gridSpan w:val="2"/>
            <w:tcBorders/>
            <w:shd w:fill="auto" w:val="clear"/>
            <w:vAlign w:val="center"/>
          </w:tcPr>
          <w:p>
            <w:pPr>
              <w:pStyle w:val="TableContents"/>
              <w:spacing w:before="0" w:after="0"/>
              <w:ind w:left="0" w:right="0" w:firstLine="30"/>
              <w:rPr/>
            </w:pPr>
            <w:r>
              <w:rPr/>
              <w:t> </w:t>
            </w:r>
          </w:p>
        </w:tc>
      </w:tr>
      <w:tr>
        <w:trPr/>
        <w:tc>
          <w:tcPr>
            <w:tcW w:w="29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As of December 31, 2017</w:t>
            </w:r>
          </w:p>
        </w:tc>
        <w:tc>
          <w:tcPr>
            <w:tcW w:w="591" w:type="dxa"/>
            <w:tcBorders/>
            <w:shd w:fill="auto" w:val="clear"/>
            <w:vAlign w:val="center"/>
          </w:tcPr>
          <w:p>
            <w:pPr>
              <w:pStyle w:val="TableContents"/>
              <w:spacing w:before="0" w:after="0"/>
              <w:jc w:val="right"/>
              <w:rPr>
                <w:rFonts w:ascii="inherit" w:hAnsi="inherit"/>
                <w:sz w:val="17"/>
              </w:rPr>
            </w:pPr>
            <w:r>
              <w:rPr>
                <w:rFonts w:ascii="inherit" w:hAnsi="inherit"/>
                <w:sz w:val="17"/>
              </w:rPr>
              <w:t>513</w:t>
            </w:r>
          </w:p>
        </w:tc>
        <w:tc>
          <w:tcPr>
            <w:tcW w:w="1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393" w:type="dxa"/>
            <w:tcBorders/>
            <w:shd w:fill="auto" w:val="clear"/>
            <w:vAlign w:val="center"/>
          </w:tcPr>
          <w:p>
            <w:pPr>
              <w:pStyle w:val="TableContents"/>
              <w:spacing w:before="0" w:after="0"/>
              <w:jc w:val="right"/>
              <w:rPr>
                <w:rFonts w:ascii="inherit" w:hAnsi="inherit"/>
                <w:sz w:val="17"/>
              </w:rPr>
            </w:pPr>
            <w:r>
              <w:rPr>
                <w:rFonts w:ascii="inherit" w:hAnsi="inherit"/>
                <w:sz w:val="17"/>
              </w:rPr>
              <w:t>383</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308" w:type="dxa"/>
            <w:tcBorders/>
            <w:shd w:fill="auto" w:val="clear"/>
            <w:vAlign w:val="center"/>
          </w:tcPr>
          <w:p>
            <w:pPr>
              <w:pStyle w:val="TableContents"/>
              <w:spacing w:before="0" w:after="0"/>
              <w:jc w:val="right"/>
              <w:rPr>
                <w:rFonts w:ascii="inherit" w:hAnsi="inherit"/>
                <w:sz w:val="17"/>
              </w:rPr>
            </w:pPr>
            <w:r>
              <w:rPr>
                <w:rFonts w:ascii="inherit" w:hAnsi="inherit"/>
                <w:sz w:val="17"/>
              </w:rPr>
              <w:t>27</w:t>
            </w:r>
          </w:p>
        </w:tc>
        <w:tc>
          <w:tcPr>
            <w:tcW w:w="1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528" w:type="dxa"/>
            <w:tcBorders/>
            <w:shd w:fill="auto" w:val="clear"/>
            <w:vAlign w:val="center"/>
          </w:tcPr>
          <w:p>
            <w:pPr>
              <w:pStyle w:val="TableContents"/>
              <w:spacing w:before="0" w:after="0"/>
              <w:jc w:val="right"/>
              <w:rPr>
                <w:rFonts w:ascii="inherit" w:hAnsi="inherit"/>
                <w:sz w:val="17"/>
              </w:rPr>
            </w:pPr>
            <w:r>
              <w:rPr>
                <w:rFonts w:ascii="inherit" w:hAnsi="inherit"/>
                <w:sz w:val="17"/>
              </w:rPr>
              <w:t>923</w:t>
            </w:r>
          </w:p>
        </w:tc>
        <w:tc>
          <w:tcPr>
            <w:tcW w:w="497"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29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New locations opened</w:t>
            </w:r>
          </w:p>
        </w:tc>
        <w:tc>
          <w:tcPr>
            <w:tcW w:w="591" w:type="dxa"/>
            <w:tcBorders/>
            <w:shd w:fill="auto" w:val="clear"/>
            <w:vAlign w:val="center"/>
          </w:tcPr>
          <w:p>
            <w:pPr>
              <w:pStyle w:val="TableContents"/>
              <w:spacing w:before="0" w:after="0"/>
              <w:jc w:val="right"/>
              <w:rPr/>
            </w:pPr>
            <w:r>
              <w:rPr/>
              <w:t>—</w:t>
            </w:r>
          </w:p>
        </w:tc>
        <w:tc>
          <w:tcPr>
            <w:tcW w:w="1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393" w:type="dxa"/>
            <w:tcBorders/>
            <w:shd w:fill="auto" w:val="clear"/>
            <w:vAlign w:val="center"/>
          </w:tcPr>
          <w:p>
            <w:pPr>
              <w:pStyle w:val="TableContents"/>
              <w:spacing w:before="0" w:after="0"/>
              <w:jc w:val="right"/>
              <w:rPr>
                <w:rFonts w:ascii="inherit" w:hAnsi="inherit"/>
                <w:sz w:val="17"/>
              </w:rPr>
            </w:pPr>
            <w:r>
              <w:rPr>
                <w:rFonts w:ascii="inherit" w:hAnsi="inherit"/>
                <w:sz w:val="17"/>
              </w:rPr>
              <w:t>4</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308" w:type="dxa"/>
            <w:tcBorders/>
            <w:shd w:fill="auto" w:val="clear"/>
            <w:vAlign w:val="center"/>
          </w:tcPr>
          <w:p>
            <w:pPr>
              <w:pStyle w:val="TableContents"/>
              <w:spacing w:before="0" w:after="0"/>
              <w:jc w:val="right"/>
              <w:rPr/>
            </w:pPr>
            <w:r>
              <w:rPr/>
              <w:t>—</w:t>
            </w:r>
          </w:p>
        </w:tc>
        <w:tc>
          <w:tcPr>
            <w:tcW w:w="1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528" w:type="dxa"/>
            <w:tcBorders/>
            <w:shd w:fill="auto" w:val="clear"/>
            <w:vAlign w:val="center"/>
          </w:tcPr>
          <w:p>
            <w:pPr>
              <w:pStyle w:val="TableContents"/>
              <w:spacing w:before="0" w:after="0"/>
              <w:jc w:val="right"/>
              <w:rPr>
                <w:rFonts w:ascii="inherit" w:hAnsi="inherit"/>
                <w:sz w:val="17"/>
              </w:rPr>
            </w:pPr>
            <w:r>
              <w:rPr>
                <w:rFonts w:ascii="inherit" w:hAnsi="inherit"/>
                <w:sz w:val="17"/>
              </w:rPr>
              <w:t>4</w:t>
            </w:r>
          </w:p>
        </w:tc>
        <w:tc>
          <w:tcPr>
            <w:tcW w:w="497"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29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Locations sold, combined or closed</w:t>
            </w:r>
          </w:p>
        </w:tc>
        <w:tc>
          <w:tcPr>
            <w:tcW w:w="591" w:type="dxa"/>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w:t>
            </w:r>
          </w:p>
        </w:tc>
        <w:tc>
          <w:tcPr>
            <w:tcW w:w="193"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1" w:type="dxa"/>
            <w:tcBorders/>
            <w:shd w:fill="auto" w:val="clear"/>
            <w:vAlign w:val="center"/>
          </w:tcPr>
          <w:p>
            <w:pPr>
              <w:pStyle w:val="TableContents"/>
              <w:spacing w:before="0" w:after="0"/>
              <w:ind w:left="0" w:right="0" w:firstLine="30"/>
              <w:rPr/>
            </w:pPr>
            <w:r>
              <w:rPr/>
              <w:t> </w:t>
            </w:r>
          </w:p>
        </w:tc>
        <w:tc>
          <w:tcPr>
            <w:tcW w:w="1393" w:type="dxa"/>
            <w:tcBorders>
              <w:bottom w:val="single" w:sz="2" w:space="0" w:color="000000"/>
            </w:tcBorders>
            <w:shd w:fill="auto" w:val="clear"/>
            <w:tcMar>
              <w:bottom w:w="30" w:type="dxa"/>
            </w:tcMar>
            <w:vAlign w:val="center"/>
          </w:tcPr>
          <w:p>
            <w:pPr>
              <w:pStyle w:val="TableContents"/>
              <w:spacing w:before="0" w:after="0"/>
              <w:jc w:val="right"/>
              <w:rPr/>
            </w:pPr>
            <w:r>
              <w:rPr/>
              <w:t>—</w:t>
            </w:r>
          </w:p>
        </w:tc>
        <w:tc>
          <w:tcPr>
            <w:tcW w:w="12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308" w:type="dxa"/>
            <w:tcBorders/>
            <w:shd w:fill="auto" w:val="clear"/>
            <w:vAlign w:val="center"/>
          </w:tcPr>
          <w:p>
            <w:pPr>
              <w:pStyle w:val="TableContents"/>
              <w:spacing w:before="0" w:after="0"/>
              <w:jc w:val="right"/>
              <w:rPr/>
            </w:pPr>
            <w:r>
              <w:rPr/>
              <w:t>—</w:t>
            </w:r>
          </w:p>
        </w:tc>
        <w:tc>
          <w:tcPr>
            <w:tcW w:w="1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528" w:type="dxa"/>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w:t>
            </w:r>
          </w:p>
        </w:tc>
        <w:tc>
          <w:tcPr>
            <w:tcW w:w="497"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29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As of March 31, 2018</w:t>
            </w:r>
          </w:p>
        </w:tc>
        <w:tc>
          <w:tcPr>
            <w:tcW w:w="591"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510</w:t>
            </w:r>
          </w:p>
        </w:tc>
        <w:tc>
          <w:tcPr>
            <w:tcW w:w="193"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393"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387</w:t>
            </w:r>
          </w:p>
        </w:tc>
        <w:tc>
          <w:tcPr>
            <w:tcW w:w="126"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308"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27</w:t>
            </w:r>
          </w:p>
        </w:tc>
        <w:tc>
          <w:tcPr>
            <w:tcW w:w="151"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528"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924</w:t>
            </w:r>
          </w:p>
        </w:tc>
        <w:tc>
          <w:tcPr>
            <w:tcW w:w="497" w:type="dxa"/>
            <w:tcBorders>
              <w:bottom w:val="double" w:sz="6" w:space="0" w:color="000000"/>
            </w:tcBorders>
            <w:shd w:fill="auto"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tbl>
      <w:tblPr>
        <w:tblW w:w="8125" w:type="dxa"/>
        <w:jc w:val="center"/>
        <w:tblInd w:w="0" w:type="dxa"/>
        <w:tblCellMar>
          <w:top w:w="0" w:type="dxa"/>
          <w:left w:w="0" w:type="dxa"/>
          <w:bottom w:w="0" w:type="dxa"/>
          <w:right w:w="0" w:type="dxa"/>
        </w:tblCellMar>
      </w:tblPr>
      <w:tblGrid>
        <w:gridCol w:w="2975"/>
        <w:gridCol w:w="721"/>
        <w:gridCol w:w="63"/>
        <w:gridCol w:w="121"/>
        <w:gridCol w:w="1143"/>
        <w:gridCol w:w="376"/>
        <w:gridCol w:w="121"/>
        <w:gridCol w:w="1308"/>
        <w:gridCol w:w="151"/>
        <w:gridCol w:w="121"/>
        <w:gridCol w:w="528"/>
        <w:gridCol w:w="497"/>
      </w:tblGrid>
      <w:tr>
        <w:trPr/>
        <w:tc>
          <w:tcPr>
            <w:tcW w:w="8125" w:type="dxa"/>
            <w:gridSpan w:val="12"/>
            <w:tcBorders/>
            <w:shd w:fill="auto" w:val="clear"/>
            <w:vAlign w:val="center"/>
          </w:tcPr>
          <w:p>
            <w:pPr>
              <w:pStyle w:val="TableContents"/>
              <w:spacing w:before="0" w:after="283"/>
              <w:rPr>
                <w:sz w:val="4"/>
                <w:szCs w:val="4"/>
              </w:rPr>
            </w:pPr>
            <w:r>
              <w:rPr>
                <w:sz w:val="4"/>
                <w:szCs w:val="4"/>
              </w:rPr>
            </w:r>
          </w:p>
        </w:tc>
      </w:tr>
      <w:tr>
        <w:trPr/>
        <w:tc>
          <w:tcPr>
            <w:tcW w:w="2975"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143"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308"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528" w:type="dxa"/>
            <w:tcBorders/>
            <w:shd w:fill="auto" w:val="clear"/>
            <w:vAlign w:val="center"/>
          </w:tcPr>
          <w:p>
            <w:pPr>
              <w:pStyle w:val="TableContents"/>
              <w:spacing w:before="0" w:after="283"/>
              <w:rPr>
                <w:sz w:val="4"/>
                <w:szCs w:val="4"/>
              </w:rPr>
            </w:pPr>
            <w:r>
              <w:rPr>
                <w:sz w:val="4"/>
                <w:szCs w:val="4"/>
              </w:rPr>
            </w:r>
          </w:p>
        </w:tc>
        <w:tc>
          <w:tcPr>
            <w:tcW w:w="497"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975" w:type="dxa"/>
            <w:tcBorders/>
            <w:shd w:fill="auto" w:val="clear"/>
            <w:vAlign w:val="center"/>
          </w:tcPr>
          <w:p>
            <w:pPr>
              <w:pStyle w:val="TableContents"/>
              <w:spacing w:before="0" w:after="0"/>
              <w:ind w:left="0" w:right="0" w:firstLine="30"/>
              <w:jc w:val="left"/>
              <w:rPr/>
            </w:pPr>
            <w:r>
              <w:rPr/>
              <w:t> </w:t>
            </w:r>
          </w:p>
        </w:tc>
        <w:tc>
          <w:tcPr>
            <w:tcW w:w="5150"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 March 31, 2017</w:t>
            </w:r>
          </w:p>
        </w:tc>
      </w:tr>
      <w:tr>
        <w:trPr/>
        <w:tc>
          <w:tcPr>
            <w:tcW w:w="2975" w:type="dxa"/>
            <w:tcBorders/>
            <w:shd w:fill="auto" w:val="clear"/>
            <w:vAlign w:val="center"/>
          </w:tcPr>
          <w:p>
            <w:pPr>
              <w:pStyle w:val="TableContents"/>
              <w:spacing w:before="0" w:after="0"/>
              <w:ind w:left="0" w:right="0" w:firstLine="30"/>
              <w:jc w:val="left"/>
              <w:rPr/>
            </w:pPr>
            <w:r>
              <w:rPr/>
              <w:t> </w:t>
            </w:r>
          </w:p>
        </w:tc>
        <w:tc>
          <w:tcPr>
            <w:tcW w:w="5150"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Company-owned Stores</w:t>
            </w:r>
          </w:p>
        </w:tc>
      </w:tr>
      <w:tr>
        <w:trPr/>
        <w:tc>
          <w:tcPr>
            <w:tcW w:w="2975" w:type="dxa"/>
            <w:tcBorders/>
            <w:shd w:fill="auto" w:val="clear"/>
            <w:vAlign w:val="center"/>
          </w:tcPr>
          <w:p>
            <w:pPr>
              <w:pStyle w:val="TableContents"/>
              <w:spacing w:before="0" w:after="0"/>
              <w:ind w:left="0" w:right="0" w:firstLine="30"/>
              <w:jc w:val="left"/>
              <w:rPr/>
            </w:pPr>
            <w:r>
              <w:rPr/>
              <w:t> </w:t>
            </w:r>
          </w:p>
        </w:tc>
        <w:tc>
          <w:tcPr>
            <w:tcW w:w="784"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U.S. Pawn</w:t>
            </w:r>
          </w:p>
        </w:tc>
        <w:tc>
          <w:tcPr>
            <w:tcW w:w="121" w:type="dxa"/>
            <w:tcBorders/>
            <w:shd w:fill="auto" w:val="clear"/>
            <w:vAlign w:val="center"/>
          </w:tcPr>
          <w:p>
            <w:pPr>
              <w:pStyle w:val="TableContents"/>
              <w:spacing w:before="0" w:after="0"/>
              <w:ind w:left="0" w:right="0" w:firstLine="30"/>
              <w:rPr/>
            </w:pPr>
            <w:r>
              <w:rPr/>
              <w:t> </w:t>
            </w:r>
          </w:p>
        </w:tc>
        <w:tc>
          <w:tcPr>
            <w:tcW w:w="1519"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Latin America Pawn</w:t>
            </w:r>
          </w:p>
        </w:tc>
        <w:tc>
          <w:tcPr>
            <w:tcW w:w="121" w:type="dxa"/>
            <w:tcBorders/>
            <w:shd w:fill="auto" w:val="clear"/>
            <w:vAlign w:val="center"/>
          </w:tcPr>
          <w:p>
            <w:pPr>
              <w:pStyle w:val="TableContents"/>
              <w:spacing w:before="0" w:after="0"/>
              <w:ind w:left="0" w:right="0" w:firstLine="30"/>
              <w:rPr/>
            </w:pPr>
            <w:r>
              <w:rPr/>
              <w:t> </w:t>
            </w:r>
          </w:p>
        </w:tc>
        <w:tc>
          <w:tcPr>
            <w:tcW w:w="1459"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Other International</w:t>
            </w:r>
          </w:p>
        </w:tc>
        <w:tc>
          <w:tcPr>
            <w:tcW w:w="121" w:type="dxa"/>
            <w:tcBorders/>
            <w:shd w:fill="auto" w:val="clear"/>
            <w:vAlign w:val="center"/>
          </w:tcPr>
          <w:p>
            <w:pPr>
              <w:pStyle w:val="TableContents"/>
              <w:spacing w:before="0" w:after="0"/>
              <w:ind w:left="0" w:right="0" w:firstLine="30"/>
              <w:rPr/>
            </w:pPr>
            <w:r>
              <w:rPr/>
              <w:t> </w:t>
            </w:r>
          </w:p>
        </w:tc>
        <w:tc>
          <w:tcPr>
            <w:tcW w:w="1025"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Consolidated</w:t>
            </w:r>
          </w:p>
        </w:tc>
      </w:tr>
      <w:tr>
        <w:trPr/>
        <w:tc>
          <w:tcPr>
            <w:tcW w:w="2975" w:type="dxa"/>
            <w:tcBorders/>
            <w:shd w:fill="auto" w:val="clear"/>
            <w:vAlign w:val="center"/>
          </w:tcPr>
          <w:p>
            <w:pPr>
              <w:pStyle w:val="TableContents"/>
              <w:spacing w:before="0" w:after="0"/>
              <w:ind w:left="0" w:right="0" w:firstLine="30"/>
              <w:rPr/>
            </w:pPr>
            <w:r>
              <w:rPr/>
              <w:t> </w:t>
            </w:r>
          </w:p>
        </w:tc>
        <w:tc>
          <w:tcPr>
            <w:tcW w:w="784" w:type="dxa"/>
            <w:gridSpan w:val="2"/>
            <w:tcBorders/>
            <w:shd w:fill="auto" w:val="clear"/>
            <w:vAlign w:val="center"/>
          </w:tcPr>
          <w:p>
            <w:pPr>
              <w:pStyle w:val="TableContents"/>
              <w:spacing w:before="0" w:after="0"/>
              <w:ind w:left="0" w:right="0" w:firstLine="30"/>
              <w:rPr/>
            </w:pPr>
            <w:r>
              <w:rPr/>
              <w:t> </w:t>
            </w:r>
          </w:p>
        </w:tc>
        <w:tc>
          <w:tcPr>
            <w:tcW w:w="121" w:type="dxa"/>
            <w:tcBorders/>
            <w:shd w:fill="auto" w:val="clear"/>
            <w:vAlign w:val="center"/>
          </w:tcPr>
          <w:p>
            <w:pPr>
              <w:pStyle w:val="TableContents"/>
              <w:spacing w:before="0" w:after="0"/>
              <w:ind w:left="0" w:right="0" w:firstLine="30"/>
              <w:rPr/>
            </w:pPr>
            <w:r>
              <w:rPr/>
              <w:t> </w:t>
            </w:r>
          </w:p>
        </w:tc>
        <w:tc>
          <w:tcPr>
            <w:tcW w:w="1519" w:type="dxa"/>
            <w:gridSpan w:val="2"/>
            <w:tcBorders/>
            <w:shd w:fill="auto" w:val="clear"/>
            <w:vAlign w:val="center"/>
          </w:tcPr>
          <w:p>
            <w:pPr>
              <w:pStyle w:val="TableContents"/>
              <w:spacing w:before="0" w:after="0"/>
              <w:ind w:left="0" w:right="0" w:firstLine="30"/>
              <w:rPr/>
            </w:pPr>
            <w:r>
              <w:rPr/>
              <w:t> </w:t>
            </w:r>
          </w:p>
        </w:tc>
        <w:tc>
          <w:tcPr>
            <w:tcW w:w="121" w:type="dxa"/>
            <w:tcBorders/>
            <w:shd w:fill="auto" w:val="clear"/>
            <w:vAlign w:val="center"/>
          </w:tcPr>
          <w:p>
            <w:pPr>
              <w:pStyle w:val="TableContents"/>
              <w:spacing w:before="0" w:after="0"/>
              <w:ind w:left="0" w:right="0" w:firstLine="30"/>
              <w:rPr/>
            </w:pPr>
            <w:r>
              <w:rPr/>
              <w:t> </w:t>
            </w:r>
          </w:p>
        </w:tc>
        <w:tc>
          <w:tcPr>
            <w:tcW w:w="1459" w:type="dxa"/>
            <w:gridSpan w:val="2"/>
            <w:tcBorders/>
            <w:shd w:fill="auto" w:val="clear"/>
            <w:vAlign w:val="center"/>
          </w:tcPr>
          <w:p>
            <w:pPr>
              <w:pStyle w:val="TableContents"/>
              <w:spacing w:before="0" w:after="0"/>
              <w:ind w:left="0" w:right="0" w:firstLine="30"/>
              <w:rPr/>
            </w:pPr>
            <w:r>
              <w:rPr/>
              <w:t> </w:t>
            </w:r>
          </w:p>
        </w:tc>
        <w:tc>
          <w:tcPr>
            <w:tcW w:w="121" w:type="dxa"/>
            <w:tcBorders/>
            <w:shd w:fill="auto" w:val="clear"/>
            <w:vAlign w:val="center"/>
          </w:tcPr>
          <w:p>
            <w:pPr>
              <w:pStyle w:val="TableContents"/>
              <w:spacing w:before="0" w:after="0"/>
              <w:ind w:left="0" w:right="0" w:firstLine="30"/>
              <w:rPr/>
            </w:pPr>
            <w:r>
              <w:rPr/>
              <w:t> </w:t>
            </w:r>
          </w:p>
        </w:tc>
        <w:tc>
          <w:tcPr>
            <w:tcW w:w="1025" w:type="dxa"/>
            <w:gridSpan w:val="2"/>
            <w:tcBorders/>
            <w:shd w:fill="auto" w:val="clear"/>
            <w:vAlign w:val="center"/>
          </w:tcPr>
          <w:p>
            <w:pPr>
              <w:pStyle w:val="TableContents"/>
              <w:spacing w:before="0" w:after="0"/>
              <w:ind w:left="0" w:right="0" w:firstLine="30"/>
              <w:rPr/>
            </w:pPr>
            <w:r>
              <w:rPr/>
              <w:t> </w:t>
            </w:r>
          </w:p>
        </w:tc>
      </w:tr>
      <w:tr>
        <w:trPr/>
        <w:tc>
          <w:tcPr>
            <w:tcW w:w="29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As of September 30, 2016</w:t>
            </w:r>
          </w:p>
        </w:tc>
        <w:tc>
          <w:tcPr>
            <w:tcW w:w="721" w:type="dxa"/>
            <w:tcBorders/>
            <w:shd w:fill="auto" w:val="clear"/>
            <w:vAlign w:val="center"/>
          </w:tcPr>
          <w:p>
            <w:pPr>
              <w:pStyle w:val="TableContents"/>
              <w:spacing w:before="0" w:after="0"/>
              <w:jc w:val="right"/>
              <w:rPr>
                <w:rFonts w:ascii="inherit" w:hAnsi="inherit"/>
                <w:sz w:val="17"/>
              </w:rPr>
            </w:pPr>
            <w:r>
              <w:rPr>
                <w:rFonts w:ascii="inherit" w:hAnsi="inherit"/>
                <w:sz w:val="17"/>
              </w:rPr>
              <w:t>517</w:t>
            </w:r>
          </w:p>
        </w:tc>
        <w:tc>
          <w:tcPr>
            <w:tcW w:w="6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43" w:type="dxa"/>
            <w:tcBorders/>
            <w:shd w:fill="auto" w:val="clear"/>
            <w:vAlign w:val="center"/>
          </w:tcPr>
          <w:p>
            <w:pPr>
              <w:pStyle w:val="TableContents"/>
              <w:spacing w:before="0" w:after="0"/>
              <w:jc w:val="right"/>
              <w:rPr>
                <w:rFonts w:ascii="inherit" w:hAnsi="inherit"/>
                <w:sz w:val="17"/>
              </w:rPr>
            </w:pPr>
            <w:r>
              <w:rPr>
                <w:rFonts w:ascii="inherit" w:hAnsi="inherit"/>
                <w:sz w:val="17"/>
              </w:rPr>
              <w:t>239</w:t>
            </w:r>
          </w:p>
        </w:tc>
        <w:tc>
          <w:tcPr>
            <w:tcW w:w="37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308" w:type="dxa"/>
            <w:tcBorders/>
            <w:shd w:fill="auto" w:val="clear"/>
            <w:vAlign w:val="center"/>
          </w:tcPr>
          <w:p>
            <w:pPr>
              <w:pStyle w:val="TableContents"/>
              <w:spacing w:before="0" w:after="0"/>
              <w:jc w:val="right"/>
              <w:rPr>
                <w:rFonts w:ascii="inherit" w:hAnsi="inherit"/>
                <w:sz w:val="17"/>
              </w:rPr>
            </w:pPr>
            <w:r>
              <w:rPr>
                <w:rFonts w:ascii="inherit" w:hAnsi="inherit"/>
                <w:sz w:val="17"/>
              </w:rPr>
              <w:t>27</w:t>
            </w:r>
          </w:p>
        </w:tc>
        <w:tc>
          <w:tcPr>
            <w:tcW w:w="1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528" w:type="dxa"/>
            <w:tcBorders/>
            <w:shd w:fill="auto" w:val="clear"/>
            <w:vAlign w:val="center"/>
          </w:tcPr>
          <w:p>
            <w:pPr>
              <w:pStyle w:val="TableContents"/>
              <w:spacing w:before="0" w:after="0"/>
              <w:jc w:val="right"/>
              <w:rPr>
                <w:rFonts w:ascii="inherit" w:hAnsi="inherit"/>
                <w:sz w:val="17"/>
              </w:rPr>
            </w:pPr>
            <w:r>
              <w:rPr>
                <w:rFonts w:ascii="inherit" w:hAnsi="inherit"/>
                <w:sz w:val="17"/>
              </w:rPr>
              <w:t>783</w:t>
            </w:r>
          </w:p>
        </w:tc>
        <w:tc>
          <w:tcPr>
            <w:tcW w:w="497"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29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New locations opened</w:t>
            </w:r>
          </w:p>
        </w:tc>
        <w:tc>
          <w:tcPr>
            <w:tcW w:w="721" w:type="dxa"/>
            <w:tcBorders/>
            <w:shd w:fill="auto" w:val="clear"/>
            <w:vAlign w:val="center"/>
          </w:tcPr>
          <w:p>
            <w:pPr>
              <w:pStyle w:val="TableContents"/>
              <w:spacing w:before="0" w:after="0"/>
              <w:jc w:val="right"/>
              <w:rPr/>
            </w:pPr>
            <w:r>
              <w:rPr/>
              <w:t>—</w:t>
            </w:r>
          </w:p>
        </w:tc>
        <w:tc>
          <w:tcPr>
            <w:tcW w:w="6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43" w:type="dxa"/>
            <w:tcBorders/>
            <w:shd w:fill="auto" w:val="clear"/>
            <w:vAlign w:val="center"/>
          </w:tcPr>
          <w:p>
            <w:pPr>
              <w:pStyle w:val="TableContents"/>
              <w:spacing w:before="0" w:after="0"/>
              <w:jc w:val="right"/>
              <w:rPr>
                <w:rFonts w:ascii="inherit" w:hAnsi="inherit"/>
                <w:sz w:val="17"/>
              </w:rPr>
            </w:pPr>
            <w:r>
              <w:rPr>
                <w:rFonts w:ascii="inherit" w:hAnsi="inherit"/>
                <w:sz w:val="17"/>
              </w:rPr>
              <w:t>2</w:t>
            </w:r>
          </w:p>
        </w:tc>
        <w:tc>
          <w:tcPr>
            <w:tcW w:w="37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308" w:type="dxa"/>
            <w:tcBorders/>
            <w:shd w:fill="auto" w:val="clear"/>
            <w:vAlign w:val="center"/>
          </w:tcPr>
          <w:p>
            <w:pPr>
              <w:pStyle w:val="TableContents"/>
              <w:spacing w:before="0" w:after="0"/>
              <w:jc w:val="right"/>
              <w:rPr/>
            </w:pPr>
            <w:r>
              <w:rPr/>
              <w:t>—</w:t>
            </w:r>
          </w:p>
        </w:tc>
        <w:tc>
          <w:tcPr>
            <w:tcW w:w="1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528" w:type="dxa"/>
            <w:tcBorders/>
            <w:shd w:fill="auto" w:val="clear"/>
            <w:vAlign w:val="center"/>
          </w:tcPr>
          <w:p>
            <w:pPr>
              <w:pStyle w:val="TableContents"/>
              <w:spacing w:before="0" w:after="0"/>
              <w:jc w:val="right"/>
              <w:rPr>
                <w:rFonts w:ascii="inherit" w:hAnsi="inherit"/>
                <w:sz w:val="17"/>
              </w:rPr>
            </w:pPr>
            <w:r>
              <w:rPr>
                <w:rFonts w:ascii="inherit" w:hAnsi="inherit"/>
                <w:sz w:val="17"/>
              </w:rPr>
              <w:t>2</w:t>
            </w:r>
          </w:p>
        </w:tc>
        <w:tc>
          <w:tcPr>
            <w:tcW w:w="497"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29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Locations sold, combined or closed</w:t>
            </w:r>
          </w:p>
        </w:tc>
        <w:tc>
          <w:tcPr>
            <w:tcW w:w="721" w:type="dxa"/>
            <w:tcBorders>
              <w:bottom w:val="single" w:sz="2" w:space="0" w:color="000000"/>
            </w:tcBorders>
            <w:shd w:fill="auto" w:val="clear"/>
            <w:tcMar>
              <w:bottom w:w="30" w:type="dxa"/>
            </w:tcMar>
            <w:vAlign w:val="center"/>
          </w:tcPr>
          <w:p>
            <w:pPr>
              <w:pStyle w:val="TableContents"/>
              <w:spacing w:before="0" w:after="0"/>
              <w:jc w:val="right"/>
              <w:rPr/>
            </w:pPr>
            <w:r>
              <w:rPr/>
              <w:t>—</w:t>
            </w:r>
          </w:p>
        </w:tc>
        <w:tc>
          <w:tcPr>
            <w:tcW w:w="63"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43" w:type="dxa"/>
            <w:tcBorders/>
            <w:shd w:fill="auto" w:val="clear"/>
            <w:vAlign w:val="center"/>
          </w:tcPr>
          <w:p>
            <w:pPr>
              <w:pStyle w:val="TableContents"/>
              <w:spacing w:before="0" w:after="0"/>
              <w:jc w:val="right"/>
              <w:rPr>
                <w:rFonts w:ascii="inherit" w:hAnsi="inherit"/>
                <w:sz w:val="17"/>
              </w:rPr>
            </w:pPr>
            <w:r>
              <w:rPr>
                <w:rFonts w:ascii="inherit" w:hAnsi="inherit"/>
                <w:sz w:val="17"/>
              </w:rPr>
              <w:t>(1</w:t>
            </w:r>
          </w:p>
        </w:tc>
        <w:tc>
          <w:tcPr>
            <w:tcW w:w="37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1" w:type="dxa"/>
            <w:tcBorders/>
            <w:shd w:fill="auto" w:val="clear"/>
            <w:vAlign w:val="center"/>
          </w:tcPr>
          <w:p>
            <w:pPr>
              <w:pStyle w:val="TableContents"/>
              <w:spacing w:before="0" w:after="0"/>
              <w:ind w:left="0" w:right="0" w:firstLine="30"/>
              <w:rPr/>
            </w:pPr>
            <w:r>
              <w:rPr/>
              <w:t> </w:t>
            </w:r>
          </w:p>
        </w:tc>
        <w:tc>
          <w:tcPr>
            <w:tcW w:w="1308" w:type="dxa"/>
            <w:tcBorders/>
            <w:shd w:fill="auto" w:val="clear"/>
            <w:vAlign w:val="center"/>
          </w:tcPr>
          <w:p>
            <w:pPr>
              <w:pStyle w:val="TableContents"/>
              <w:spacing w:before="0" w:after="0"/>
              <w:jc w:val="right"/>
              <w:rPr/>
            </w:pPr>
            <w:r>
              <w:rPr/>
              <w:t>—</w:t>
            </w:r>
          </w:p>
        </w:tc>
        <w:tc>
          <w:tcPr>
            <w:tcW w:w="1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528" w:type="dxa"/>
            <w:tcBorders/>
            <w:shd w:fill="auto" w:val="clear"/>
            <w:vAlign w:val="center"/>
          </w:tcPr>
          <w:p>
            <w:pPr>
              <w:pStyle w:val="TableContents"/>
              <w:spacing w:before="0" w:after="0"/>
              <w:jc w:val="right"/>
              <w:rPr>
                <w:rFonts w:ascii="inherit" w:hAnsi="inherit"/>
                <w:sz w:val="17"/>
              </w:rPr>
            </w:pPr>
            <w:r>
              <w:rPr>
                <w:rFonts w:ascii="inherit" w:hAnsi="inherit"/>
                <w:sz w:val="17"/>
              </w:rPr>
              <w:t>(1</w:t>
            </w:r>
          </w:p>
        </w:tc>
        <w:tc>
          <w:tcPr>
            <w:tcW w:w="49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29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As of March 31, 2017</w:t>
            </w:r>
          </w:p>
        </w:tc>
        <w:tc>
          <w:tcPr>
            <w:tcW w:w="72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517</w:t>
            </w:r>
          </w:p>
        </w:tc>
        <w:tc>
          <w:tcPr>
            <w:tcW w:w="63"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43"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240</w:t>
            </w:r>
          </w:p>
        </w:tc>
        <w:tc>
          <w:tcPr>
            <w:tcW w:w="376"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308"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27</w:t>
            </w:r>
          </w:p>
        </w:tc>
        <w:tc>
          <w:tcPr>
            <w:tcW w:w="151"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528"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784</w:t>
            </w:r>
          </w:p>
        </w:tc>
        <w:tc>
          <w:tcPr>
            <w:tcW w:w="497"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tbl>
      <w:tblPr>
        <w:tblW w:w="8101" w:type="dxa"/>
        <w:jc w:val="center"/>
        <w:tblInd w:w="0" w:type="dxa"/>
        <w:tblCellMar>
          <w:top w:w="0" w:type="dxa"/>
          <w:left w:w="0" w:type="dxa"/>
          <w:bottom w:w="0" w:type="dxa"/>
          <w:right w:w="0" w:type="dxa"/>
        </w:tblCellMar>
      </w:tblPr>
      <w:tblGrid>
        <w:gridCol w:w="2975"/>
        <w:gridCol w:w="591"/>
        <w:gridCol w:w="193"/>
        <w:gridCol w:w="113"/>
        <w:gridCol w:w="1393"/>
        <w:gridCol w:w="126"/>
        <w:gridCol w:w="113"/>
        <w:gridCol w:w="1308"/>
        <w:gridCol w:w="151"/>
        <w:gridCol w:w="113"/>
        <w:gridCol w:w="528"/>
        <w:gridCol w:w="497"/>
      </w:tblGrid>
      <w:tr>
        <w:trPr/>
        <w:tc>
          <w:tcPr>
            <w:tcW w:w="8101" w:type="dxa"/>
            <w:gridSpan w:val="12"/>
            <w:tcBorders/>
            <w:shd w:fill="auto" w:val="clear"/>
            <w:vAlign w:val="center"/>
          </w:tcPr>
          <w:p>
            <w:pPr>
              <w:pStyle w:val="TableContents"/>
              <w:spacing w:before="0" w:after="283"/>
              <w:rPr>
                <w:sz w:val="4"/>
                <w:szCs w:val="4"/>
              </w:rPr>
            </w:pPr>
            <w:r>
              <w:rPr>
                <w:sz w:val="4"/>
                <w:szCs w:val="4"/>
              </w:rPr>
            </w:r>
          </w:p>
        </w:tc>
      </w:tr>
      <w:tr>
        <w:trPr/>
        <w:tc>
          <w:tcPr>
            <w:tcW w:w="2975"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393"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308"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528" w:type="dxa"/>
            <w:tcBorders/>
            <w:shd w:fill="auto" w:val="clear"/>
            <w:vAlign w:val="center"/>
          </w:tcPr>
          <w:p>
            <w:pPr>
              <w:pStyle w:val="TableContents"/>
              <w:spacing w:before="0" w:after="283"/>
              <w:rPr>
                <w:sz w:val="4"/>
                <w:szCs w:val="4"/>
              </w:rPr>
            </w:pPr>
            <w:r>
              <w:rPr>
                <w:sz w:val="4"/>
                <w:szCs w:val="4"/>
              </w:rPr>
            </w:r>
          </w:p>
        </w:tc>
        <w:tc>
          <w:tcPr>
            <w:tcW w:w="497"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975" w:type="dxa"/>
            <w:tcBorders/>
            <w:shd w:fill="auto" w:val="clear"/>
            <w:vAlign w:val="center"/>
          </w:tcPr>
          <w:p>
            <w:pPr>
              <w:pStyle w:val="TableContents"/>
              <w:spacing w:before="0" w:after="0"/>
              <w:ind w:left="0" w:right="0" w:firstLine="30"/>
              <w:jc w:val="left"/>
              <w:rPr/>
            </w:pPr>
            <w:r>
              <w:rPr/>
              <w:t> </w:t>
            </w:r>
          </w:p>
        </w:tc>
        <w:tc>
          <w:tcPr>
            <w:tcW w:w="5126"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Six Months Ended March 31, 2018</w:t>
            </w:r>
          </w:p>
        </w:tc>
      </w:tr>
      <w:tr>
        <w:trPr/>
        <w:tc>
          <w:tcPr>
            <w:tcW w:w="2975" w:type="dxa"/>
            <w:tcBorders/>
            <w:shd w:fill="auto" w:val="clear"/>
            <w:vAlign w:val="center"/>
          </w:tcPr>
          <w:p>
            <w:pPr>
              <w:pStyle w:val="TableContents"/>
              <w:spacing w:before="0" w:after="0"/>
              <w:ind w:left="0" w:right="0" w:firstLine="30"/>
              <w:jc w:val="left"/>
              <w:rPr/>
            </w:pPr>
            <w:r>
              <w:rPr/>
              <w:t> </w:t>
            </w:r>
          </w:p>
        </w:tc>
        <w:tc>
          <w:tcPr>
            <w:tcW w:w="5126"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Company-owned Stores</w:t>
            </w:r>
          </w:p>
        </w:tc>
      </w:tr>
      <w:tr>
        <w:trPr/>
        <w:tc>
          <w:tcPr>
            <w:tcW w:w="2975" w:type="dxa"/>
            <w:tcBorders/>
            <w:shd w:fill="auto" w:val="clear"/>
            <w:vAlign w:val="center"/>
          </w:tcPr>
          <w:p>
            <w:pPr>
              <w:pStyle w:val="TableContents"/>
              <w:spacing w:before="0" w:after="0"/>
              <w:ind w:left="0" w:right="0" w:firstLine="30"/>
              <w:jc w:val="left"/>
              <w:rPr/>
            </w:pPr>
            <w:r>
              <w:rPr/>
              <w:t> </w:t>
            </w:r>
          </w:p>
        </w:tc>
        <w:tc>
          <w:tcPr>
            <w:tcW w:w="784"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U.S. Pawn</w:t>
            </w:r>
          </w:p>
        </w:tc>
        <w:tc>
          <w:tcPr>
            <w:tcW w:w="113" w:type="dxa"/>
            <w:tcBorders/>
            <w:shd w:fill="auto" w:val="clear"/>
            <w:vAlign w:val="center"/>
          </w:tcPr>
          <w:p>
            <w:pPr>
              <w:pStyle w:val="TableContents"/>
              <w:spacing w:before="0" w:after="0"/>
              <w:ind w:left="0" w:right="0" w:firstLine="30"/>
              <w:rPr/>
            </w:pPr>
            <w:r>
              <w:rPr/>
              <w:t> </w:t>
            </w:r>
          </w:p>
        </w:tc>
        <w:tc>
          <w:tcPr>
            <w:tcW w:w="1519"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Latin America Pawn</w:t>
            </w:r>
          </w:p>
        </w:tc>
        <w:tc>
          <w:tcPr>
            <w:tcW w:w="113" w:type="dxa"/>
            <w:tcBorders/>
            <w:shd w:fill="auto" w:val="clear"/>
            <w:vAlign w:val="center"/>
          </w:tcPr>
          <w:p>
            <w:pPr>
              <w:pStyle w:val="TableContents"/>
              <w:spacing w:before="0" w:after="0"/>
              <w:ind w:left="0" w:right="0" w:firstLine="30"/>
              <w:rPr/>
            </w:pPr>
            <w:r>
              <w:rPr/>
              <w:t> </w:t>
            </w:r>
          </w:p>
        </w:tc>
        <w:tc>
          <w:tcPr>
            <w:tcW w:w="1459"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Other International</w:t>
            </w:r>
          </w:p>
        </w:tc>
        <w:tc>
          <w:tcPr>
            <w:tcW w:w="113" w:type="dxa"/>
            <w:tcBorders/>
            <w:shd w:fill="auto" w:val="clear"/>
            <w:vAlign w:val="center"/>
          </w:tcPr>
          <w:p>
            <w:pPr>
              <w:pStyle w:val="TableContents"/>
              <w:spacing w:before="0" w:after="0"/>
              <w:ind w:left="0" w:right="0" w:firstLine="30"/>
              <w:rPr/>
            </w:pPr>
            <w:r>
              <w:rPr/>
              <w:t> </w:t>
            </w:r>
          </w:p>
        </w:tc>
        <w:tc>
          <w:tcPr>
            <w:tcW w:w="1025"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Consolidated</w:t>
            </w:r>
          </w:p>
        </w:tc>
      </w:tr>
      <w:tr>
        <w:trPr/>
        <w:tc>
          <w:tcPr>
            <w:tcW w:w="2975" w:type="dxa"/>
            <w:tcBorders/>
            <w:shd w:fill="auto" w:val="clear"/>
            <w:vAlign w:val="center"/>
          </w:tcPr>
          <w:p>
            <w:pPr>
              <w:pStyle w:val="TableContents"/>
              <w:spacing w:before="0" w:after="0"/>
              <w:ind w:left="0" w:right="0" w:firstLine="30"/>
              <w:rPr/>
            </w:pPr>
            <w:r>
              <w:rPr/>
              <w:t> </w:t>
            </w:r>
          </w:p>
        </w:tc>
        <w:tc>
          <w:tcPr>
            <w:tcW w:w="784" w:type="dxa"/>
            <w:gridSpan w:val="2"/>
            <w:tcBorders/>
            <w:shd w:fill="auto" w:val="clear"/>
            <w:vAlign w:val="center"/>
          </w:tcPr>
          <w:p>
            <w:pPr>
              <w:pStyle w:val="TableContents"/>
              <w:spacing w:before="0" w:after="0"/>
              <w:ind w:left="0" w:right="0" w:firstLine="30"/>
              <w:rPr/>
            </w:pPr>
            <w:r>
              <w:rPr/>
              <w:t> </w:t>
            </w:r>
          </w:p>
        </w:tc>
        <w:tc>
          <w:tcPr>
            <w:tcW w:w="113" w:type="dxa"/>
            <w:tcBorders/>
            <w:shd w:fill="auto" w:val="clear"/>
            <w:vAlign w:val="center"/>
          </w:tcPr>
          <w:p>
            <w:pPr>
              <w:pStyle w:val="TableContents"/>
              <w:spacing w:before="0" w:after="0"/>
              <w:ind w:left="0" w:right="0" w:firstLine="30"/>
              <w:rPr/>
            </w:pPr>
            <w:r>
              <w:rPr/>
              <w:t> </w:t>
            </w:r>
          </w:p>
        </w:tc>
        <w:tc>
          <w:tcPr>
            <w:tcW w:w="1519" w:type="dxa"/>
            <w:gridSpan w:val="2"/>
            <w:tcBorders/>
            <w:shd w:fill="auto" w:val="clear"/>
            <w:vAlign w:val="center"/>
          </w:tcPr>
          <w:p>
            <w:pPr>
              <w:pStyle w:val="TableContents"/>
              <w:spacing w:before="0" w:after="0"/>
              <w:ind w:left="0" w:right="0" w:firstLine="30"/>
              <w:rPr/>
            </w:pPr>
            <w:r>
              <w:rPr/>
              <w:t> </w:t>
            </w:r>
          </w:p>
        </w:tc>
        <w:tc>
          <w:tcPr>
            <w:tcW w:w="113" w:type="dxa"/>
            <w:tcBorders/>
            <w:shd w:fill="auto" w:val="clear"/>
            <w:vAlign w:val="center"/>
          </w:tcPr>
          <w:p>
            <w:pPr>
              <w:pStyle w:val="TableContents"/>
              <w:spacing w:before="0" w:after="0"/>
              <w:ind w:left="0" w:right="0" w:firstLine="30"/>
              <w:rPr/>
            </w:pPr>
            <w:r>
              <w:rPr/>
              <w:t> </w:t>
            </w:r>
          </w:p>
        </w:tc>
        <w:tc>
          <w:tcPr>
            <w:tcW w:w="1459" w:type="dxa"/>
            <w:gridSpan w:val="2"/>
            <w:tcBorders/>
            <w:shd w:fill="auto" w:val="clear"/>
            <w:vAlign w:val="center"/>
          </w:tcPr>
          <w:p>
            <w:pPr>
              <w:pStyle w:val="TableContents"/>
              <w:spacing w:before="0" w:after="0"/>
              <w:ind w:left="0" w:right="0" w:firstLine="30"/>
              <w:rPr/>
            </w:pPr>
            <w:r>
              <w:rPr/>
              <w:t> </w:t>
            </w:r>
          </w:p>
        </w:tc>
        <w:tc>
          <w:tcPr>
            <w:tcW w:w="113" w:type="dxa"/>
            <w:tcBorders/>
            <w:shd w:fill="auto" w:val="clear"/>
            <w:vAlign w:val="center"/>
          </w:tcPr>
          <w:p>
            <w:pPr>
              <w:pStyle w:val="TableContents"/>
              <w:spacing w:before="0" w:after="0"/>
              <w:ind w:left="0" w:right="0" w:firstLine="30"/>
              <w:rPr/>
            </w:pPr>
            <w:r>
              <w:rPr/>
              <w:t> </w:t>
            </w:r>
          </w:p>
        </w:tc>
        <w:tc>
          <w:tcPr>
            <w:tcW w:w="1025" w:type="dxa"/>
            <w:gridSpan w:val="2"/>
            <w:tcBorders/>
            <w:shd w:fill="auto" w:val="clear"/>
            <w:vAlign w:val="center"/>
          </w:tcPr>
          <w:p>
            <w:pPr>
              <w:pStyle w:val="TableContents"/>
              <w:spacing w:before="0" w:after="0"/>
              <w:ind w:left="0" w:right="0" w:firstLine="30"/>
              <w:rPr/>
            </w:pPr>
            <w:r>
              <w:rPr/>
              <w:t> </w:t>
            </w:r>
          </w:p>
        </w:tc>
      </w:tr>
      <w:tr>
        <w:trPr/>
        <w:tc>
          <w:tcPr>
            <w:tcW w:w="29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As of September 30, 2017</w:t>
            </w:r>
          </w:p>
        </w:tc>
        <w:tc>
          <w:tcPr>
            <w:tcW w:w="591" w:type="dxa"/>
            <w:tcBorders/>
            <w:shd w:fill="auto" w:val="clear"/>
            <w:vAlign w:val="center"/>
          </w:tcPr>
          <w:p>
            <w:pPr>
              <w:pStyle w:val="TableContents"/>
              <w:spacing w:before="0" w:after="0"/>
              <w:jc w:val="right"/>
              <w:rPr>
                <w:rFonts w:ascii="inherit" w:hAnsi="inherit"/>
                <w:sz w:val="17"/>
              </w:rPr>
            </w:pPr>
            <w:r>
              <w:rPr>
                <w:rFonts w:ascii="inherit" w:hAnsi="inherit"/>
                <w:sz w:val="17"/>
              </w:rPr>
              <w:t>513</w:t>
            </w:r>
          </w:p>
        </w:tc>
        <w:tc>
          <w:tcPr>
            <w:tcW w:w="1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auto" w:val="clear"/>
            <w:vAlign w:val="center"/>
          </w:tcPr>
          <w:p>
            <w:pPr>
              <w:pStyle w:val="TableContents"/>
              <w:spacing w:before="0" w:after="0"/>
              <w:ind w:left="0" w:right="0" w:firstLine="30"/>
              <w:rPr/>
            </w:pPr>
            <w:r>
              <w:rPr/>
              <w:t> </w:t>
            </w:r>
          </w:p>
        </w:tc>
        <w:tc>
          <w:tcPr>
            <w:tcW w:w="1393" w:type="dxa"/>
            <w:tcBorders/>
            <w:shd w:fill="auto" w:val="clear"/>
            <w:vAlign w:val="center"/>
          </w:tcPr>
          <w:p>
            <w:pPr>
              <w:pStyle w:val="TableContents"/>
              <w:spacing w:before="0" w:after="0"/>
              <w:jc w:val="right"/>
              <w:rPr>
                <w:rFonts w:ascii="inherit" w:hAnsi="inherit"/>
                <w:sz w:val="17"/>
              </w:rPr>
            </w:pPr>
            <w:r>
              <w:rPr>
                <w:rFonts w:ascii="inherit" w:hAnsi="inherit"/>
                <w:sz w:val="17"/>
              </w:rPr>
              <w:t>246</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auto" w:val="clear"/>
            <w:vAlign w:val="center"/>
          </w:tcPr>
          <w:p>
            <w:pPr>
              <w:pStyle w:val="TableContents"/>
              <w:spacing w:before="0" w:after="0"/>
              <w:ind w:left="0" w:right="0" w:firstLine="30"/>
              <w:rPr/>
            </w:pPr>
            <w:r>
              <w:rPr/>
              <w:t> </w:t>
            </w:r>
          </w:p>
        </w:tc>
        <w:tc>
          <w:tcPr>
            <w:tcW w:w="1308" w:type="dxa"/>
            <w:tcBorders/>
            <w:shd w:fill="auto" w:val="clear"/>
            <w:vAlign w:val="center"/>
          </w:tcPr>
          <w:p>
            <w:pPr>
              <w:pStyle w:val="TableContents"/>
              <w:spacing w:before="0" w:after="0"/>
              <w:jc w:val="right"/>
              <w:rPr>
                <w:rFonts w:ascii="inherit" w:hAnsi="inherit"/>
                <w:sz w:val="17"/>
              </w:rPr>
            </w:pPr>
            <w:r>
              <w:rPr>
                <w:rFonts w:ascii="inherit" w:hAnsi="inherit"/>
                <w:sz w:val="17"/>
              </w:rPr>
              <w:t>27</w:t>
            </w:r>
          </w:p>
        </w:tc>
        <w:tc>
          <w:tcPr>
            <w:tcW w:w="1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auto" w:val="clear"/>
            <w:vAlign w:val="center"/>
          </w:tcPr>
          <w:p>
            <w:pPr>
              <w:pStyle w:val="TableContents"/>
              <w:spacing w:before="0" w:after="0"/>
              <w:ind w:left="0" w:right="0" w:firstLine="30"/>
              <w:rPr/>
            </w:pPr>
            <w:r>
              <w:rPr/>
              <w:t> </w:t>
            </w:r>
          </w:p>
        </w:tc>
        <w:tc>
          <w:tcPr>
            <w:tcW w:w="528" w:type="dxa"/>
            <w:tcBorders/>
            <w:shd w:fill="auto" w:val="clear"/>
            <w:vAlign w:val="center"/>
          </w:tcPr>
          <w:p>
            <w:pPr>
              <w:pStyle w:val="TableContents"/>
              <w:spacing w:before="0" w:after="0"/>
              <w:jc w:val="right"/>
              <w:rPr>
                <w:rFonts w:ascii="inherit" w:hAnsi="inherit"/>
                <w:sz w:val="17"/>
              </w:rPr>
            </w:pPr>
            <w:r>
              <w:rPr>
                <w:rFonts w:ascii="inherit" w:hAnsi="inherit"/>
                <w:sz w:val="17"/>
              </w:rPr>
              <w:t>786</w:t>
            </w:r>
          </w:p>
        </w:tc>
        <w:tc>
          <w:tcPr>
            <w:tcW w:w="497"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29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New locations opened</w:t>
            </w:r>
          </w:p>
        </w:tc>
        <w:tc>
          <w:tcPr>
            <w:tcW w:w="591" w:type="dxa"/>
            <w:tcBorders/>
            <w:shd w:fill="auto" w:val="clear"/>
            <w:vAlign w:val="center"/>
          </w:tcPr>
          <w:p>
            <w:pPr>
              <w:pStyle w:val="TableContents"/>
              <w:spacing w:before="0" w:after="0"/>
              <w:jc w:val="right"/>
              <w:rPr/>
            </w:pPr>
            <w:r>
              <w:rPr/>
              <w:t>—</w:t>
            </w:r>
          </w:p>
        </w:tc>
        <w:tc>
          <w:tcPr>
            <w:tcW w:w="1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auto" w:val="clear"/>
            <w:vAlign w:val="center"/>
          </w:tcPr>
          <w:p>
            <w:pPr>
              <w:pStyle w:val="TableContents"/>
              <w:spacing w:before="0" w:after="0"/>
              <w:ind w:left="0" w:right="0" w:firstLine="30"/>
              <w:rPr/>
            </w:pPr>
            <w:r>
              <w:rPr/>
              <w:t> </w:t>
            </w:r>
          </w:p>
        </w:tc>
        <w:tc>
          <w:tcPr>
            <w:tcW w:w="1393" w:type="dxa"/>
            <w:tcBorders/>
            <w:shd w:fill="auto" w:val="clear"/>
            <w:vAlign w:val="center"/>
          </w:tcPr>
          <w:p>
            <w:pPr>
              <w:pStyle w:val="TableContents"/>
              <w:spacing w:before="0" w:after="0"/>
              <w:jc w:val="right"/>
              <w:rPr>
                <w:rFonts w:ascii="inherit" w:hAnsi="inherit"/>
                <w:sz w:val="17"/>
              </w:rPr>
            </w:pPr>
            <w:r>
              <w:rPr>
                <w:rFonts w:ascii="inherit" w:hAnsi="inherit"/>
                <w:sz w:val="17"/>
              </w:rPr>
              <w:t>8</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auto" w:val="clear"/>
            <w:vAlign w:val="center"/>
          </w:tcPr>
          <w:p>
            <w:pPr>
              <w:pStyle w:val="TableContents"/>
              <w:spacing w:before="0" w:after="0"/>
              <w:ind w:left="0" w:right="0" w:firstLine="30"/>
              <w:rPr/>
            </w:pPr>
            <w:r>
              <w:rPr/>
              <w:t> </w:t>
            </w:r>
          </w:p>
        </w:tc>
        <w:tc>
          <w:tcPr>
            <w:tcW w:w="1308" w:type="dxa"/>
            <w:tcBorders/>
            <w:shd w:fill="auto" w:val="clear"/>
            <w:vAlign w:val="center"/>
          </w:tcPr>
          <w:p>
            <w:pPr>
              <w:pStyle w:val="TableContents"/>
              <w:spacing w:before="0" w:after="0"/>
              <w:jc w:val="right"/>
              <w:rPr/>
            </w:pPr>
            <w:r>
              <w:rPr/>
              <w:t>—</w:t>
            </w:r>
          </w:p>
        </w:tc>
        <w:tc>
          <w:tcPr>
            <w:tcW w:w="1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auto" w:val="clear"/>
            <w:vAlign w:val="center"/>
          </w:tcPr>
          <w:p>
            <w:pPr>
              <w:pStyle w:val="TableContents"/>
              <w:spacing w:before="0" w:after="0"/>
              <w:ind w:left="0" w:right="0" w:firstLine="30"/>
              <w:rPr/>
            </w:pPr>
            <w:r>
              <w:rPr/>
              <w:t> </w:t>
            </w:r>
          </w:p>
        </w:tc>
        <w:tc>
          <w:tcPr>
            <w:tcW w:w="528" w:type="dxa"/>
            <w:tcBorders/>
            <w:shd w:fill="auto" w:val="clear"/>
            <w:vAlign w:val="center"/>
          </w:tcPr>
          <w:p>
            <w:pPr>
              <w:pStyle w:val="TableContents"/>
              <w:spacing w:before="0" w:after="0"/>
              <w:jc w:val="right"/>
              <w:rPr>
                <w:rFonts w:ascii="inherit" w:hAnsi="inherit"/>
                <w:sz w:val="17"/>
              </w:rPr>
            </w:pPr>
            <w:r>
              <w:rPr>
                <w:rFonts w:ascii="inherit" w:hAnsi="inherit"/>
                <w:sz w:val="17"/>
              </w:rPr>
              <w:t>8</w:t>
            </w:r>
          </w:p>
        </w:tc>
        <w:tc>
          <w:tcPr>
            <w:tcW w:w="497"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29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Locations acquired</w:t>
            </w:r>
          </w:p>
        </w:tc>
        <w:tc>
          <w:tcPr>
            <w:tcW w:w="591" w:type="dxa"/>
            <w:tcBorders/>
            <w:shd w:fill="auto" w:val="clear"/>
            <w:vAlign w:val="center"/>
          </w:tcPr>
          <w:p>
            <w:pPr>
              <w:pStyle w:val="TableContents"/>
              <w:spacing w:before="0" w:after="0"/>
              <w:jc w:val="right"/>
              <w:rPr/>
            </w:pPr>
            <w:r>
              <w:rPr/>
              <w:t>—</w:t>
            </w:r>
          </w:p>
        </w:tc>
        <w:tc>
          <w:tcPr>
            <w:tcW w:w="1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auto" w:val="clear"/>
            <w:vAlign w:val="center"/>
          </w:tcPr>
          <w:p>
            <w:pPr>
              <w:pStyle w:val="TableContents"/>
              <w:spacing w:before="0" w:after="0"/>
              <w:ind w:left="0" w:right="0" w:firstLine="30"/>
              <w:rPr/>
            </w:pPr>
            <w:r>
              <w:rPr/>
              <w:t> </w:t>
            </w:r>
          </w:p>
        </w:tc>
        <w:tc>
          <w:tcPr>
            <w:tcW w:w="1393" w:type="dxa"/>
            <w:tcBorders/>
            <w:shd w:fill="auto" w:val="clear"/>
            <w:vAlign w:val="center"/>
          </w:tcPr>
          <w:p>
            <w:pPr>
              <w:pStyle w:val="TableContents"/>
              <w:spacing w:before="0" w:after="0"/>
              <w:jc w:val="right"/>
              <w:rPr>
                <w:rFonts w:ascii="inherit" w:hAnsi="inherit"/>
                <w:sz w:val="17"/>
              </w:rPr>
            </w:pPr>
            <w:r>
              <w:rPr>
                <w:rFonts w:ascii="inherit" w:hAnsi="inherit"/>
                <w:sz w:val="17"/>
              </w:rPr>
              <w:t>133</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auto" w:val="clear"/>
            <w:vAlign w:val="center"/>
          </w:tcPr>
          <w:p>
            <w:pPr>
              <w:pStyle w:val="TableContents"/>
              <w:spacing w:before="0" w:after="0"/>
              <w:ind w:left="0" w:right="0" w:firstLine="30"/>
              <w:rPr/>
            </w:pPr>
            <w:r>
              <w:rPr/>
              <w:t> </w:t>
            </w:r>
          </w:p>
        </w:tc>
        <w:tc>
          <w:tcPr>
            <w:tcW w:w="1308" w:type="dxa"/>
            <w:tcBorders/>
            <w:shd w:fill="auto" w:val="clear"/>
            <w:vAlign w:val="center"/>
          </w:tcPr>
          <w:p>
            <w:pPr>
              <w:pStyle w:val="TableContents"/>
              <w:spacing w:before="0" w:after="0"/>
              <w:jc w:val="right"/>
              <w:rPr/>
            </w:pPr>
            <w:r>
              <w:rPr/>
              <w:t>—</w:t>
            </w:r>
          </w:p>
        </w:tc>
        <w:tc>
          <w:tcPr>
            <w:tcW w:w="1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auto" w:val="clear"/>
            <w:vAlign w:val="center"/>
          </w:tcPr>
          <w:p>
            <w:pPr>
              <w:pStyle w:val="TableContents"/>
              <w:spacing w:before="0" w:after="0"/>
              <w:ind w:left="0" w:right="0" w:firstLine="30"/>
              <w:rPr/>
            </w:pPr>
            <w:r>
              <w:rPr/>
              <w:t> </w:t>
            </w:r>
          </w:p>
        </w:tc>
        <w:tc>
          <w:tcPr>
            <w:tcW w:w="528" w:type="dxa"/>
            <w:tcBorders/>
            <w:shd w:fill="auto" w:val="clear"/>
            <w:vAlign w:val="center"/>
          </w:tcPr>
          <w:p>
            <w:pPr>
              <w:pStyle w:val="TableContents"/>
              <w:spacing w:before="0" w:after="0"/>
              <w:jc w:val="right"/>
              <w:rPr>
                <w:rFonts w:ascii="inherit" w:hAnsi="inherit"/>
                <w:sz w:val="17"/>
              </w:rPr>
            </w:pPr>
            <w:r>
              <w:rPr>
                <w:rFonts w:ascii="inherit" w:hAnsi="inherit"/>
                <w:sz w:val="17"/>
              </w:rPr>
              <w:t>133</w:t>
            </w:r>
          </w:p>
        </w:tc>
        <w:tc>
          <w:tcPr>
            <w:tcW w:w="497"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29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Locations sold, combined or closed</w:t>
            </w:r>
          </w:p>
        </w:tc>
        <w:tc>
          <w:tcPr>
            <w:tcW w:w="591" w:type="dxa"/>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w:t>
            </w:r>
          </w:p>
        </w:tc>
        <w:tc>
          <w:tcPr>
            <w:tcW w:w="193"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3" w:type="dxa"/>
            <w:tcBorders/>
            <w:shd w:fill="auto" w:val="clear"/>
            <w:vAlign w:val="center"/>
          </w:tcPr>
          <w:p>
            <w:pPr>
              <w:pStyle w:val="TableContents"/>
              <w:spacing w:before="0" w:after="0"/>
              <w:ind w:left="0" w:right="0" w:firstLine="30"/>
              <w:rPr/>
            </w:pPr>
            <w:r>
              <w:rPr/>
              <w:t> </w:t>
            </w:r>
          </w:p>
        </w:tc>
        <w:tc>
          <w:tcPr>
            <w:tcW w:w="1393" w:type="dxa"/>
            <w:tcBorders/>
            <w:shd w:fill="auto" w:val="clear"/>
            <w:vAlign w:val="center"/>
          </w:tcPr>
          <w:p>
            <w:pPr>
              <w:pStyle w:val="TableContents"/>
              <w:spacing w:before="0" w:after="0"/>
              <w:jc w:val="right"/>
              <w:rPr/>
            </w:pPr>
            <w:r>
              <w:rPr/>
              <w:t>—</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auto" w:val="clear"/>
            <w:vAlign w:val="center"/>
          </w:tcPr>
          <w:p>
            <w:pPr>
              <w:pStyle w:val="TableContents"/>
              <w:spacing w:before="0" w:after="0"/>
              <w:ind w:left="0" w:right="0" w:firstLine="30"/>
              <w:rPr/>
            </w:pPr>
            <w:r>
              <w:rPr/>
              <w:t> </w:t>
            </w:r>
          </w:p>
        </w:tc>
        <w:tc>
          <w:tcPr>
            <w:tcW w:w="1308" w:type="dxa"/>
            <w:tcBorders/>
            <w:shd w:fill="auto" w:val="clear"/>
            <w:vAlign w:val="center"/>
          </w:tcPr>
          <w:p>
            <w:pPr>
              <w:pStyle w:val="TableContents"/>
              <w:spacing w:before="0" w:after="0"/>
              <w:jc w:val="right"/>
              <w:rPr/>
            </w:pPr>
            <w:r>
              <w:rPr/>
              <w:t>—</w:t>
            </w:r>
          </w:p>
        </w:tc>
        <w:tc>
          <w:tcPr>
            <w:tcW w:w="1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auto" w:val="clear"/>
            <w:vAlign w:val="center"/>
          </w:tcPr>
          <w:p>
            <w:pPr>
              <w:pStyle w:val="TableContents"/>
              <w:spacing w:before="0" w:after="0"/>
              <w:ind w:left="0" w:right="0" w:firstLine="30"/>
              <w:rPr/>
            </w:pPr>
            <w:r>
              <w:rPr/>
              <w:t> </w:t>
            </w:r>
          </w:p>
        </w:tc>
        <w:tc>
          <w:tcPr>
            <w:tcW w:w="528" w:type="dxa"/>
            <w:tcBorders/>
            <w:shd w:fill="auto" w:val="clear"/>
            <w:vAlign w:val="center"/>
          </w:tcPr>
          <w:p>
            <w:pPr>
              <w:pStyle w:val="TableContents"/>
              <w:spacing w:before="0" w:after="0"/>
              <w:jc w:val="right"/>
              <w:rPr>
                <w:rFonts w:ascii="inherit" w:hAnsi="inherit"/>
                <w:sz w:val="17"/>
              </w:rPr>
            </w:pPr>
            <w:r>
              <w:rPr>
                <w:rFonts w:ascii="inherit" w:hAnsi="inherit"/>
                <w:sz w:val="17"/>
              </w:rPr>
              <w:t>(3</w:t>
            </w:r>
          </w:p>
        </w:tc>
        <w:tc>
          <w:tcPr>
            <w:tcW w:w="49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29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As of March 31, 2018</w:t>
            </w:r>
          </w:p>
        </w:tc>
        <w:tc>
          <w:tcPr>
            <w:tcW w:w="59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510</w:t>
            </w:r>
          </w:p>
        </w:tc>
        <w:tc>
          <w:tcPr>
            <w:tcW w:w="193"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auto" w:val="clear"/>
            <w:vAlign w:val="center"/>
          </w:tcPr>
          <w:p>
            <w:pPr>
              <w:pStyle w:val="TableContents"/>
              <w:spacing w:before="0" w:after="0"/>
              <w:ind w:left="0" w:right="0" w:firstLine="30"/>
              <w:rPr/>
            </w:pPr>
            <w:r>
              <w:rPr/>
              <w:t> </w:t>
            </w:r>
          </w:p>
        </w:tc>
        <w:tc>
          <w:tcPr>
            <w:tcW w:w="1393"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387</w:t>
            </w:r>
          </w:p>
        </w:tc>
        <w:tc>
          <w:tcPr>
            <w:tcW w:w="126"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auto" w:val="clear"/>
            <w:vAlign w:val="center"/>
          </w:tcPr>
          <w:p>
            <w:pPr>
              <w:pStyle w:val="TableContents"/>
              <w:spacing w:before="0" w:after="0"/>
              <w:ind w:left="0" w:right="0" w:firstLine="30"/>
              <w:rPr/>
            </w:pPr>
            <w:r>
              <w:rPr/>
              <w:t> </w:t>
            </w:r>
          </w:p>
        </w:tc>
        <w:tc>
          <w:tcPr>
            <w:tcW w:w="1308"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27</w:t>
            </w:r>
          </w:p>
        </w:tc>
        <w:tc>
          <w:tcPr>
            <w:tcW w:w="151"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auto" w:val="clear"/>
            <w:vAlign w:val="center"/>
          </w:tcPr>
          <w:p>
            <w:pPr>
              <w:pStyle w:val="TableContents"/>
              <w:spacing w:before="0" w:after="0"/>
              <w:ind w:left="0" w:right="0" w:firstLine="30"/>
              <w:rPr/>
            </w:pPr>
            <w:r>
              <w:rPr/>
              <w:t> </w:t>
            </w:r>
          </w:p>
        </w:tc>
        <w:tc>
          <w:tcPr>
            <w:tcW w:w="528"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924</w:t>
            </w:r>
          </w:p>
        </w:tc>
        <w:tc>
          <w:tcPr>
            <w:tcW w:w="497"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tbl>
      <w:tblPr>
        <w:tblW w:w="8086" w:type="dxa"/>
        <w:jc w:val="center"/>
        <w:tblInd w:w="0" w:type="dxa"/>
        <w:tblCellMar>
          <w:top w:w="0" w:type="dxa"/>
          <w:left w:w="0" w:type="dxa"/>
          <w:bottom w:w="0" w:type="dxa"/>
          <w:right w:w="0" w:type="dxa"/>
        </w:tblCellMar>
      </w:tblPr>
      <w:tblGrid>
        <w:gridCol w:w="2975"/>
        <w:gridCol w:w="590"/>
        <w:gridCol w:w="194"/>
        <w:gridCol w:w="108"/>
        <w:gridCol w:w="1143"/>
        <w:gridCol w:w="376"/>
        <w:gridCol w:w="108"/>
        <w:gridCol w:w="1308"/>
        <w:gridCol w:w="151"/>
        <w:gridCol w:w="108"/>
        <w:gridCol w:w="528"/>
        <w:gridCol w:w="497"/>
      </w:tblGrid>
      <w:tr>
        <w:trPr/>
        <w:tc>
          <w:tcPr>
            <w:tcW w:w="8086" w:type="dxa"/>
            <w:gridSpan w:val="12"/>
            <w:tcBorders/>
            <w:shd w:fill="auto" w:val="clear"/>
            <w:vAlign w:val="center"/>
          </w:tcPr>
          <w:p>
            <w:pPr>
              <w:pStyle w:val="TableContents"/>
              <w:spacing w:before="0" w:after="283"/>
              <w:rPr>
                <w:sz w:val="4"/>
                <w:szCs w:val="4"/>
              </w:rPr>
            </w:pPr>
            <w:r>
              <w:rPr>
                <w:sz w:val="4"/>
                <w:szCs w:val="4"/>
              </w:rPr>
            </w:r>
          </w:p>
        </w:tc>
      </w:tr>
      <w:tr>
        <w:trPr/>
        <w:tc>
          <w:tcPr>
            <w:tcW w:w="297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08" w:type="dxa"/>
            <w:tcBorders/>
            <w:shd w:fill="auto" w:val="clear"/>
            <w:vAlign w:val="center"/>
          </w:tcPr>
          <w:p>
            <w:pPr>
              <w:pStyle w:val="TableContents"/>
              <w:spacing w:before="0" w:after="283"/>
              <w:rPr>
                <w:sz w:val="4"/>
                <w:szCs w:val="4"/>
              </w:rPr>
            </w:pPr>
            <w:r>
              <w:rPr>
                <w:sz w:val="4"/>
                <w:szCs w:val="4"/>
              </w:rPr>
            </w:r>
          </w:p>
        </w:tc>
        <w:tc>
          <w:tcPr>
            <w:tcW w:w="1143"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08" w:type="dxa"/>
            <w:tcBorders/>
            <w:shd w:fill="auto" w:val="clear"/>
            <w:vAlign w:val="center"/>
          </w:tcPr>
          <w:p>
            <w:pPr>
              <w:pStyle w:val="TableContents"/>
              <w:spacing w:before="0" w:after="283"/>
              <w:rPr>
                <w:sz w:val="4"/>
                <w:szCs w:val="4"/>
              </w:rPr>
            </w:pPr>
            <w:r>
              <w:rPr>
                <w:sz w:val="4"/>
                <w:szCs w:val="4"/>
              </w:rPr>
            </w:r>
          </w:p>
        </w:tc>
        <w:tc>
          <w:tcPr>
            <w:tcW w:w="1308"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8" w:type="dxa"/>
            <w:tcBorders/>
            <w:shd w:fill="auto" w:val="clear"/>
            <w:vAlign w:val="center"/>
          </w:tcPr>
          <w:p>
            <w:pPr>
              <w:pStyle w:val="TableContents"/>
              <w:spacing w:before="0" w:after="283"/>
              <w:rPr>
                <w:sz w:val="4"/>
                <w:szCs w:val="4"/>
              </w:rPr>
            </w:pPr>
            <w:r>
              <w:rPr>
                <w:sz w:val="4"/>
                <w:szCs w:val="4"/>
              </w:rPr>
            </w:r>
          </w:p>
        </w:tc>
        <w:tc>
          <w:tcPr>
            <w:tcW w:w="528" w:type="dxa"/>
            <w:tcBorders/>
            <w:shd w:fill="auto" w:val="clear"/>
            <w:vAlign w:val="center"/>
          </w:tcPr>
          <w:p>
            <w:pPr>
              <w:pStyle w:val="TableContents"/>
              <w:spacing w:before="0" w:after="283"/>
              <w:rPr>
                <w:sz w:val="4"/>
                <w:szCs w:val="4"/>
              </w:rPr>
            </w:pPr>
            <w:r>
              <w:rPr>
                <w:sz w:val="4"/>
                <w:szCs w:val="4"/>
              </w:rPr>
            </w:r>
          </w:p>
        </w:tc>
        <w:tc>
          <w:tcPr>
            <w:tcW w:w="497"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975" w:type="dxa"/>
            <w:tcBorders/>
            <w:shd w:fill="auto" w:val="clear"/>
            <w:vAlign w:val="center"/>
          </w:tcPr>
          <w:p>
            <w:pPr>
              <w:pStyle w:val="TableContents"/>
              <w:spacing w:before="0" w:after="0"/>
              <w:ind w:left="0" w:right="0" w:firstLine="30"/>
              <w:jc w:val="left"/>
              <w:rPr/>
            </w:pPr>
            <w:r>
              <w:rPr/>
              <w:t> </w:t>
            </w:r>
          </w:p>
        </w:tc>
        <w:tc>
          <w:tcPr>
            <w:tcW w:w="5111"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Six Months Ended March 31, 2017</w:t>
            </w:r>
          </w:p>
        </w:tc>
      </w:tr>
      <w:tr>
        <w:trPr/>
        <w:tc>
          <w:tcPr>
            <w:tcW w:w="2975" w:type="dxa"/>
            <w:tcBorders/>
            <w:shd w:fill="auto" w:val="clear"/>
            <w:vAlign w:val="center"/>
          </w:tcPr>
          <w:p>
            <w:pPr>
              <w:pStyle w:val="TableContents"/>
              <w:spacing w:before="0" w:after="0"/>
              <w:ind w:left="0" w:right="0" w:firstLine="30"/>
              <w:jc w:val="left"/>
              <w:rPr/>
            </w:pPr>
            <w:r>
              <w:rPr/>
              <w:t> </w:t>
            </w:r>
          </w:p>
        </w:tc>
        <w:tc>
          <w:tcPr>
            <w:tcW w:w="5111"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Company-owned Stores</w:t>
            </w:r>
          </w:p>
        </w:tc>
      </w:tr>
      <w:tr>
        <w:trPr/>
        <w:tc>
          <w:tcPr>
            <w:tcW w:w="2975" w:type="dxa"/>
            <w:tcBorders/>
            <w:shd w:fill="auto" w:val="clear"/>
            <w:vAlign w:val="center"/>
          </w:tcPr>
          <w:p>
            <w:pPr>
              <w:pStyle w:val="TableContents"/>
              <w:spacing w:before="0" w:after="0"/>
              <w:ind w:left="0" w:right="0" w:firstLine="30"/>
              <w:jc w:val="left"/>
              <w:rPr/>
            </w:pPr>
            <w:r>
              <w:rPr/>
              <w:t> </w:t>
            </w:r>
          </w:p>
        </w:tc>
        <w:tc>
          <w:tcPr>
            <w:tcW w:w="784"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U.S. Pawn</w:t>
            </w:r>
          </w:p>
        </w:tc>
        <w:tc>
          <w:tcPr>
            <w:tcW w:w="108" w:type="dxa"/>
            <w:tcBorders/>
            <w:shd w:fill="auto" w:val="clear"/>
            <w:vAlign w:val="center"/>
          </w:tcPr>
          <w:p>
            <w:pPr>
              <w:pStyle w:val="TableContents"/>
              <w:spacing w:before="0" w:after="0"/>
              <w:ind w:left="0" w:right="0" w:firstLine="30"/>
              <w:rPr/>
            </w:pPr>
            <w:r>
              <w:rPr/>
              <w:t> </w:t>
            </w:r>
          </w:p>
        </w:tc>
        <w:tc>
          <w:tcPr>
            <w:tcW w:w="1519"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Latin America Pawn</w:t>
            </w:r>
          </w:p>
        </w:tc>
        <w:tc>
          <w:tcPr>
            <w:tcW w:w="108" w:type="dxa"/>
            <w:tcBorders/>
            <w:shd w:fill="auto" w:val="clear"/>
            <w:vAlign w:val="center"/>
          </w:tcPr>
          <w:p>
            <w:pPr>
              <w:pStyle w:val="TableContents"/>
              <w:spacing w:before="0" w:after="0"/>
              <w:ind w:left="0" w:right="0" w:firstLine="30"/>
              <w:rPr/>
            </w:pPr>
            <w:r>
              <w:rPr/>
              <w:t> </w:t>
            </w:r>
          </w:p>
        </w:tc>
        <w:tc>
          <w:tcPr>
            <w:tcW w:w="1459"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Other International</w:t>
            </w:r>
          </w:p>
        </w:tc>
        <w:tc>
          <w:tcPr>
            <w:tcW w:w="108" w:type="dxa"/>
            <w:tcBorders/>
            <w:shd w:fill="auto" w:val="clear"/>
            <w:vAlign w:val="center"/>
          </w:tcPr>
          <w:p>
            <w:pPr>
              <w:pStyle w:val="TableContents"/>
              <w:spacing w:before="0" w:after="0"/>
              <w:ind w:left="0" w:right="0" w:firstLine="30"/>
              <w:rPr/>
            </w:pPr>
            <w:r>
              <w:rPr/>
              <w:t> </w:t>
            </w:r>
          </w:p>
        </w:tc>
        <w:tc>
          <w:tcPr>
            <w:tcW w:w="1025"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Consolidated</w:t>
            </w:r>
          </w:p>
        </w:tc>
      </w:tr>
      <w:tr>
        <w:trPr/>
        <w:tc>
          <w:tcPr>
            <w:tcW w:w="2975" w:type="dxa"/>
            <w:tcBorders/>
            <w:shd w:fill="auto" w:val="clear"/>
            <w:vAlign w:val="center"/>
          </w:tcPr>
          <w:p>
            <w:pPr>
              <w:pStyle w:val="TableContents"/>
              <w:spacing w:before="0" w:after="0"/>
              <w:ind w:left="0" w:right="0" w:firstLine="30"/>
              <w:rPr/>
            </w:pPr>
            <w:r>
              <w:rPr/>
              <w:t> </w:t>
            </w:r>
          </w:p>
        </w:tc>
        <w:tc>
          <w:tcPr>
            <w:tcW w:w="784" w:type="dxa"/>
            <w:gridSpan w:val="2"/>
            <w:tcBorders/>
            <w:shd w:fill="auto" w:val="clear"/>
            <w:vAlign w:val="center"/>
          </w:tcPr>
          <w:p>
            <w:pPr>
              <w:pStyle w:val="TableContents"/>
              <w:spacing w:before="0" w:after="0"/>
              <w:ind w:left="0" w:right="0" w:firstLine="30"/>
              <w:rPr/>
            </w:pPr>
            <w:r>
              <w:rPr/>
              <w:t> </w:t>
            </w:r>
          </w:p>
        </w:tc>
        <w:tc>
          <w:tcPr>
            <w:tcW w:w="108" w:type="dxa"/>
            <w:tcBorders/>
            <w:shd w:fill="auto" w:val="clear"/>
            <w:vAlign w:val="center"/>
          </w:tcPr>
          <w:p>
            <w:pPr>
              <w:pStyle w:val="TableContents"/>
              <w:spacing w:before="0" w:after="0"/>
              <w:ind w:left="0" w:right="0" w:firstLine="30"/>
              <w:rPr/>
            </w:pPr>
            <w:r>
              <w:rPr/>
              <w:t> </w:t>
            </w:r>
          </w:p>
        </w:tc>
        <w:tc>
          <w:tcPr>
            <w:tcW w:w="1519" w:type="dxa"/>
            <w:gridSpan w:val="2"/>
            <w:tcBorders/>
            <w:shd w:fill="auto" w:val="clear"/>
            <w:vAlign w:val="center"/>
          </w:tcPr>
          <w:p>
            <w:pPr>
              <w:pStyle w:val="TableContents"/>
              <w:spacing w:before="0" w:after="0"/>
              <w:ind w:left="0" w:right="0" w:firstLine="30"/>
              <w:rPr/>
            </w:pPr>
            <w:r>
              <w:rPr/>
              <w:t> </w:t>
            </w:r>
          </w:p>
        </w:tc>
        <w:tc>
          <w:tcPr>
            <w:tcW w:w="108" w:type="dxa"/>
            <w:tcBorders/>
            <w:shd w:fill="auto" w:val="clear"/>
            <w:vAlign w:val="center"/>
          </w:tcPr>
          <w:p>
            <w:pPr>
              <w:pStyle w:val="TableContents"/>
              <w:spacing w:before="0" w:after="0"/>
              <w:ind w:left="0" w:right="0" w:firstLine="30"/>
              <w:rPr/>
            </w:pPr>
            <w:r>
              <w:rPr/>
              <w:t> </w:t>
            </w:r>
          </w:p>
        </w:tc>
        <w:tc>
          <w:tcPr>
            <w:tcW w:w="1459" w:type="dxa"/>
            <w:gridSpan w:val="2"/>
            <w:tcBorders/>
            <w:shd w:fill="auto" w:val="clear"/>
            <w:vAlign w:val="center"/>
          </w:tcPr>
          <w:p>
            <w:pPr>
              <w:pStyle w:val="TableContents"/>
              <w:spacing w:before="0" w:after="0"/>
              <w:ind w:left="0" w:right="0" w:firstLine="30"/>
              <w:rPr/>
            </w:pPr>
            <w:r>
              <w:rPr/>
              <w:t> </w:t>
            </w:r>
          </w:p>
        </w:tc>
        <w:tc>
          <w:tcPr>
            <w:tcW w:w="108" w:type="dxa"/>
            <w:tcBorders/>
            <w:shd w:fill="auto" w:val="clear"/>
            <w:vAlign w:val="center"/>
          </w:tcPr>
          <w:p>
            <w:pPr>
              <w:pStyle w:val="TableContents"/>
              <w:spacing w:before="0" w:after="0"/>
              <w:ind w:left="0" w:right="0" w:firstLine="30"/>
              <w:rPr/>
            </w:pPr>
            <w:r>
              <w:rPr/>
              <w:t> </w:t>
            </w:r>
          </w:p>
        </w:tc>
        <w:tc>
          <w:tcPr>
            <w:tcW w:w="1025" w:type="dxa"/>
            <w:gridSpan w:val="2"/>
            <w:tcBorders/>
            <w:shd w:fill="auto" w:val="clear"/>
            <w:vAlign w:val="center"/>
          </w:tcPr>
          <w:p>
            <w:pPr>
              <w:pStyle w:val="TableContents"/>
              <w:spacing w:before="0" w:after="0"/>
              <w:ind w:left="0" w:right="0" w:firstLine="30"/>
              <w:rPr/>
            </w:pPr>
            <w:r>
              <w:rPr/>
              <w:t> </w:t>
            </w:r>
          </w:p>
        </w:tc>
      </w:tr>
      <w:tr>
        <w:trPr/>
        <w:tc>
          <w:tcPr>
            <w:tcW w:w="29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As of September 30, 2016</w:t>
            </w:r>
          </w:p>
        </w:tc>
        <w:tc>
          <w:tcPr>
            <w:tcW w:w="590" w:type="dxa"/>
            <w:tcBorders/>
            <w:shd w:fill="auto" w:val="clear"/>
            <w:vAlign w:val="center"/>
          </w:tcPr>
          <w:p>
            <w:pPr>
              <w:pStyle w:val="TableContents"/>
              <w:spacing w:before="0" w:after="0"/>
              <w:jc w:val="right"/>
              <w:rPr>
                <w:rFonts w:ascii="inherit" w:hAnsi="inherit"/>
                <w:sz w:val="17"/>
              </w:rPr>
            </w:pPr>
            <w:r>
              <w:rPr>
                <w:rFonts w:ascii="inherit" w:hAnsi="inherit"/>
                <w:sz w:val="17"/>
              </w:rPr>
              <w:t>520</w:t>
            </w:r>
          </w:p>
        </w:tc>
        <w:tc>
          <w:tcPr>
            <w:tcW w:w="19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8" w:type="dxa"/>
            <w:tcBorders/>
            <w:shd w:fill="auto" w:val="clear"/>
            <w:vAlign w:val="center"/>
          </w:tcPr>
          <w:p>
            <w:pPr>
              <w:pStyle w:val="TableContents"/>
              <w:spacing w:before="0" w:after="0"/>
              <w:ind w:left="0" w:right="0" w:firstLine="30"/>
              <w:rPr/>
            </w:pPr>
            <w:r>
              <w:rPr/>
              <w:t> </w:t>
            </w:r>
          </w:p>
        </w:tc>
        <w:tc>
          <w:tcPr>
            <w:tcW w:w="1143" w:type="dxa"/>
            <w:tcBorders/>
            <w:shd w:fill="auto" w:val="clear"/>
            <w:vAlign w:val="center"/>
          </w:tcPr>
          <w:p>
            <w:pPr>
              <w:pStyle w:val="TableContents"/>
              <w:spacing w:before="0" w:after="0"/>
              <w:jc w:val="right"/>
              <w:rPr>
                <w:rFonts w:ascii="inherit" w:hAnsi="inherit"/>
                <w:sz w:val="17"/>
              </w:rPr>
            </w:pPr>
            <w:r>
              <w:rPr>
                <w:rFonts w:ascii="inherit" w:hAnsi="inherit"/>
                <w:sz w:val="17"/>
              </w:rPr>
              <w:t>239</w:t>
            </w:r>
          </w:p>
        </w:tc>
        <w:tc>
          <w:tcPr>
            <w:tcW w:w="37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8" w:type="dxa"/>
            <w:tcBorders/>
            <w:shd w:fill="auto" w:val="clear"/>
            <w:vAlign w:val="center"/>
          </w:tcPr>
          <w:p>
            <w:pPr>
              <w:pStyle w:val="TableContents"/>
              <w:spacing w:before="0" w:after="0"/>
              <w:ind w:left="0" w:right="0" w:firstLine="30"/>
              <w:rPr/>
            </w:pPr>
            <w:r>
              <w:rPr/>
              <w:t> </w:t>
            </w:r>
          </w:p>
        </w:tc>
        <w:tc>
          <w:tcPr>
            <w:tcW w:w="1308" w:type="dxa"/>
            <w:tcBorders/>
            <w:shd w:fill="auto" w:val="clear"/>
            <w:vAlign w:val="center"/>
          </w:tcPr>
          <w:p>
            <w:pPr>
              <w:pStyle w:val="TableContents"/>
              <w:spacing w:before="0" w:after="0"/>
              <w:jc w:val="right"/>
              <w:rPr>
                <w:rFonts w:ascii="inherit" w:hAnsi="inherit"/>
                <w:sz w:val="17"/>
              </w:rPr>
            </w:pPr>
            <w:r>
              <w:rPr>
                <w:rFonts w:ascii="inherit" w:hAnsi="inherit"/>
                <w:sz w:val="17"/>
              </w:rPr>
              <w:t>27</w:t>
            </w:r>
          </w:p>
        </w:tc>
        <w:tc>
          <w:tcPr>
            <w:tcW w:w="1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8" w:type="dxa"/>
            <w:tcBorders/>
            <w:shd w:fill="auto" w:val="clear"/>
            <w:vAlign w:val="center"/>
          </w:tcPr>
          <w:p>
            <w:pPr>
              <w:pStyle w:val="TableContents"/>
              <w:spacing w:before="0" w:after="0"/>
              <w:ind w:left="0" w:right="0" w:firstLine="30"/>
              <w:rPr/>
            </w:pPr>
            <w:r>
              <w:rPr/>
              <w:t> </w:t>
            </w:r>
          </w:p>
        </w:tc>
        <w:tc>
          <w:tcPr>
            <w:tcW w:w="528" w:type="dxa"/>
            <w:tcBorders/>
            <w:shd w:fill="auto" w:val="clear"/>
            <w:vAlign w:val="center"/>
          </w:tcPr>
          <w:p>
            <w:pPr>
              <w:pStyle w:val="TableContents"/>
              <w:spacing w:before="0" w:after="0"/>
              <w:jc w:val="right"/>
              <w:rPr>
                <w:rFonts w:ascii="inherit" w:hAnsi="inherit"/>
                <w:sz w:val="17"/>
              </w:rPr>
            </w:pPr>
            <w:r>
              <w:rPr>
                <w:rFonts w:ascii="inherit" w:hAnsi="inherit"/>
                <w:sz w:val="17"/>
              </w:rPr>
              <w:t>786</w:t>
            </w:r>
          </w:p>
        </w:tc>
        <w:tc>
          <w:tcPr>
            <w:tcW w:w="497"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29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New locations opened</w:t>
            </w:r>
          </w:p>
        </w:tc>
        <w:tc>
          <w:tcPr>
            <w:tcW w:w="590" w:type="dxa"/>
            <w:tcBorders/>
            <w:shd w:fill="auto" w:val="clear"/>
            <w:vAlign w:val="center"/>
          </w:tcPr>
          <w:p>
            <w:pPr>
              <w:pStyle w:val="TableContents"/>
              <w:spacing w:before="0" w:after="0"/>
              <w:jc w:val="right"/>
              <w:rPr/>
            </w:pPr>
            <w:r>
              <w:rPr/>
              <w:t>—</w:t>
            </w:r>
          </w:p>
        </w:tc>
        <w:tc>
          <w:tcPr>
            <w:tcW w:w="19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8" w:type="dxa"/>
            <w:tcBorders/>
            <w:shd w:fill="auto" w:val="clear"/>
            <w:vAlign w:val="center"/>
          </w:tcPr>
          <w:p>
            <w:pPr>
              <w:pStyle w:val="TableContents"/>
              <w:spacing w:before="0" w:after="0"/>
              <w:ind w:left="0" w:right="0" w:firstLine="30"/>
              <w:rPr/>
            </w:pPr>
            <w:r>
              <w:rPr/>
              <w:t> </w:t>
            </w:r>
          </w:p>
        </w:tc>
        <w:tc>
          <w:tcPr>
            <w:tcW w:w="1143" w:type="dxa"/>
            <w:tcBorders/>
            <w:shd w:fill="auto" w:val="clear"/>
            <w:vAlign w:val="center"/>
          </w:tcPr>
          <w:p>
            <w:pPr>
              <w:pStyle w:val="TableContents"/>
              <w:spacing w:before="0" w:after="0"/>
              <w:jc w:val="right"/>
              <w:rPr>
                <w:rFonts w:ascii="inherit" w:hAnsi="inherit"/>
                <w:sz w:val="17"/>
              </w:rPr>
            </w:pPr>
            <w:r>
              <w:rPr>
                <w:rFonts w:ascii="inherit" w:hAnsi="inherit"/>
                <w:sz w:val="17"/>
              </w:rPr>
              <w:t>2</w:t>
            </w:r>
          </w:p>
        </w:tc>
        <w:tc>
          <w:tcPr>
            <w:tcW w:w="37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8" w:type="dxa"/>
            <w:tcBorders/>
            <w:shd w:fill="auto" w:val="clear"/>
            <w:vAlign w:val="center"/>
          </w:tcPr>
          <w:p>
            <w:pPr>
              <w:pStyle w:val="TableContents"/>
              <w:spacing w:before="0" w:after="0"/>
              <w:ind w:left="0" w:right="0" w:firstLine="30"/>
              <w:rPr/>
            </w:pPr>
            <w:r>
              <w:rPr/>
              <w:t> </w:t>
            </w:r>
          </w:p>
        </w:tc>
        <w:tc>
          <w:tcPr>
            <w:tcW w:w="1308" w:type="dxa"/>
            <w:tcBorders/>
            <w:shd w:fill="auto" w:val="clear"/>
            <w:vAlign w:val="center"/>
          </w:tcPr>
          <w:p>
            <w:pPr>
              <w:pStyle w:val="TableContents"/>
              <w:spacing w:before="0" w:after="0"/>
              <w:jc w:val="right"/>
              <w:rPr/>
            </w:pPr>
            <w:r>
              <w:rPr/>
              <w:t>—</w:t>
            </w:r>
          </w:p>
        </w:tc>
        <w:tc>
          <w:tcPr>
            <w:tcW w:w="1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8" w:type="dxa"/>
            <w:tcBorders/>
            <w:shd w:fill="auto" w:val="clear"/>
            <w:vAlign w:val="center"/>
          </w:tcPr>
          <w:p>
            <w:pPr>
              <w:pStyle w:val="TableContents"/>
              <w:spacing w:before="0" w:after="0"/>
              <w:ind w:left="0" w:right="0" w:firstLine="30"/>
              <w:rPr/>
            </w:pPr>
            <w:r>
              <w:rPr/>
              <w:t> </w:t>
            </w:r>
          </w:p>
        </w:tc>
        <w:tc>
          <w:tcPr>
            <w:tcW w:w="528" w:type="dxa"/>
            <w:tcBorders/>
            <w:shd w:fill="auto" w:val="clear"/>
            <w:vAlign w:val="center"/>
          </w:tcPr>
          <w:p>
            <w:pPr>
              <w:pStyle w:val="TableContents"/>
              <w:spacing w:before="0" w:after="0"/>
              <w:jc w:val="right"/>
              <w:rPr>
                <w:rFonts w:ascii="inherit" w:hAnsi="inherit"/>
                <w:sz w:val="17"/>
              </w:rPr>
            </w:pPr>
            <w:r>
              <w:rPr>
                <w:rFonts w:ascii="inherit" w:hAnsi="inherit"/>
                <w:sz w:val="17"/>
              </w:rPr>
              <w:t>2</w:t>
            </w:r>
          </w:p>
        </w:tc>
        <w:tc>
          <w:tcPr>
            <w:tcW w:w="497"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29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Locations sold, combined or closed</w:t>
            </w:r>
          </w:p>
        </w:tc>
        <w:tc>
          <w:tcPr>
            <w:tcW w:w="590" w:type="dxa"/>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w:t>
            </w:r>
          </w:p>
        </w:tc>
        <w:tc>
          <w:tcPr>
            <w:tcW w:w="194"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08" w:type="dxa"/>
            <w:tcBorders/>
            <w:shd w:fill="auto" w:val="clear"/>
            <w:vAlign w:val="center"/>
          </w:tcPr>
          <w:p>
            <w:pPr>
              <w:pStyle w:val="TableContents"/>
              <w:spacing w:before="0" w:after="0"/>
              <w:ind w:left="0" w:right="0" w:firstLine="30"/>
              <w:rPr/>
            </w:pPr>
            <w:r>
              <w:rPr/>
              <w:t> </w:t>
            </w:r>
          </w:p>
        </w:tc>
        <w:tc>
          <w:tcPr>
            <w:tcW w:w="1143" w:type="dxa"/>
            <w:tcBorders/>
            <w:shd w:fill="auto" w:val="clear"/>
            <w:vAlign w:val="center"/>
          </w:tcPr>
          <w:p>
            <w:pPr>
              <w:pStyle w:val="TableContents"/>
              <w:spacing w:before="0" w:after="0"/>
              <w:jc w:val="right"/>
              <w:rPr>
                <w:rFonts w:ascii="inherit" w:hAnsi="inherit"/>
                <w:sz w:val="17"/>
              </w:rPr>
            </w:pPr>
            <w:r>
              <w:rPr>
                <w:rFonts w:ascii="inherit" w:hAnsi="inherit"/>
                <w:sz w:val="17"/>
              </w:rPr>
              <w:t>(1</w:t>
            </w:r>
          </w:p>
        </w:tc>
        <w:tc>
          <w:tcPr>
            <w:tcW w:w="37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08" w:type="dxa"/>
            <w:tcBorders/>
            <w:shd w:fill="auto" w:val="clear"/>
            <w:vAlign w:val="center"/>
          </w:tcPr>
          <w:p>
            <w:pPr>
              <w:pStyle w:val="TableContents"/>
              <w:spacing w:before="0" w:after="0"/>
              <w:ind w:left="0" w:right="0" w:firstLine="30"/>
              <w:rPr/>
            </w:pPr>
            <w:r>
              <w:rPr/>
              <w:t> </w:t>
            </w:r>
          </w:p>
        </w:tc>
        <w:tc>
          <w:tcPr>
            <w:tcW w:w="1308" w:type="dxa"/>
            <w:tcBorders/>
            <w:shd w:fill="auto" w:val="clear"/>
            <w:vAlign w:val="center"/>
          </w:tcPr>
          <w:p>
            <w:pPr>
              <w:pStyle w:val="TableContents"/>
              <w:spacing w:before="0" w:after="0"/>
              <w:jc w:val="right"/>
              <w:rPr/>
            </w:pPr>
            <w:r>
              <w:rPr/>
              <w:t>—</w:t>
            </w:r>
          </w:p>
        </w:tc>
        <w:tc>
          <w:tcPr>
            <w:tcW w:w="1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8" w:type="dxa"/>
            <w:tcBorders/>
            <w:shd w:fill="auto" w:val="clear"/>
            <w:vAlign w:val="center"/>
          </w:tcPr>
          <w:p>
            <w:pPr>
              <w:pStyle w:val="TableContents"/>
              <w:spacing w:before="0" w:after="0"/>
              <w:ind w:left="0" w:right="0" w:firstLine="30"/>
              <w:rPr/>
            </w:pPr>
            <w:r>
              <w:rPr/>
              <w:t> </w:t>
            </w:r>
          </w:p>
        </w:tc>
        <w:tc>
          <w:tcPr>
            <w:tcW w:w="528" w:type="dxa"/>
            <w:tcBorders/>
            <w:shd w:fill="auto" w:val="clear"/>
            <w:vAlign w:val="center"/>
          </w:tcPr>
          <w:p>
            <w:pPr>
              <w:pStyle w:val="TableContents"/>
              <w:spacing w:before="0" w:after="0"/>
              <w:jc w:val="right"/>
              <w:rPr>
                <w:rFonts w:ascii="inherit" w:hAnsi="inherit"/>
                <w:sz w:val="17"/>
              </w:rPr>
            </w:pPr>
            <w:r>
              <w:rPr>
                <w:rFonts w:ascii="inherit" w:hAnsi="inherit"/>
                <w:sz w:val="17"/>
              </w:rPr>
              <w:t>(4</w:t>
            </w:r>
          </w:p>
        </w:tc>
        <w:tc>
          <w:tcPr>
            <w:tcW w:w="49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29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As of March 31, 2017</w:t>
            </w:r>
          </w:p>
        </w:tc>
        <w:tc>
          <w:tcPr>
            <w:tcW w:w="59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517</w:t>
            </w:r>
          </w:p>
        </w:tc>
        <w:tc>
          <w:tcPr>
            <w:tcW w:w="194"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8" w:type="dxa"/>
            <w:tcBorders/>
            <w:shd w:fill="auto" w:val="clear"/>
            <w:vAlign w:val="center"/>
          </w:tcPr>
          <w:p>
            <w:pPr>
              <w:pStyle w:val="TableContents"/>
              <w:spacing w:before="0" w:after="0"/>
              <w:ind w:left="0" w:right="0" w:firstLine="30"/>
              <w:rPr/>
            </w:pPr>
            <w:r>
              <w:rPr/>
              <w:t> </w:t>
            </w:r>
          </w:p>
        </w:tc>
        <w:tc>
          <w:tcPr>
            <w:tcW w:w="1143"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240</w:t>
            </w:r>
          </w:p>
        </w:tc>
        <w:tc>
          <w:tcPr>
            <w:tcW w:w="376"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8" w:type="dxa"/>
            <w:tcBorders/>
            <w:shd w:fill="auto" w:val="clear"/>
            <w:vAlign w:val="center"/>
          </w:tcPr>
          <w:p>
            <w:pPr>
              <w:pStyle w:val="TableContents"/>
              <w:spacing w:before="0" w:after="0"/>
              <w:ind w:left="0" w:right="0" w:firstLine="30"/>
              <w:rPr/>
            </w:pPr>
            <w:r>
              <w:rPr/>
              <w:t> </w:t>
            </w:r>
          </w:p>
        </w:tc>
        <w:tc>
          <w:tcPr>
            <w:tcW w:w="1308"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27</w:t>
            </w:r>
          </w:p>
        </w:tc>
        <w:tc>
          <w:tcPr>
            <w:tcW w:w="151"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8" w:type="dxa"/>
            <w:tcBorders/>
            <w:shd w:fill="auto" w:val="clear"/>
            <w:vAlign w:val="center"/>
          </w:tcPr>
          <w:p>
            <w:pPr>
              <w:pStyle w:val="TableContents"/>
              <w:spacing w:before="0" w:after="0"/>
              <w:ind w:left="0" w:right="0" w:firstLine="30"/>
              <w:rPr/>
            </w:pPr>
            <w:r>
              <w:rPr/>
              <w:t> </w:t>
            </w:r>
          </w:p>
        </w:tc>
        <w:tc>
          <w:tcPr>
            <w:tcW w:w="528"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784</w:t>
            </w:r>
          </w:p>
        </w:tc>
        <w:tc>
          <w:tcPr>
            <w:tcW w:w="497"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rFonts w:ascii="inherit" w:hAnsi="inherit"/>
          <w:b/>
          <w:i/>
          <w:sz w:val="17"/>
        </w:rPr>
      </w:pPr>
      <w:bookmarkStart w:id="44" w:name="s935b05bb964f4bf983d73271266673d1"/>
      <w:bookmarkEnd w:id="44"/>
      <w:r>
        <w:rPr>
          <w:rFonts w:ascii="inherit" w:hAnsi="inherit"/>
          <w:b/>
          <w:i/>
          <w:sz w:val="17"/>
        </w:rPr>
        <w:t>Non-GAAP Financial Information (Unaudited)</w:t>
      </w:r>
    </w:p>
    <w:p>
      <w:pPr>
        <w:pStyle w:val="TextBody"/>
        <w:spacing w:lineRule="auto" w:line="288" w:before="0" w:after="0"/>
        <w:jc w:val="left"/>
        <w:rPr>
          <w:sz w:val="17"/>
        </w:rPr>
      </w:pPr>
      <w:r>
        <w:rPr>
          <w:rFonts w:ascii="inherit" w:hAnsi="inherit"/>
          <w:sz w:val="17"/>
        </w:rPr>
        <w:t>In addition to the financial information prepared in conformity with generally accepted accounting principles in the United States of America ("GAAP"), we provide certain other non-GAAP financial information on a constant currency basis ("constant currency") and on an adjusted basis. We use constant currency results to evaluate our Latin America Pawn operations, which are denominated primarily in Mexican pesos and other Latin American currencies. As GPMX was not acquired until fiscal 2018, such results included on a constant currency basis reflect the actual exchange rates in effect during the three and six</w:t>
      </w:r>
      <w:r>
        <w:rPr>
          <w:sz w:val="17"/>
        </w:rPr>
        <w:t xml:space="preserve"> </w:t>
      </w:r>
      <w:r>
        <w:rPr>
          <w:rFonts w:ascii="inherit" w:hAnsi="inherit"/>
          <w:sz w:val="17"/>
        </w:rPr>
        <w:t>months ended March 31, 2018</w:t>
      </w:r>
      <w:r>
        <w:rPr>
          <w:sz w:val="17"/>
        </w:rPr>
        <w:t xml:space="preserve"> </w:t>
      </w:r>
      <w:r>
        <w:rPr>
          <w:rFonts w:ascii="inherit" w:hAnsi="inherit"/>
          <w:sz w:val="17"/>
        </w:rPr>
        <w:t xml:space="preserve">without adjustment. We believe that presentation of constant currency results is meaningful and useful in understanding the activities and business metrics of our Latin America Pawn operations and reflect an additional way of viewing aspects of our business that, when viewed with GAAP results, provide a more complete understanding of factors and trends affecting our business. We believe that presentation of results on an adjusted basis is meaningful and useful in understanding the activities and business metrics of our operations and reflect an additional way of viewing aspects of our business that, when viewed with GAAP results, provide a more complete understanding of factors and trends affecting our business. We provide non-GAAP financial information for informational purposes and to enhance understanding of our GAAP consolidated financial statements. We use this non-GAAP financial information to evaluate and compare operating results </w:t>
      </w:r>
    </w:p>
    <w:p>
      <w:pPr>
        <w:pStyle w:val="TextBody"/>
        <w:rPr/>
      </w:pPr>
      <w:r>
        <w:rPr/>
      </w:r>
      <w:r>
        <w:br w:type="page"/>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left"/>
        <w:rPr>
          <w:rFonts w:ascii="inherit" w:hAnsi="inherit"/>
          <w:sz w:val="17"/>
        </w:rPr>
      </w:pPr>
      <w:r>
        <w:rPr>
          <w:rFonts w:ascii="inherit" w:hAnsi="inherit"/>
          <w:sz w:val="17"/>
        </w:rPr>
        <w:t>across accounting periods. Readers should consider the information in addition to, but not instead of or superior to, our financial statements prepared in accordance with GAAP. This non-GAAP financial information may be determined or calculated differently by other companies, limiting the usefulness of those measures for comparative purposes.</w:t>
      </w:r>
    </w:p>
    <w:p>
      <w:pPr>
        <w:pStyle w:val="TextBody"/>
        <w:spacing w:lineRule="auto" w:line="288" w:before="0" w:after="0"/>
        <w:jc w:val="left"/>
        <w:rPr>
          <w:sz w:val="17"/>
        </w:rPr>
      </w:pPr>
      <w:r>
        <w:rPr>
          <w:rFonts w:ascii="inherit" w:hAnsi="inherit"/>
          <w:sz w:val="17"/>
        </w:rPr>
        <w:t>Constant currency results reported herein are calculated by translating consolidated balance sheet and consolidated statement of operations items denominated in Mexican pesos to U.S. dollars using the exchange rate from the prior-year comparable period, as opposed to the current period, in order to exclude the effects of foreign currency rate fluctuations. We used the end-of-period rate for balance sheet items and the average closing daily exchange rate on a monthly basis during the appropriate period for statement of operations items. The end-of-period Mexican peso to U.S. dollar exchange rate as of March 31, 2018</w:t>
      </w:r>
      <w:r>
        <w:rPr>
          <w:sz w:val="17"/>
        </w:rPr>
        <w:t xml:space="preserve"> </w:t>
      </w:r>
      <w:r>
        <w:rPr>
          <w:rFonts w:ascii="inherit" w:hAnsi="inherit"/>
          <w:sz w:val="17"/>
        </w:rPr>
        <w:t>and 2017</w:t>
      </w:r>
      <w:r>
        <w:rPr>
          <w:sz w:val="17"/>
        </w:rPr>
        <w:t> </w:t>
      </w:r>
      <w:r>
        <w:rPr>
          <w:rFonts w:ascii="inherit" w:hAnsi="inherit"/>
          <w:sz w:val="17"/>
        </w:rPr>
        <w:t>was 18.3</w:t>
      </w:r>
      <w:r>
        <w:rPr>
          <w:sz w:val="17"/>
        </w:rPr>
        <w:t xml:space="preserve"> </w:t>
      </w:r>
      <w:r>
        <w:rPr>
          <w:rFonts w:ascii="inherit" w:hAnsi="inherit"/>
          <w:sz w:val="17"/>
        </w:rPr>
        <w:t>to 1 and 18.7</w:t>
      </w:r>
      <w:r>
        <w:rPr>
          <w:sz w:val="17"/>
        </w:rPr>
        <w:t> </w:t>
      </w:r>
      <w:r>
        <w:rPr>
          <w:rFonts w:ascii="inherit" w:hAnsi="inherit"/>
          <w:sz w:val="17"/>
        </w:rPr>
        <w:t>to 1, respectively. The approximate average Mexican peso to U.S. dollar exchange rate for the three months ended March 31, 2018</w:t>
      </w:r>
      <w:r>
        <w:rPr>
          <w:sz w:val="17"/>
        </w:rPr>
        <w:t xml:space="preserve"> </w:t>
      </w:r>
      <w:r>
        <w:rPr>
          <w:rFonts w:ascii="inherit" w:hAnsi="inherit"/>
          <w:sz w:val="17"/>
        </w:rPr>
        <w:t>and 2017</w:t>
      </w:r>
      <w:r>
        <w:rPr>
          <w:sz w:val="17"/>
        </w:rPr>
        <w:t> </w:t>
      </w:r>
      <w:r>
        <w:rPr>
          <w:rFonts w:ascii="inherit" w:hAnsi="inherit"/>
          <w:sz w:val="17"/>
        </w:rPr>
        <w:t>was 18.7</w:t>
      </w:r>
      <w:r>
        <w:rPr>
          <w:sz w:val="17"/>
        </w:rPr>
        <w:t> </w:t>
      </w:r>
      <w:r>
        <w:rPr>
          <w:rFonts w:ascii="inherit" w:hAnsi="inherit"/>
          <w:sz w:val="17"/>
        </w:rPr>
        <w:t>to 1 and 20.4</w:t>
      </w:r>
      <w:r>
        <w:rPr>
          <w:sz w:val="17"/>
        </w:rPr>
        <w:t> </w:t>
      </w:r>
      <w:r>
        <w:rPr>
          <w:rFonts w:ascii="inherit" w:hAnsi="inherit"/>
          <w:sz w:val="17"/>
        </w:rPr>
        <w:t>to 1, respectively. The approximate average Mexican peso to U.S. dollar exchange rate for the six months ended March 31, 2018</w:t>
      </w:r>
      <w:r>
        <w:rPr>
          <w:sz w:val="17"/>
        </w:rPr>
        <w:t xml:space="preserve"> </w:t>
      </w:r>
      <w:r>
        <w:rPr>
          <w:rFonts w:ascii="inherit" w:hAnsi="inherit"/>
          <w:sz w:val="17"/>
        </w:rPr>
        <w:t>and 2017</w:t>
      </w:r>
      <w:r>
        <w:rPr>
          <w:sz w:val="17"/>
        </w:rPr>
        <w:t> </w:t>
      </w:r>
      <w:r>
        <w:rPr>
          <w:rFonts w:ascii="inherit" w:hAnsi="inherit"/>
          <w:sz w:val="17"/>
        </w:rPr>
        <w:t>was 18.8</w:t>
      </w:r>
      <w:r>
        <w:rPr>
          <w:sz w:val="17"/>
        </w:rPr>
        <w:t> </w:t>
      </w:r>
      <w:r>
        <w:rPr>
          <w:rFonts w:ascii="inherit" w:hAnsi="inherit"/>
          <w:sz w:val="17"/>
        </w:rPr>
        <w:t>to 1 and 20.1</w:t>
      </w:r>
      <w:r>
        <w:rPr>
          <w:sz w:val="17"/>
        </w:rPr>
        <w:t> </w:t>
      </w:r>
      <w:r>
        <w:rPr>
          <w:rFonts w:ascii="inherit" w:hAnsi="inherit"/>
          <w:sz w:val="17"/>
        </w:rPr>
        <w:t>to 1, respectively.</w:t>
      </w:r>
    </w:p>
    <w:p>
      <w:pPr>
        <w:pStyle w:val="TextBody"/>
        <w:spacing w:lineRule="auto" w:line="288" w:before="0" w:after="0"/>
        <w:jc w:val="left"/>
        <w:rPr>
          <w:rFonts w:ascii="inherit" w:hAnsi="inherit"/>
          <w:sz w:val="17"/>
        </w:rPr>
      </w:pPr>
      <w:r>
        <w:rPr>
          <w:rFonts w:ascii="inherit" w:hAnsi="inherit"/>
          <w:sz w:val="17"/>
        </w:rPr>
        <w:t>Our statement of operations constant currency results reflect the monthly exchange rate fluctuations and so are not directly calculable from the above rates. Constant currency results, where presented, also exclude the foreign currency gain or loss. We have experienced a prolonged weakening of the Mexican peso to the U.S. dollar and may continue to experience further weakening in future reporting periods, which may adversely impact our future operating results when stated on a GAAP basis.</w:t>
      </w:r>
    </w:p>
    <w:p>
      <w:pPr>
        <w:pStyle w:val="TextBody"/>
        <w:spacing w:lineRule="auto" w:line="288" w:before="0" w:after="0"/>
        <w:jc w:val="left"/>
        <w:rPr>
          <w:sz w:val="17"/>
        </w:rPr>
      </w:pPr>
      <w:r>
        <w:rPr>
          <w:rFonts w:ascii="inherit" w:hAnsi="inherit"/>
          <w:sz w:val="17"/>
        </w:rPr>
        <w:t>The following information provides reconciliations of certain non-GAAP financial measures presented in this press release to the most directly comparable financial measures calculated and presented in accordance with GAAP as of and for the three and six</w:t>
      </w:r>
      <w:r>
        <w:rPr>
          <w:sz w:val="17"/>
        </w:rPr>
        <w:t xml:space="preserve"> </w:t>
      </w:r>
      <w:r>
        <w:rPr>
          <w:rFonts w:ascii="inherit" w:hAnsi="inherit"/>
          <w:sz w:val="17"/>
        </w:rPr>
        <w:t>months ended March 31, 2018.</w:t>
      </w:r>
    </w:p>
    <w:p>
      <w:pPr>
        <w:pStyle w:val="TextBody"/>
        <w:rPr/>
      </w:pPr>
      <w:r>
        <w:rPr/>
      </w:r>
      <w:r>
        <w:br w:type="page"/>
      </w:r>
    </w:p>
    <w:p>
      <w:pPr>
        <w:pStyle w:val="TextBody"/>
        <w:spacing w:lineRule="auto" w:line="288" w:before="0" w:after="0"/>
        <w:rPr>
          <w:rFonts w:ascii="inherit" w:hAnsi="inherit"/>
          <w:sz w:val="17"/>
        </w:rPr>
      </w:pPr>
      <w:r>
        <w:rPr>
          <w:rFonts w:ascii="inherit" w:hAnsi="inherit"/>
          <w:sz w:val="17"/>
        </w:rPr>
      </w:r>
      <w:bookmarkStart w:id="45" w:name="s3BAA2AD3005F58888C54159904CA6590"/>
      <w:bookmarkStart w:id="46" w:name="s3BAA2AD3005F58888C54159904CA6590"/>
      <w:bookmarkEnd w:id="46"/>
    </w:p>
    <w:p>
      <w:pPr>
        <w:pStyle w:val="TextBody"/>
        <w:spacing w:before="0" w:after="0"/>
        <w:rPr/>
      </w:pPr>
      <w:r>
        <w:rPr/>
      </w:r>
    </w:p>
    <w:p>
      <w:pPr>
        <w:pStyle w:val="TextBody"/>
        <w:spacing w:lineRule="auto" w:line="288" w:before="0" w:after="0"/>
        <w:jc w:val="left"/>
        <w:rPr>
          <w:rFonts w:ascii="inherit" w:hAnsi="inherit"/>
          <w:b/>
          <w:i/>
          <w:sz w:val="17"/>
        </w:rPr>
      </w:pPr>
      <w:r>
        <w:rPr>
          <w:rFonts w:ascii="inherit" w:hAnsi="inherit"/>
          <w:b/>
          <w:i/>
          <w:sz w:val="17"/>
        </w:rPr>
        <w:t>Miscellaneous Non-GAAP Financial Measures</w:t>
      </w:r>
    </w:p>
    <w:tbl>
      <w:tblPr>
        <w:tblW w:w="7573" w:type="dxa"/>
        <w:jc w:val="left"/>
        <w:tblInd w:w="0" w:type="dxa"/>
        <w:tblCellMar>
          <w:top w:w="0" w:type="dxa"/>
          <w:left w:w="0" w:type="dxa"/>
          <w:bottom w:w="0" w:type="dxa"/>
          <w:right w:w="0" w:type="dxa"/>
        </w:tblCellMar>
      </w:tblPr>
      <w:tblGrid>
        <w:gridCol w:w="4550"/>
        <w:gridCol w:w="227"/>
        <w:gridCol w:w="692"/>
        <w:gridCol w:w="227"/>
        <w:gridCol w:w="186"/>
        <w:gridCol w:w="227"/>
        <w:gridCol w:w="692"/>
        <w:gridCol w:w="62"/>
        <w:gridCol w:w="90"/>
        <w:gridCol w:w="245"/>
        <w:gridCol w:w="375"/>
      </w:tblGrid>
      <w:tr>
        <w:trPr/>
        <w:tc>
          <w:tcPr>
            <w:tcW w:w="7573" w:type="dxa"/>
            <w:gridSpan w:val="11"/>
            <w:tcBorders/>
            <w:shd w:fill="auto" w:val="clear"/>
            <w:vAlign w:val="center"/>
          </w:tcPr>
          <w:p>
            <w:pPr>
              <w:pStyle w:val="TableContents"/>
              <w:spacing w:before="0" w:after="283"/>
              <w:rPr>
                <w:sz w:val="4"/>
                <w:szCs w:val="4"/>
              </w:rPr>
            </w:pPr>
            <w:r>
              <w:rPr>
                <w:sz w:val="4"/>
                <w:szCs w:val="4"/>
              </w:rPr>
            </w:r>
          </w:p>
        </w:tc>
      </w:tr>
      <w:tr>
        <w:trPr/>
        <w:tc>
          <w:tcPr>
            <w:tcW w:w="4550"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692"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692"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550" w:type="dxa"/>
            <w:tcBorders/>
            <w:shd w:fill="auto" w:val="clear"/>
            <w:vAlign w:val="center"/>
          </w:tcPr>
          <w:p>
            <w:pPr>
              <w:pStyle w:val="TableContents"/>
              <w:spacing w:before="0" w:after="0"/>
              <w:ind w:left="0" w:right="0" w:firstLine="30"/>
              <w:jc w:val="left"/>
              <w:rPr/>
            </w:pPr>
            <w:r>
              <w:rPr/>
              <w:t> </w:t>
            </w:r>
          </w:p>
        </w:tc>
        <w:tc>
          <w:tcPr>
            <w:tcW w:w="2313"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 March 31,</w:t>
            </w:r>
          </w:p>
        </w:tc>
        <w:tc>
          <w:tcPr>
            <w:tcW w:w="90" w:type="dxa"/>
            <w:tcBorders/>
            <w:shd w:fill="auto" w:val="clear"/>
            <w:vAlign w:val="center"/>
          </w:tcPr>
          <w:p>
            <w:pPr>
              <w:pStyle w:val="TableContents"/>
              <w:spacing w:before="0" w:after="0"/>
              <w:ind w:left="0" w:right="0" w:firstLine="30"/>
              <w:rPr/>
            </w:pPr>
            <w:r>
              <w:rPr/>
              <w:t> </w:t>
            </w:r>
          </w:p>
        </w:tc>
        <w:tc>
          <w:tcPr>
            <w:tcW w:w="620" w:type="dxa"/>
            <w:gridSpan w:val="2"/>
            <w:vMerge w:val="restart"/>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Change</w:t>
            </w:r>
          </w:p>
        </w:tc>
      </w:tr>
      <w:tr>
        <w:trPr/>
        <w:tc>
          <w:tcPr>
            <w:tcW w:w="4550" w:type="dxa"/>
            <w:tcBorders/>
            <w:shd w:fill="auto" w:val="clear"/>
            <w:vAlign w:val="center"/>
          </w:tcPr>
          <w:p>
            <w:pPr>
              <w:pStyle w:val="TableContents"/>
              <w:spacing w:before="0" w:after="0"/>
              <w:ind w:left="0" w:right="0" w:firstLine="30"/>
              <w:rPr/>
            </w:pPr>
            <w:r>
              <w:rPr/>
              <w:t> </w:t>
            </w:r>
          </w:p>
        </w:tc>
        <w:tc>
          <w:tcPr>
            <w:tcW w:w="1146"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w:t>
            </w:r>
          </w:p>
        </w:tc>
        <w:tc>
          <w:tcPr>
            <w:tcW w:w="186" w:type="dxa"/>
            <w:tcBorders/>
            <w:shd w:fill="auto" w:val="clear"/>
            <w:vAlign w:val="center"/>
          </w:tcPr>
          <w:p>
            <w:pPr>
              <w:pStyle w:val="TableContents"/>
              <w:spacing w:before="0" w:after="0"/>
              <w:ind w:left="0" w:right="0" w:firstLine="30"/>
              <w:rPr/>
            </w:pPr>
            <w:r>
              <w:rPr/>
              <w:t> </w:t>
            </w:r>
          </w:p>
        </w:tc>
        <w:tc>
          <w:tcPr>
            <w:tcW w:w="98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2017</w:t>
            </w:r>
          </w:p>
        </w:tc>
        <w:tc>
          <w:tcPr>
            <w:tcW w:w="90" w:type="dxa"/>
            <w:tcBorders/>
            <w:shd w:fill="auto" w:val="clear"/>
            <w:vAlign w:val="center"/>
          </w:tcPr>
          <w:p>
            <w:pPr>
              <w:pStyle w:val="TableContents"/>
              <w:spacing w:before="0" w:after="0"/>
              <w:ind w:left="0" w:right="0" w:firstLine="30"/>
              <w:rPr/>
            </w:pPr>
            <w:r>
              <w:rPr/>
              <w:t> </w:t>
            </w:r>
          </w:p>
        </w:tc>
        <w:tc>
          <w:tcPr>
            <w:tcW w:w="620" w:type="dxa"/>
            <w:gridSpan w:val="2"/>
            <w:vMerge w:val="continue"/>
            <w:tcBorders>
              <w:bottom w:val="single" w:sz="2" w:space="0" w:color="000000"/>
            </w:tcBorders>
            <w:shd w:fill="auto" w:val="clear"/>
            <w:tcMar>
              <w:bottom w:w="30" w:type="dxa"/>
            </w:tcMar>
            <w:vAlign w:val="center"/>
          </w:tcPr>
          <w:p>
            <w:pPr>
              <w:pStyle w:val="Normal"/>
              <w:rPr/>
            </w:pPr>
            <w:r>
              <w:rPr/>
            </w:r>
          </w:p>
        </w:tc>
      </w:tr>
      <w:tr>
        <w:trPr/>
        <w:tc>
          <w:tcPr>
            <w:tcW w:w="4550" w:type="dxa"/>
            <w:tcBorders/>
            <w:shd w:fill="auto" w:val="clear"/>
            <w:vAlign w:val="center"/>
          </w:tcPr>
          <w:p>
            <w:pPr>
              <w:pStyle w:val="TableContents"/>
              <w:spacing w:before="0" w:after="0"/>
              <w:ind w:left="0" w:right="0" w:firstLine="30"/>
              <w:jc w:val="left"/>
              <w:rPr/>
            </w:pPr>
            <w:r>
              <w:rPr/>
              <w:t> </w:t>
            </w:r>
          </w:p>
        </w:tc>
        <w:tc>
          <w:tcPr>
            <w:tcW w:w="1146" w:type="dxa"/>
            <w:gridSpan w:val="3"/>
            <w:tcBorders/>
            <w:shd w:fill="auto" w:val="clear"/>
            <w:vAlign w:val="center"/>
          </w:tcPr>
          <w:p>
            <w:pPr>
              <w:pStyle w:val="TableContents"/>
              <w:spacing w:before="0" w:after="0"/>
              <w:ind w:left="0" w:right="0" w:firstLine="30"/>
              <w:rPr/>
            </w:pPr>
            <w:r>
              <w:rPr/>
              <w:t> </w:t>
            </w:r>
          </w:p>
        </w:tc>
        <w:tc>
          <w:tcPr>
            <w:tcW w:w="186" w:type="dxa"/>
            <w:tcBorders/>
            <w:shd w:fill="auto" w:val="clear"/>
            <w:vAlign w:val="center"/>
          </w:tcPr>
          <w:p>
            <w:pPr>
              <w:pStyle w:val="TableContents"/>
              <w:spacing w:before="0" w:after="0"/>
              <w:ind w:left="0" w:right="0" w:firstLine="30"/>
              <w:rPr/>
            </w:pPr>
            <w:r>
              <w:rPr/>
              <w:t> </w:t>
            </w:r>
          </w:p>
        </w:tc>
        <w:tc>
          <w:tcPr>
            <w:tcW w:w="981"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620" w:type="dxa"/>
            <w:gridSpan w:val="2"/>
            <w:tcBorders/>
            <w:shd w:fill="auto" w:val="clear"/>
            <w:vAlign w:val="center"/>
          </w:tcPr>
          <w:p>
            <w:pPr>
              <w:pStyle w:val="TableContents"/>
              <w:spacing w:before="0" w:after="0"/>
              <w:ind w:left="0" w:right="0" w:firstLine="30"/>
              <w:rPr/>
            </w:pPr>
            <w:r>
              <w:rPr/>
              <w:t> </w:t>
            </w:r>
          </w:p>
        </w:tc>
      </w:tr>
      <w:tr>
        <w:trPr/>
        <w:tc>
          <w:tcPr>
            <w:tcW w:w="4550" w:type="dxa"/>
            <w:tcBorders/>
            <w:shd w:fill="auto" w:val="clear"/>
            <w:vAlign w:val="center"/>
          </w:tcPr>
          <w:p>
            <w:pPr>
              <w:pStyle w:val="TableContents"/>
              <w:spacing w:before="0" w:after="0"/>
              <w:ind w:left="0" w:right="0" w:firstLine="30"/>
              <w:rPr/>
            </w:pPr>
            <w:r>
              <w:rPr/>
              <w:t> </w:t>
            </w:r>
          </w:p>
        </w:tc>
        <w:tc>
          <w:tcPr>
            <w:tcW w:w="2313" w:type="dxa"/>
            <w:gridSpan w:val="7"/>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c>
          <w:tcPr>
            <w:tcW w:w="90" w:type="dxa"/>
            <w:tcBorders/>
            <w:shd w:fill="auto" w:val="clear"/>
            <w:vAlign w:val="center"/>
          </w:tcPr>
          <w:p>
            <w:pPr>
              <w:pStyle w:val="TableContents"/>
              <w:spacing w:before="0" w:after="0"/>
              <w:ind w:left="0" w:right="0" w:firstLine="30"/>
              <w:rPr/>
            </w:pPr>
            <w:r>
              <w:rPr/>
              <w:t> </w:t>
            </w:r>
          </w:p>
        </w:tc>
        <w:tc>
          <w:tcPr>
            <w:tcW w:w="620" w:type="dxa"/>
            <w:gridSpan w:val="2"/>
            <w:tcBorders/>
            <w:shd w:fill="auto" w:val="clear"/>
            <w:vAlign w:val="center"/>
          </w:tcPr>
          <w:p>
            <w:pPr>
              <w:pStyle w:val="TableContents"/>
              <w:spacing w:before="0" w:after="0"/>
              <w:ind w:left="0" w:right="0" w:firstLine="30"/>
              <w:rPr/>
            </w:pPr>
            <w:r>
              <w:rPr/>
              <w:t> </w:t>
            </w:r>
          </w:p>
        </w:tc>
      </w:tr>
      <w:tr>
        <w:trPr/>
        <w:tc>
          <w:tcPr>
            <w:tcW w:w="455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U.S. Pawn GAAP net revenue</w:t>
            </w:r>
          </w:p>
        </w:tc>
        <w:tc>
          <w:tcPr>
            <w:tcW w:w="227" w:type="dxa"/>
            <w:tcBorders/>
            <w:shd w:fill="auto" w:val="clear"/>
            <w:vAlign w:val="center"/>
          </w:tcPr>
          <w:p>
            <w:pPr>
              <w:pStyle w:val="TableContents"/>
              <w:spacing w:before="0" w:after="0"/>
              <w:jc w:val="left"/>
              <w:rPr>
                <w:rFonts w:ascii="inherit" w:hAnsi="inherit"/>
                <w:sz w:val="13"/>
              </w:rPr>
            </w:pPr>
            <w:r>
              <w:rPr>
                <w:rFonts w:ascii="inherit" w:hAnsi="inherit"/>
                <w:sz w:val="13"/>
              </w:rPr>
              <w:t>$</w:t>
            </w:r>
          </w:p>
        </w:tc>
        <w:tc>
          <w:tcPr>
            <w:tcW w:w="692" w:type="dxa"/>
            <w:tcBorders/>
            <w:shd w:fill="auto" w:val="clear"/>
            <w:vAlign w:val="center"/>
          </w:tcPr>
          <w:p>
            <w:pPr>
              <w:pStyle w:val="TableContents"/>
              <w:spacing w:before="0" w:after="0"/>
              <w:jc w:val="right"/>
              <w:rPr>
                <w:rFonts w:ascii="inherit" w:hAnsi="inherit"/>
                <w:sz w:val="13"/>
              </w:rPr>
            </w:pPr>
            <w:r>
              <w:rPr>
                <w:rFonts w:ascii="inherit" w:hAnsi="inherit"/>
                <w:sz w:val="13"/>
              </w:rPr>
              <w:t>97.1</w:t>
            </w:r>
          </w:p>
        </w:tc>
        <w:tc>
          <w:tcPr>
            <w:tcW w:w="22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86" w:type="dxa"/>
            <w:tcBorders/>
            <w:shd w:fill="auto" w:val="clear"/>
            <w:vAlign w:val="center"/>
          </w:tcPr>
          <w:p>
            <w:pPr>
              <w:pStyle w:val="TableContents"/>
              <w:spacing w:before="0" w:after="0"/>
              <w:ind w:left="0" w:right="0" w:firstLine="30"/>
              <w:rPr/>
            </w:pPr>
            <w:r>
              <w:rPr/>
              <w:t> </w:t>
            </w:r>
          </w:p>
        </w:tc>
        <w:tc>
          <w:tcPr>
            <w:tcW w:w="227" w:type="dxa"/>
            <w:tcBorders/>
            <w:shd w:fill="auto" w:val="clear"/>
            <w:vAlign w:val="center"/>
          </w:tcPr>
          <w:p>
            <w:pPr>
              <w:pStyle w:val="TableContents"/>
              <w:spacing w:before="0" w:after="0"/>
              <w:jc w:val="left"/>
              <w:rPr>
                <w:rFonts w:ascii="inherit" w:hAnsi="inherit"/>
                <w:sz w:val="13"/>
              </w:rPr>
            </w:pPr>
            <w:r>
              <w:rPr>
                <w:rFonts w:ascii="inherit" w:hAnsi="inherit"/>
                <w:sz w:val="13"/>
              </w:rPr>
              <w:t>$</w:t>
            </w:r>
          </w:p>
        </w:tc>
        <w:tc>
          <w:tcPr>
            <w:tcW w:w="692" w:type="dxa"/>
            <w:tcBorders/>
            <w:shd w:fill="auto" w:val="clear"/>
            <w:vAlign w:val="center"/>
          </w:tcPr>
          <w:p>
            <w:pPr>
              <w:pStyle w:val="TableContents"/>
              <w:spacing w:before="0" w:after="0"/>
              <w:jc w:val="right"/>
              <w:rPr>
                <w:rFonts w:ascii="inherit" w:hAnsi="inherit"/>
                <w:sz w:val="13"/>
              </w:rPr>
            </w:pPr>
            <w:r>
              <w:rPr>
                <w:rFonts w:ascii="inherit" w:hAnsi="inherit"/>
                <w:sz w:val="13"/>
              </w:rPr>
              <w:t>95.9</w:t>
            </w:r>
          </w:p>
        </w:tc>
        <w:tc>
          <w:tcPr>
            <w:tcW w:w="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245" w:type="dxa"/>
            <w:tcBorders/>
            <w:shd w:fill="auto" w:val="clear"/>
            <w:vAlign w:val="center"/>
          </w:tcPr>
          <w:p>
            <w:pPr>
              <w:pStyle w:val="TableContents"/>
              <w:spacing w:before="0" w:after="0"/>
              <w:jc w:val="right"/>
              <w:rPr>
                <w:rFonts w:ascii="inherit" w:hAnsi="inherit"/>
                <w:sz w:val="13"/>
              </w:rPr>
            </w:pPr>
            <w:r>
              <w:rPr>
                <w:rFonts w:ascii="inherit" w:hAnsi="inherit"/>
                <w:sz w:val="13"/>
              </w:rPr>
              <w:t>1</w:t>
            </w:r>
          </w:p>
        </w:tc>
        <w:tc>
          <w:tcPr>
            <w:tcW w:w="375" w:type="dxa"/>
            <w:tcBorders/>
            <w:shd w:fill="auto" w:val="clear"/>
            <w:vAlign w:val="center"/>
          </w:tcPr>
          <w:p>
            <w:pPr>
              <w:pStyle w:val="TableContents"/>
              <w:spacing w:before="0" w:after="0"/>
              <w:ind w:left="0" w:right="0" w:firstLine="30"/>
              <w:jc w:val="left"/>
              <w:rPr/>
            </w:pPr>
            <w:r>
              <w:rPr/>
              <w:t> </w:t>
            </w:r>
            <w:r>
              <w:rPr>
                <w:rFonts w:ascii="inherit" w:hAnsi="inherit"/>
                <w:sz w:val="13"/>
              </w:rPr>
              <w:t>%</w:t>
            </w:r>
          </w:p>
        </w:tc>
      </w:tr>
      <w:tr>
        <w:trPr/>
        <w:tc>
          <w:tcPr>
            <w:tcW w:w="455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Estimated PSC impact from Hurricanes Harvey and Irma</w:t>
            </w:r>
          </w:p>
        </w:tc>
        <w:tc>
          <w:tcPr>
            <w:tcW w:w="919"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2.0</w:t>
            </w:r>
          </w:p>
        </w:tc>
        <w:tc>
          <w:tcPr>
            <w:tcW w:w="22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86" w:type="dxa"/>
            <w:tcBorders/>
            <w:shd w:fill="auto" w:val="clear"/>
            <w:vAlign w:val="center"/>
          </w:tcPr>
          <w:p>
            <w:pPr>
              <w:pStyle w:val="TableContents"/>
              <w:spacing w:before="0" w:after="0"/>
              <w:ind w:left="0" w:right="0" w:firstLine="30"/>
              <w:rPr/>
            </w:pPr>
            <w:r>
              <w:rPr/>
              <w:t> </w:t>
            </w:r>
          </w:p>
        </w:tc>
        <w:tc>
          <w:tcPr>
            <w:tcW w:w="919" w:type="dxa"/>
            <w:gridSpan w:val="2"/>
            <w:tcBorders/>
            <w:shd w:fill="auto" w:val="clear"/>
            <w:vAlign w:val="center"/>
          </w:tcPr>
          <w:p>
            <w:pPr>
              <w:pStyle w:val="TableContents"/>
              <w:spacing w:before="0" w:after="0"/>
              <w:jc w:val="right"/>
              <w:rPr/>
            </w:pPr>
            <w:r>
              <w:rPr/>
              <w:t>—</w:t>
            </w:r>
          </w:p>
        </w:tc>
        <w:tc>
          <w:tcPr>
            <w:tcW w:w="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20" w:type="dxa"/>
            <w:gridSpan w:val="2"/>
            <w:tcBorders/>
            <w:shd w:fill="auto" w:val="clear"/>
            <w:vAlign w:val="center"/>
          </w:tcPr>
          <w:p>
            <w:pPr>
              <w:pStyle w:val="TableContents"/>
              <w:spacing w:before="0" w:after="0"/>
              <w:ind w:left="0" w:right="0" w:firstLine="30"/>
              <w:rPr/>
            </w:pPr>
            <w:r>
              <w:rPr/>
              <w:t> </w:t>
            </w:r>
          </w:p>
        </w:tc>
      </w:tr>
      <w:tr>
        <w:trPr/>
        <w:tc>
          <w:tcPr>
            <w:tcW w:w="455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Estimated discrete technology change related costs</w:t>
            </w:r>
          </w:p>
        </w:tc>
        <w:tc>
          <w:tcPr>
            <w:tcW w:w="919"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0.7</w:t>
            </w:r>
          </w:p>
        </w:tc>
        <w:tc>
          <w:tcPr>
            <w:tcW w:w="22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86" w:type="dxa"/>
            <w:tcBorders/>
            <w:shd w:fill="auto" w:val="clear"/>
            <w:vAlign w:val="center"/>
          </w:tcPr>
          <w:p>
            <w:pPr>
              <w:pStyle w:val="TableContents"/>
              <w:spacing w:before="0" w:after="0"/>
              <w:ind w:left="0" w:right="0" w:firstLine="30"/>
              <w:rPr/>
            </w:pPr>
            <w:r>
              <w:rPr/>
              <w:t> </w:t>
            </w:r>
          </w:p>
        </w:tc>
        <w:tc>
          <w:tcPr>
            <w:tcW w:w="919" w:type="dxa"/>
            <w:gridSpan w:val="2"/>
            <w:tcBorders/>
            <w:shd w:fill="auto" w:val="clear"/>
            <w:vAlign w:val="center"/>
          </w:tcPr>
          <w:p>
            <w:pPr>
              <w:pStyle w:val="TableContents"/>
              <w:spacing w:before="0" w:after="0"/>
              <w:jc w:val="right"/>
              <w:rPr/>
            </w:pPr>
            <w:r>
              <w:rPr/>
              <w:t>—</w:t>
            </w:r>
          </w:p>
        </w:tc>
        <w:tc>
          <w:tcPr>
            <w:tcW w:w="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20" w:type="dxa"/>
            <w:gridSpan w:val="2"/>
            <w:tcBorders/>
            <w:shd w:fill="auto" w:val="clear"/>
            <w:vAlign w:val="center"/>
          </w:tcPr>
          <w:p>
            <w:pPr>
              <w:pStyle w:val="TableContents"/>
              <w:spacing w:before="0" w:after="0"/>
              <w:ind w:left="0" w:right="0" w:firstLine="300"/>
              <w:rPr/>
            </w:pPr>
            <w:r>
              <w:rPr/>
              <w:t> </w:t>
            </w:r>
          </w:p>
        </w:tc>
      </w:tr>
      <w:tr>
        <w:trPr/>
        <w:tc>
          <w:tcPr>
            <w:tcW w:w="455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U.S. Pawn adjusted net revenue</w:t>
            </w:r>
          </w:p>
        </w:tc>
        <w:tc>
          <w:tcPr>
            <w:tcW w:w="227" w:type="dxa"/>
            <w:tcBorders>
              <w:top w:val="single" w:sz="2" w:space="0" w:color="000000"/>
            </w:tcBorders>
            <w:shd w:fill="auto" w:val="clear"/>
            <w:tcMar>
              <w:top w:w="30" w:type="dxa"/>
            </w:tcMar>
            <w:vAlign w:val="center"/>
          </w:tcPr>
          <w:p>
            <w:pPr>
              <w:pStyle w:val="TableContents"/>
              <w:spacing w:before="0" w:after="0"/>
              <w:jc w:val="left"/>
              <w:rPr>
                <w:rFonts w:ascii="inherit" w:hAnsi="inherit"/>
                <w:sz w:val="13"/>
              </w:rPr>
            </w:pPr>
            <w:r>
              <w:rPr>
                <w:rFonts w:ascii="inherit" w:hAnsi="inherit"/>
                <w:sz w:val="13"/>
              </w:rPr>
              <w:t>$</w:t>
            </w:r>
          </w:p>
        </w:tc>
        <w:tc>
          <w:tcPr>
            <w:tcW w:w="692" w:type="dxa"/>
            <w:tcBorders>
              <w:top w:val="single" w:sz="2" w:space="0" w:color="000000"/>
            </w:tcBorders>
            <w:shd w:fill="auto" w:val="clear"/>
            <w:tcMar>
              <w:top w:w="30" w:type="dxa"/>
            </w:tcMar>
            <w:vAlign w:val="center"/>
          </w:tcPr>
          <w:p>
            <w:pPr>
              <w:pStyle w:val="TableContents"/>
              <w:spacing w:before="0" w:after="0"/>
              <w:jc w:val="right"/>
              <w:rPr>
                <w:rFonts w:ascii="inherit" w:hAnsi="inherit"/>
                <w:sz w:val="13"/>
              </w:rPr>
            </w:pPr>
            <w:r>
              <w:rPr>
                <w:rFonts w:ascii="inherit" w:hAnsi="inherit"/>
                <w:sz w:val="13"/>
              </w:rPr>
              <w:t>99.8</w:t>
            </w:r>
          </w:p>
        </w:tc>
        <w:tc>
          <w:tcPr>
            <w:tcW w:w="227"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86" w:type="dxa"/>
            <w:tcBorders/>
            <w:shd w:fill="auto" w:val="clear"/>
            <w:vAlign w:val="center"/>
          </w:tcPr>
          <w:p>
            <w:pPr>
              <w:pStyle w:val="TableContents"/>
              <w:spacing w:before="0" w:after="0"/>
              <w:ind w:left="0" w:right="0" w:firstLine="30"/>
              <w:rPr/>
            </w:pPr>
            <w:r>
              <w:rPr/>
              <w:t> </w:t>
            </w:r>
          </w:p>
        </w:tc>
        <w:tc>
          <w:tcPr>
            <w:tcW w:w="227" w:type="dxa"/>
            <w:tcBorders>
              <w:top w:val="single" w:sz="2" w:space="0" w:color="000000"/>
            </w:tcBorders>
            <w:shd w:fill="auto" w:val="clear"/>
            <w:tcMar>
              <w:top w:w="30" w:type="dxa"/>
            </w:tcMar>
            <w:vAlign w:val="center"/>
          </w:tcPr>
          <w:p>
            <w:pPr>
              <w:pStyle w:val="TableContents"/>
              <w:spacing w:before="0" w:after="0"/>
              <w:jc w:val="left"/>
              <w:rPr>
                <w:rFonts w:ascii="inherit" w:hAnsi="inherit"/>
                <w:sz w:val="13"/>
              </w:rPr>
            </w:pPr>
            <w:r>
              <w:rPr>
                <w:rFonts w:ascii="inherit" w:hAnsi="inherit"/>
                <w:sz w:val="13"/>
              </w:rPr>
              <w:t>$</w:t>
            </w:r>
          </w:p>
        </w:tc>
        <w:tc>
          <w:tcPr>
            <w:tcW w:w="692" w:type="dxa"/>
            <w:tcBorders>
              <w:top w:val="single" w:sz="2" w:space="0" w:color="000000"/>
            </w:tcBorders>
            <w:shd w:fill="auto" w:val="clear"/>
            <w:tcMar>
              <w:top w:w="30" w:type="dxa"/>
            </w:tcMar>
            <w:vAlign w:val="center"/>
          </w:tcPr>
          <w:p>
            <w:pPr>
              <w:pStyle w:val="TableContents"/>
              <w:spacing w:before="0" w:after="0"/>
              <w:jc w:val="right"/>
              <w:rPr>
                <w:rFonts w:ascii="inherit" w:hAnsi="inherit"/>
                <w:sz w:val="13"/>
              </w:rPr>
            </w:pPr>
            <w:r>
              <w:rPr>
                <w:rFonts w:ascii="inherit" w:hAnsi="inherit"/>
                <w:sz w:val="13"/>
              </w:rPr>
              <w:t>95.9</w:t>
            </w:r>
          </w:p>
        </w:tc>
        <w:tc>
          <w:tcPr>
            <w:tcW w:w="62"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245" w:type="dxa"/>
            <w:tcBorders/>
            <w:shd w:fill="auto" w:val="clear"/>
            <w:vAlign w:val="center"/>
          </w:tcPr>
          <w:p>
            <w:pPr>
              <w:pStyle w:val="TableContents"/>
              <w:spacing w:before="0" w:after="0"/>
              <w:jc w:val="right"/>
              <w:rPr>
                <w:rFonts w:ascii="inherit" w:hAnsi="inherit"/>
                <w:sz w:val="13"/>
              </w:rPr>
            </w:pPr>
            <w:r>
              <w:rPr>
                <w:rFonts w:ascii="inherit" w:hAnsi="inherit"/>
                <w:sz w:val="13"/>
              </w:rPr>
              <w:t>4</w:t>
            </w:r>
          </w:p>
        </w:tc>
        <w:tc>
          <w:tcPr>
            <w:tcW w:w="375" w:type="dxa"/>
            <w:tcBorders/>
            <w:shd w:fill="auto" w:val="clear"/>
            <w:vAlign w:val="center"/>
          </w:tcPr>
          <w:p>
            <w:pPr>
              <w:pStyle w:val="TableContents"/>
              <w:spacing w:before="0" w:after="0"/>
              <w:ind w:left="0" w:right="0" w:firstLine="30"/>
              <w:jc w:val="left"/>
              <w:rPr/>
            </w:pPr>
            <w:r>
              <w:rPr/>
              <w:t> </w:t>
            </w:r>
            <w:r>
              <w:rPr>
                <w:rFonts w:ascii="inherit" w:hAnsi="inherit"/>
                <w:sz w:val="13"/>
              </w:rPr>
              <w:t>%</w:t>
            </w:r>
          </w:p>
        </w:tc>
      </w:tr>
      <w:tr>
        <w:trPr/>
        <w:tc>
          <w:tcPr>
            <w:tcW w:w="4550" w:type="dxa"/>
            <w:tcBorders/>
            <w:shd w:fill="auto" w:val="clear"/>
            <w:vAlign w:val="center"/>
          </w:tcPr>
          <w:p>
            <w:pPr>
              <w:pStyle w:val="TableContents"/>
              <w:spacing w:before="0" w:after="0"/>
              <w:ind w:left="0" w:right="0" w:firstLine="30"/>
              <w:rPr/>
            </w:pPr>
            <w:r>
              <w:rPr/>
              <w:t> </w:t>
            </w:r>
          </w:p>
        </w:tc>
        <w:tc>
          <w:tcPr>
            <w:tcW w:w="1146" w:type="dxa"/>
            <w:gridSpan w:val="3"/>
            <w:tcBorders/>
            <w:shd w:fill="auto" w:val="clear"/>
            <w:vAlign w:val="center"/>
          </w:tcPr>
          <w:p>
            <w:pPr>
              <w:pStyle w:val="TableContents"/>
              <w:spacing w:before="0" w:after="0"/>
              <w:ind w:left="0" w:right="0" w:firstLine="30"/>
              <w:rPr/>
            </w:pPr>
            <w:r>
              <w:rPr/>
              <w:t> </w:t>
            </w:r>
          </w:p>
        </w:tc>
        <w:tc>
          <w:tcPr>
            <w:tcW w:w="186" w:type="dxa"/>
            <w:tcBorders/>
            <w:shd w:fill="auto" w:val="clear"/>
            <w:vAlign w:val="center"/>
          </w:tcPr>
          <w:p>
            <w:pPr>
              <w:pStyle w:val="TableContents"/>
              <w:spacing w:before="0" w:after="0"/>
              <w:ind w:left="0" w:right="0" w:firstLine="30"/>
              <w:rPr/>
            </w:pPr>
            <w:r>
              <w:rPr/>
              <w:t> </w:t>
            </w:r>
          </w:p>
        </w:tc>
        <w:tc>
          <w:tcPr>
            <w:tcW w:w="981"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620" w:type="dxa"/>
            <w:gridSpan w:val="2"/>
            <w:tcBorders/>
            <w:shd w:fill="auto" w:val="clear"/>
            <w:vAlign w:val="center"/>
          </w:tcPr>
          <w:p>
            <w:pPr>
              <w:pStyle w:val="TableContents"/>
              <w:spacing w:before="0" w:after="0"/>
              <w:ind w:left="0" w:right="0" w:firstLine="30"/>
              <w:rPr/>
            </w:pPr>
            <w:r>
              <w:rPr/>
              <w:t> </w:t>
            </w:r>
          </w:p>
        </w:tc>
      </w:tr>
      <w:tr>
        <w:trPr/>
        <w:tc>
          <w:tcPr>
            <w:tcW w:w="455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U.S. Pawn GAAP segment contribution</w:t>
            </w:r>
          </w:p>
        </w:tc>
        <w:tc>
          <w:tcPr>
            <w:tcW w:w="227" w:type="dxa"/>
            <w:tcBorders/>
            <w:shd w:fill="auto" w:val="clear"/>
            <w:vAlign w:val="center"/>
          </w:tcPr>
          <w:p>
            <w:pPr>
              <w:pStyle w:val="TableContents"/>
              <w:spacing w:before="0" w:after="0"/>
              <w:jc w:val="left"/>
              <w:rPr>
                <w:rFonts w:ascii="inherit" w:hAnsi="inherit"/>
                <w:sz w:val="13"/>
              </w:rPr>
            </w:pPr>
            <w:r>
              <w:rPr>
                <w:rFonts w:ascii="inherit" w:hAnsi="inherit"/>
                <w:sz w:val="13"/>
              </w:rPr>
              <w:t>$</w:t>
            </w:r>
          </w:p>
        </w:tc>
        <w:tc>
          <w:tcPr>
            <w:tcW w:w="692" w:type="dxa"/>
            <w:tcBorders/>
            <w:shd w:fill="auto" w:val="clear"/>
            <w:vAlign w:val="center"/>
          </w:tcPr>
          <w:p>
            <w:pPr>
              <w:pStyle w:val="TableContents"/>
              <w:spacing w:before="0" w:after="0"/>
              <w:jc w:val="right"/>
              <w:rPr>
                <w:rFonts w:ascii="inherit" w:hAnsi="inherit"/>
                <w:sz w:val="13"/>
              </w:rPr>
            </w:pPr>
            <w:r>
              <w:rPr>
                <w:rFonts w:ascii="inherit" w:hAnsi="inherit"/>
                <w:sz w:val="13"/>
              </w:rPr>
              <w:t>28.2</w:t>
            </w:r>
          </w:p>
        </w:tc>
        <w:tc>
          <w:tcPr>
            <w:tcW w:w="22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86" w:type="dxa"/>
            <w:tcBorders/>
            <w:shd w:fill="auto" w:val="clear"/>
            <w:vAlign w:val="center"/>
          </w:tcPr>
          <w:p>
            <w:pPr>
              <w:pStyle w:val="TableContents"/>
              <w:spacing w:before="0" w:after="0"/>
              <w:ind w:left="0" w:right="0" w:firstLine="30"/>
              <w:rPr/>
            </w:pPr>
            <w:r>
              <w:rPr/>
              <w:t> </w:t>
            </w:r>
          </w:p>
        </w:tc>
        <w:tc>
          <w:tcPr>
            <w:tcW w:w="227" w:type="dxa"/>
            <w:tcBorders/>
            <w:shd w:fill="auto" w:val="clear"/>
            <w:vAlign w:val="center"/>
          </w:tcPr>
          <w:p>
            <w:pPr>
              <w:pStyle w:val="TableContents"/>
              <w:spacing w:before="0" w:after="0"/>
              <w:jc w:val="left"/>
              <w:rPr>
                <w:rFonts w:ascii="inherit" w:hAnsi="inherit"/>
                <w:sz w:val="13"/>
              </w:rPr>
            </w:pPr>
            <w:r>
              <w:rPr>
                <w:rFonts w:ascii="inherit" w:hAnsi="inherit"/>
                <w:sz w:val="13"/>
              </w:rPr>
              <w:t>$</w:t>
            </w:r>
          </w:p>
        </w:tc>
        <w:tc>
          <w:tcPr>
            <w:tcW w:w="692" w:type="dxa"/>
            <w:tcBorders/>
            <w:shd w:fill="auto" w:val="clear"/>
            <w:vAlign w:val="center"/>
          </w:tcPr>
          <w:p>
            <w:pPr>
              <w:pStyle w:val="TableContents"/>
              <w:spacing w:before="0" w:after="0"/>
              <w:jc w:val="right"/>
              <w:rPr>
                <w:rFonts w:ascii="inherit" w:hAnsi="inherit"/>
                <w:sz w:val="13"/>
              </w:rPr>
            </w:pPr>
            <w:r>
              <w:rPr>
                <w:rFonts w:ascii="inherit" w:hAnsi="inherit"/>
                <w:sz w:val="13"/>
              </w:rPr>
              <w:t>29.7</w:t>
            </w:r>
          </w:p>
        </w:tc>
        <w:tc>
          <w:tcPr>
            <w:tcW w:w="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245" w:type="dxa"/>
            <w:tcBorders/>
            <w:shd w:fill="auto" w:val="clear"/>
            <w:vAlign w:val="center"/>
          </w:tcPr>
          <w:p>
            <w:pPr>
              <w:pStyle w:val="TableContents"/>
              <w:spacing w:before="0" w:after="0"/>
              <w:jc w:val="right"/>
              <w:rPr>
                <w:rFonts w:ascii="inherit" w:hAnsi="inherit"/>
                <w:sz w:val="13"/>
              </w:rPr>
            </w:pPr>
            <w:r>
              <w:rPr>
                <w:rFonts w:ascii="inherit" w:hAnsi="inherit"/>
                <w:sz w:val="13"/>
              </w:rPr>
              <w:t>(5</w:t>
            </w:r>
          </w:p>
        </w:tc>
        <w:tc>
          <w:tcPr>
            <w:tcW w:w="375"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r>
      <w:tr>
        <w:trPr/>
        <w:tc>
          <w:tcPr>
            <w:tcW w:w="455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Estimated PSC impact from Hurricanes Harvey and Irma</w:t>
            </w:r>
          </w:p>
        </w:tc>
        <w:tc>
          <w:tcPr>
            <w:tcW w:w="919"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2.0</w:t>
            </w:r>
          </w:p>
        </w:tc>
        <w:tc>
          <w:tcPr>
            <w:tcW w:w="22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86" w:type="dxa"/>
            <w:tcBorders/>
            <w:shd w:fill="auto" w:val="clear"/>
            <w:vAlign w:val="center"/>
          </w:tcPr>
          <w:p>
            <w:pPr>
              <w:pStyle w:val="TableContents"/>
              <w:spacing w:before="0" w:after="0"/>
              <w:ind w:left="0" w:right="0" w:firstLine="30"/>
              <w:rPr/>
            </w:pPr>
            <w:r>
              <w:rPr/>
              <w:t> </w:t>
            </w:r>
          </w:p>
        </w:tc>
        <w:tc>
          <w:tcPr>
            <w:tcW w:w="919" w:type="dxa"/>
            <w:gridSpan w:val="2"/>
            <w:tcBorders/>
            <w:shd w:fill="auto" w:val="clear"/>
            <w:vAlign w:val="center"/>
          </w:tcPr>
          <w:p>
            <w:pPr>
              <w:pStyle w:val="TableContents"/>
              <w:spacing w:before="0" w:after="0"/>
              <w:jc w:val="right"/>
              <w:rPr/>
            </w:pPr>
            <w:r>
              <w:rPr/>
              <w:t>—</w:t>
            </w:r>
          </w:p>
        </w:tc>
        <w:tc>
          <w:tcPr>
            <w:tcW w:w="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20" w:type="dxa"/>
            <w:gridSpan w:val="2"/>
            <w:tcBorders/>
            <w:shd w:fill="auto" w:val="clear"/>
            <w:vAlign w:val="center"/>
          </w:tcPr>
          <w:p>
            <w:pPr>
              <w:pStyle w:val="TableContents"/>
              <w:spacing w:before="0" w:after="0"/>
              <w:ind w:left="0" w:right="0" w:firstLine="30"/>
              <w:rPr/>
            </w:pPr>
            <w:r>
              <w:rPr/>
              <w:t> </w:t>
            </w:r>
          </w:p>
        </w:tc>
      </w:tr>
      <w:tr>
        <w:trPr/>
        <w:tc>
          <w:tcPr>
            <w:tcW w:w="455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Change in expense estimate from Hurricanes Harvey and Irma</w:t>
            </w:r>
          </w:p>
        </w:tc>
        <w:tc>
          <w:tcPr>
            <w:tcW w:w="919"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(0.2</w:t>
            </w:r>
          </w:p>
        </w:tc>
        <w:tc>
          <w:tcPr>
            <w:tcW w:w="227"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86" w:type="dxa"/>
            <w:tcBorders/>
            <w:shd w:fill="auto" w:val="clear"/>
            <w:vAlign w:val="center"/>
          </w:tcPr>
          <w:p>
            <w:pPr>
              <w:pStyle w:val="TableContents"/>
              <w:spacing w:before="0" w:after="0"/>
              <w:ind w:left="0" w:right="0" w:firstLine="30"/>
              <w:rPr/>
            </w:pPr>
            <w:r>
              <w:rPr/>
              <w:t> </w:t>
            </w:r>
          </w:p>
        </w:tc>
        <w:tc>
          <w:tcPr>
            <w:tcW w:w="919" w:type="dxa"/>
            <w:gridSpan w:val="2"/>
            <w:tcBorders/>
            <w:shd w:fill="auto" w:val="clear"/>
            <w:vAlign w:val="center"/>
          </w:tcPr>
          <w:p>
            <w:pPr>
              <w:pStyle w:val="TableContents"/>
              <w:spacing w:before="0" w:after="0"/>
              <w:jc w:val="right"/>
              <w:rPr/>
            </w:pPr>
            <w:r>
              <w:rPr/>
              <w:t>—</w:t>
            </w:r>
          </w:p>
        </w:tc>
        <w:tc>
          <w:tcPr>
            <w:tcW w:w="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20" w:type="dxa"/>
            <w:gridSpan w:val="2"/>
            <w:tcBorders/>
            <w:shd w:fill="auto" w:val="clear"/>
            <w:vAlign w:val="center"/>
          </w:tcPr>
          <w:p>
            <w:pPr>
              <w:pStyle w:val="TableContents"/>
              <w:spacing w:before="0" w:after="0"/>
              <w:ind w:left="0" w:right="0" w:firstLine="30"/>
              <w:rPr/>
            </w:pPr>
            <w:r>
              <w:rPr/>
              <w:t> </w:t>
            </w:r>
          </w:p>
        </w:tc>
      </w:tr>
      <w:tr>
        <w:trPr/>
        <w:tc>
          <w:tcPr>
            <w:tcW w:w="455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Loss on assets from store closures</w:t>
            </w:r>
          </w:p>
        </w:tc>
        <w:tc>
          <w:tcPr>
            <w:tcW w:w="919"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0.1</w:t>
            </w:r>
          </w:p>
        </w:tc>
        <w:tc>
          <w:tcPr>
            <w:tcW w:w="22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86" w:type="dxa"/>
            <w:tcBorders/>
            <w:shd w:fill="auto" w:val="clear"/>
            <w:vAlign w:val="center"/>
          </w:tcPr>
          <w:p>
            <w:pPr>
              <w:pStyle w:val="TableContents"/>
              <w:spacing w:before="0" w:after="0"/>
              <w:ind w:left="0" w:right="0" w:firstLine="30"/>
              <w:rPr/>
            </w:pPr>
            <w:r>
              <w:rPr/>
              <w:t> </w:t>
            </w:r>
          </w:p>
        </w:tc>
        <w:tc>
          <w:tcPr>
            <w:tcW w:w="919" w:type="dxa"/>
            <w:gridSpan w:val="2"/>
            <w:tcBorders/>
            <w:shd w:fill="auto" w:val="clear"/>
            <w:vAlign w:val="center"/>
          </w:tcPr>
          <w:p>
            <w:pPr>
              <w:pStyle w:val="TableContents"/>
              <w:spacing w:before="0" w:after="0"/>
              <w:jc w:val="right"/>
              <w:rPr/>
            </w:pPr>
            <w:r>
              <w:rPr/>
              <w:t>—</w:t>
            </w:r>
          </w:p>
        </w:tc>
        <w:tc>
          <w:tcPr>
            <w:tcW w:w="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20" w:type="dxa"/>
            <w:gridSpan w:val="2"/>
            <w:tcBorders/>
            <w:shd w:fill="auto" w:val="clear"/>
            <w:vAlign w:val="center"/>
          </w:tcPr>
          <w:p>
            <w:pPr>
              <w:pStyle w:val="TableContents"/>
              <w:spacing w:before="0" w:after="0"/>
              <w:ind w:left="0" w:right="0" w:firstLine="30"/>
              <w:rPr/>
            </w:pPr>
            <w:r>
              <w:rPr/>
              <w:t> </w:t>
            </w:r>
          </w:p>
        </w:tc>
      </w:tr>
      <w:tr>
        <w:trPr/>
        <w:tc>
          <w:tcPr>
            <w:tcW w:w="455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Estimated discrete technology change related costs</w:t>
            </w:r>
          </w:p>
        </w:tc>
        <w:tc>
          <w:tcPr>
            <w:tcW w:w="919"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0.7</w:t>
            </w:r>
          </w:p>
        </w:tc>
        <w:tc>
          <w:tcPr>
            <w:tcW w:w="22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86" w:type="dxa"/>
            <w:tcBorders/>
            <w:shd w:fill="auto" w:val="clear"/>
            <w:vAlign w:val="center"/>
          </w:tcPr>
          <w:p>
            <w:pPr>
              <w:pStyle w:val="TableContents"/>
              <w:spacing w:before="0" w:after="0"/>
              <w:ind w:left="0" w:right="0" w:firstLine="30"/>
              <w:rPr/>
            </w:pPr>
            <w:r>
              <w:rPr/>
              <w:t> </w:t>
            </w:r>
          </w:p>
        </w:tc>
        <w:tc>
          <w:tcPr>
            <w:tcW w:w="919" w:type="dxa"/>
            <w:gridSpan w:val="2"/>
            <w:tcBorders/>
            <w:shd w:fill="auto" w:val="clear"/>
            <w:vAlign w:val="center"/>
          </w:tcPr>
          <w:p>
            <w:pPr>
              <w:pStyle w:val="TableContents"/>
              <w:spacing w:before="0" w:after="0"/>
              <w:jc w:val="right"/>
              <w:rPr/>
            </w:pPr>
            <w:r>
              <w:rPr/>
              <w:t>—</w:t>
            </w:r>
          </w:p>
        </w:tc>
        <w:tc>
          <w:tcPr>
            <w:tcW w:w="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20" w:type="dxa"/>
            <w:gridSpan w:val="2"/>
            <w:tcBorders/>
            <w:shd w:fill="auto" w:val="clear"/>
            <w:vAlign w:val="center"/>
          </w:tcPr>
          <w:p>
            <w:pPr>
              <w:pStyle w:val="TableContents"/>
              <w:spacing w:before="0" w:after="0"/>
              <w:ind w:left="0" w:right="0" w:firstLine="30"/>
              <w:rPr/>
            </w:pPr>
            <w:r>
              <w:rPr/>
              <w:t> </w:t>
            </w:r>
          </w:p>
        </w:tc>
      </w:tr>
      <w:tr>
        <w:trPr/>
        <w:tc>
          <w:tcPr>
            <w:tcW w:w="455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Accelerated depreciation from retirement of certain assets</w:t>
            </w:r>
          </w:p>
        </w:tc>
        <w:tc>
          <w:tcPr>
            <w:tcW w:w="919"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0.5</w:t>
            </w:r>
          </w:p>
        </w:tc>
        <w:tc>
          <w:tcPr>
            <w:tcW w:w="22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86" w:type="dxa"/>
            <w:tcBorders/>
            <w:shd w:fill="auto" w:val="clear"/>
            <w:vAlign w:val="center"/>
          </w:tcPr>
          <w:p>
            <w:pPr>
              <w:pStyle w:val="TableContents"/>
              <w:spacing w:before="0" w:after="0"/>
              <w:ind w:left="0" w:right="0" w:firstLine="30"/>
              <w:rPr/>
            </w:pPr>
            <w:r>
              <w:rPr/>
              <w:t> </w:t>
            </w:r>
          </w:p>
        </w:tc>
        <w:tc>
          <w:tcPr>
            <w:tcW w:w="919" w:type="dxa"/>
            <w:gridSpan w:val="2"/>
            <w:tcBorders/>
            <w:shd w:fill="auto" w:val="clear"/>
            <w:vAlign w:val="center"/>
          </w:tcPr>
          <w:p>
            <w:pPr>
              <w:pStyle w:val="TableContents"/>
              <w:spacing w:before="0" w:after="0"/>
              <w:jc w:val="right"/>
              <w:rPr/>
            </w:pPr>
            <w:r>
              <w:rPr/>
              <w:t>—</w:t>
            </w:r>
          </w:p>
        </w:tc>
        <w:tc>
          <w:tcPr>
            <w:tcW w:w="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20" w:type="dxa"/>
            <w:gridSpan w:val="2"/>
            <w:tcBorders/>
            <w:shd w:fill="auto" w:val="clear"/>
            <w:vAlign w:val="center"/>
          </w:tcPr>
          <w:p>
            <w:pPr>
              <w:pStyle w:val="TableContents"/>
              <w:spacing w:before="0" w:after="0"/>
              <w:ind w:left="0" w:right="0" w:firstLine="300"/>
              <w:rPr/>
            </w:pPr>
            <w:r>
              <w:rPr/>
              <w:t> </w:t>
            </w:r>
          </w:p>
        </w:tc>
      </w:tr>
      <w:tr>
        <w:trPr/>
        <w:tc>
          <w:tcPr>
            <w:tcW w:w="455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U.S. Pawn adjusted segment contribution</w:t>
            </w:r>
          </w:p>
        </w:tc>
        <w:tc>
          <w:tcPr>
            <w:tcW w:w="227" w:type="dxa"/>
            <w:tcBorders>
              <w:top w:val="single" w:sz="2" w:space="0" w:color="000000"/>
            </w:tcBorders>
            <w:shd w:fill="auto" w:val="clear"/>
            <w:tcMar>
              <w:top w:w="30" w:type="dxa"/>
            </w:tcMar>
            <w:vAlign w:val="center"/>
          </w:tcPr>
          <w:p>
            <w:pPr>
              <w:pStyle w:val="TableContents"/>
              <w:spacing w:before="0" w:after="0"/>
              <w:jc w:val="left"/>
              <w:rPr>
                <w:rFonts w:ascii="inherit" w:hAnsi="inherit"/>
                <w:sz w:val="13"/>
              </w:rPr>
            </w:pPr>
            <w:r>
              <w:rPr>
                <w:rFonts w:ascii="inherit" w:hAnsi="inherit"/>
                <w:sz w:val="13"/>
              </w:rPr>
              <w:t>$</w:t>
            </w:r>
          </w:p>
        </w:tc>
        <w:tc>
          <w:tcPr>
            <w:tcW w:w="692" w:type="dxa"/>
            <w:tcBorders>
              <w:top w:val="single" w:sz="2" w:space="0" w:color="000000"/>
            </w:tcBorders>
            <w:shd w:fill="auto" w:val="clear"/>
            <w:tcMar>
              <w:top w:w="30" w:type="dxa"/>
            </w:tcMar>
            <w:vAlign w:val="center"/>
          </w:tcPr>
          <w:p>
            <w:pPr>
              <w:pStyle w:val="TableContents"/>
              <w:spacing w:before="0" w:after="0"/>
              <w:jc w:val="right"/>
              <w:rPr>
                <w:rFonts w:ascii="inherit" w:hAnsi="inherit"/>
                <w:sz w:val="13"/>
              </w:rPr>
            </w:pPr>
            <w:r>
              <w:rPr>
                <w:rFonts w:ascii="inherit" w:hAnsi="inherit"/>
                <w:sz w:val="13"/>
              </w:rPr>
              <w:t>31.3</w:t>
            </w:r>
          </w:p>
        </w:tc>
        <w:tc>
          <w:tcPr>
            <w:tcW w:w="227"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86" w:type="dxa"/>
            <w:tcBorders/>
            <w:shd w:fill="auto" w:val="clear"/>
            <w:vAlign w:val="center"/>
          </w:tcPr>
          <w:p>
            <w:pPr>
              <w:pStyle w:val="TableContents"/>
              <w:spacing w:before="0" w:after="0"/>
              <w:ind w:left="0" w:right="0" w:firstLine="30"/>
              <w:rPr/>
            </w:pPr>
            <w:r>
              <w:rPr/>
              <w:t> </w:t>
            </w:r>
          </w:p>
        </w:tc>
        <w:tc>
          <w:tcPr>
            <w:tcW w:w="227" w:type="dxa"/>
            <w:tcBorders>
              <w:top w:val="single" w:sz="2" w:space="0" w:color="000000"/>
            </w:tcBorders>
            <w:shd w:fill="auto" w:val="clear"/>
            <w:tcMar>
              <w:top w:w="30" w:type="dxa"/>
            </w:tcMar>
            <w:vAlign w:val="center"/>
          </w:tcPr>
          <w:p>
            <w:pPr>
              <w:pStyle w:val="TableContents"/>
              <w:spacing w:before="0" w:after="0"/>
              <w:jc w:val="left"/>
              <w:rPr>
                <w:rFonts w:ascii="inherit" w:hAnsi="inherit"/>
                <w:sz w:val="13"/>
              </w:rPr>
            </w:pPr>
            <w:r>
              <w:rPr>
                <w:rFonts w:ascii="inherit" w:hAnsi="inherit"/>
                <w:sz w:val="13"/>
              </w:rPr>
              <w:t>$</w:t>
            </w:r>
          </w:p>
        </w:tc>
        <w:tc>
          <w:tcPr>
            <w:tcW w:w="692" w:type="dxa"/>
            <w:tcBorders>
              <w:top w:val="single" w:sz="2" w:space="0" w:color="000000"/>
            </w:tcBorders>
            <w:shd w:fill="auto" w:val="clear"/>
            <w:tcMar>
              <w:top w:w="30" w:type="dxa"/>
            </w:tcMar>
            <w:vAlign w:val="center"/>
          </w:tcPr>
          <w:p>
            <w:pPr>
              <w:pStyle w:val="TableContents"/>
              <w:spacing w:before="0" w:after="0"/>
              <w:jc w:val="right"/>
              <w:rPr>
                <w:rFonts w:ascii="inherit" w:hAnsi="inherit"/>
                <w:sz w:val="13"/>
              </w:rPr>
            </w:pPr>
            <w:r>
              <w:rPr>
                <w:rFonts w:ascii="inherit" w:hAnsi="inherit"/>
                <w:sz w:val="13"/>
              </w:rPr>
              <w:t>29.7</w:t>
            </w:r>
          </w:p>
        </w:tc>
        <w:tc>
          <w:tcPr>
            <w:tcW w:w="62"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245" w:type="dxa"/>
            <w:tcBorders/>
            <w:shd w:fill="auto" w:val="clear"/>
            <w:vAlign w:val="center"/>
          </w:tcPr>
          <w:p>
            <w:pPr>
              <w:pStyle w:val="TableContents"/>
              <w:spacing w:before="0" w:after="0"/>
              <w:jc w:val="right"/>
              <w:rPr>
                <w:rFonts w:ascii="inherit" w:hAnsi="inherit"/>
                <w:sz w:val="13"/>
              </w:rPr>
            </w:pPr>
            <w:r>
              <w:rPr>
                <w:rFonts w:ascii="inherit" w:hAnsi="inherit"/>
                <w:sz w:val="13"/>
              </w:rPr>
              <w:t>5</w:t>
            </w:r>
          </w:p>
        </w:tc>
        <w:tc>
          <w:tcPr>
            <w:tcW w:w="375" w:type="dxa"/>
            <w:tcBorders/>
            <w:shd w:fill="auto" w:val="clear"/>
            <w:vAlign w:val="center"/>
          </w:tcPr>
          <w:p>
            <w:pPr>
              <w:pStyle w:val="TableContents"/>
              <w:spacing w:before="0" w:after="0"/>
              <w:jc w:val="left"/>
              <w:rPr/>
            </w:pPr>
            <w:r>
              <w:rPr/>
              <w:t> </w:t>
            </w:r>
            <w:r>
              <w:rPr>
                <w:rFonts w:ascii="inherit" w:hAnsi="inherit"/>
                <w:sz w:val="13"/>
              </w:rPr>
              <w:t>%</w:t>
            </w:r>
          </w:p>
        </w:tc>
      </w:tr>
    </w:tbl>
    <w:tbl>
      <w:tblPr>
        <w:tblW w:w="7152" w:type="dxa"/>
        <w:jc w:val="left"/>
        <w:tblInd w:w="0" w:type="dxa"/>
        <w:tblCellMar>
          <w:top w:w="0" w:type="dxa"/>
          <w:left w:w="0" w:type="dxa"/>
          <w:bottom w:w="0" w:type="dxa"/>
          <w:right w:w="0" w:type="dxa"/>
        </w:tblCellMar>
      </w:tblPr>
      <w:tblGrid>
        <w:gridCol w:w="4325"/>
        <w:gridCol w:w="224"/>
        <w:gridCol w:w="682"/>
        <w:gridCol w:w="61"/>
        <w:gridCol w:w="183"/>
        <w:gridCol w:w="224"/>
        <w:gridCol w:w="682"/>
        <w:gridCol w:w="61"/>
        <w:gridCol w:w="90"/>
        <w:gridCol w:w="288"/>
        <w:gridCol w:w="332"/>
      </w:tblGrid>
      <w:tr>
        <w:trPr/>
        <w:tc>
          <w:tcPr>
            <w:tcW w:w="7152" w:type="dxa"/>
            <w:gridSpan w:val="11"/>
            <w:tcBorders/>
            <w:shd w:fill="auto" w:val="clear"/>
            <w:vAlign w:val="center"/>
          </w:tcPr>
          <w:p>
            <w:pPr>
              <w:pStyle w:val="TableContents"/>
              <w:spacing w:before="0" w:after="283"/>
              <w:rPr>
                <w:sz w:val="4"/>
                <w:szCs w:val="4"/>
              </w:rPr>
            </w:pPr>
            <w:r>
              <w:rPr>
                <w:sz w:val="4"/>
                <w:szCs w:val="4"/>
              </w:rPr>
            </w:r>
          </w:p>
        </w:tc>
      </w:tr>
      <w:tr>
        <w:trPr/>
        <w:tc>
          <w:tcPr>
            <w:tcW w:w="4325"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682"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682"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325" w:type="dxa"/>
            <w:tcBorders/>
            <w:shd w:fill="auto" w:val="clear"/>
            <w:vAlign w:val="center"/>
          </w:tcPr>
          <w:p>
            <w:pPr>
              <w:pStyle w:val="TableContents"/>
              <w:spacing w:before="0" w:after="0"/>
              <w:ind w:left="0" w:right="0" w:firstLine="30"/>
              <w:jc w:val="left"/>
              <w:rPr/>
            </w:pPr>
            <w:r>
              <w:rPr/>
              <w:t> </w:t>
            </w:r>
          </w:p>
        </w:tc>
        <w:tc>
          <w:tcPr>
            <w:tcW w:w="2117"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Six Months Ended March 31,</w:t>
            </w:r>
          </w:p>
        </w:tc>
        <w:tc>
          <w:tcPr>
            <w:tcW w:w="90" w:type="dxa"/>
            <w:tcBorders/>
            <w:shd w:fill="auto" w:val="clear"/>
            <w:vAlign w:val="center"/>
          </w:tcPr>
          <w:p>
            <w:pPr>
              <w:pStyle w:val="TableContents"/>
              <w:spacing w:before="0" w:after="0"/>
              <w:ind w:left="0" w:right="0" w:firstLine="30"/>
              <w:rPr/>
            </w:pPr>
            <w:r>
              <w:rPr/>
              <w:t> </w:t>
            </w:r>
          </w:p>
        </w:tc>
        <w:tc>
          <w:tcPr>
            <w:tcW w:w="620" w:type="dxa"/>
            <w:gridSpan w:val="2"/>
            <w:vMerge w:val="restart"/>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Change</w:t>
            </w:r>
          </w:p>
        </w:tc>
      </w:tr>
      <w:tr>
        <w:trPr/>
        <w:tc>
          <w:tcPr>
            <w:tcW w:w="4325" w:type="dxa"/>
            <w:tcBorders/>
            <w:shd w:fill="auto" w:val="clear"/>
            <w:vAlign w:val="center"/>
          </w:tcPr>
          <w:p>
            <w:pPr>
              <w:pStyle w:val="TableContents"/>
              <w:spacing w:before="0" w:after="0"/>
              <w:ind w:left="0" w:right="0" w:firstLine="30"/>
              <w:rPr/>
            </w:pPr>
            <w:r>
              <w:rPr/>
              <w:t> </w:t>
            </w:r>
          </w:p>
        </w:tc>
        <w:tc>
          <w:tcPr>
            <w:tcW w:w="967"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w:t>
            </w:r>
          </w:p>
        </w:tc>
        <w:tc>
          <w:tcPr>
            <w:tcW w:w="183" w:type="dxa"/>
            <w:tcBorders/>
            <w:shd w:fill="auto" w:val="clear"/>
            <w:vAlign w:val="center"/>
          </w:tcPr>
          <w:p>
            <w:pPr>
              <w:pStyle w:val="TableContents"/>
              <w:spacing w:before="0" w:after="0"/>
              <w:ind w:left="0" w:right="0" w:firstLine="30"/>
              <w:rPr/>
            </w:pPr>
            <w:r>
              <w:rPr/>
              <w:t> </w:t>
            </w:r>
          </w:p>
        </w:tc>
        <w:tc>
          <w:tcPr>
            <w:tcW w:w="967"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2017</w:t>
            </w:r>
          </w:p>
        </w:tc>
        <w:tc>
          <w:tcPr>
            <w:tcW w:w="90" w:type="dxa"/>
            <w:tcBorders/>
            <w:shd w:fill="auto" w:val="clear"/>
            <w:vAlign w:val="center"/>
          </w:tcPr>
          <w:p>
            <w:pPr>
              <w:pStyle w:val="TableContents"/>
              <w:spacing w:before="0" w:after="0"/>
              <w:ind w:left="0" w:right="0" w:firstLine="30"/>
              <w:rPr/>
            </w:pPr>
            <w:r>
              <w:rPr/>
              <w:t> </w:t>
            </w:r>
          </w:p>
        </w:tc>
        <w:tc>
          <w:tcPr>
            <w:tcW w:w="620" w:type="dxa"/>
            <w:gridSpan w:val="2"/>
            <w:vMerge w:val="continue"/>
            <w:tcBorders>
              <w:bottom w:val="single" w:sz="2" w:space="0" w:color="000000"/>
            </w:tcBorders>
            <w:shd w:fill="auto" w:val="clear"/>
            <w:tcMar>
              <w:bottom w:w="30" w:type="dxa"/>
            </w:tcMar>
            <w:vAlign w:val="center"/>
          </w:tcPr>
          <w:p>
            <w:pPr>
              <w:pStyle w:val="Normal"/>
              <w:rPr/>
            </w:pPr>
            <w:r>
              <w:rPr/>
            </w:r>
          </w:p>
        </w:tc>
      </w:tr>
      <w:tr>
        <w:trPr/>
        <w:tc>
          <w:tcPr>
            <w:tcW w:w="4325" w:type="dxa"/>
            <w:tcBorders/>
            <w:shd w:fill="auto" w:val="clear"/>
            <w:vAlign w:val="center"/>
          </w:tcPr>
          <w:p>
            <w:pPr>
              <w:pStyle w:val="TableContents"/>
              <w:spacing w:before="0" w:after="0"/>
              <w:ind w:left="0" w:right="0" w:firstLine="30"/>
              <w:jc w:val="left"/>
              <w:rPr/>
            </w:pPr>
            <w:r>
              <w:rPr/>
              <w:t> </w:t>
            </w:r>
          </w:p>
        </w:tc>
        <w:tc>
          <w:tcPr>
            <w:tcW w:w="967" w:type="dxa"/>
            <w:gridSpan w:val="3"/>
            <w:tcBorders/>
            <w:shd w:fill="auto" w:val="clear"/>
            <w:vAlign w:val="center"/>
          </w:tcPr>
          <w:p>
            <w:pPr>
              <w:pStyle w:val="TableContents"/>
              <w:spacing w:before="0" w:after="0"/>
              <w:ind w:left="0" w:right="0" w:firstLine="30"/>
              <w:rPr/>
            </w:pPr>
            <w:r>
              <w:rPr/>
              <w:t> </w:t>
            </w:r>
          </w:p>
        </w:tc>
        <w:tc>
          <w:tcPr>
            <w:tcW w:w="183" w:type="dxa"/>
            <w:tcBorders/>
            <w:shd w:fill="auto" w:val="clear"/>
            <w:vAlign w:val="center"/>
          </w:tcPr>
          <w:p>
            <w:pPr>
              <w:pStyle w:val="TableContents"/>
              <w:spacing w:before="0" w:after="0"/>
              <w:ind w:left="0" w:right="0" w:firstLine="30"/>
              <w:rPr/>
            </w:pPr>
            <w:r>
              <w:rPr/>
              <w:t> </w:t>
            </w:r>
          </w:p>
        </w:tc>
        <w:tc>
          <w:tcPr>
            <w:tcW w:w="967"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620" w:type="dxa"/>
            <w:gridSpan w:val="2"/>
            <w:tcBorders/>
            <w:shd w:fill="auto" w:val="clear"/>
            <w:vAlign w:val="center"/>
          </w:tcPr>
          <w:p>
            <w:pPr>
              <w:pStyle w:val="TableContents"/>
              <w:spacing w:before="0" w:after="0"/>
              <w:ind w:left="0" w:right="0" w:firstLine="30"/>
              <w:rPr/>
            </w:pPr>
            <w:r>
              <w:rPr/>
              <w:t> </w:t>
            </w:r>
          </w:p>
        </w:tc>
      </w:tr>
      <w:tr>
        <w:trPr/>
        <w:tc>
          <w:tcPr>
            <w:tcW w:w="4325" w:type="dxa"/>
            <w:tcBorders/>
            <w:shd w:fill="auto" w:val="clear"/>
            <w:vAlign w:val="center"/>
          </w:tcPr>
          <w:p>
            <w:pPr>
              <w:pStyle w:val="TableContents"/>
              <w:spacing w:before="0" w:after="0"/>
              <w:ind w:left="0" w:right="0" w:firstLine="30"/>
              <w:rPr/>
            </w:pPr>
            <w:r>
              <w:rPr/>
              <w:t> </w:t>
            </w:r>
          </w:p>
        </w:tc>
        <w:tc>
          <w:tcPr>
            <w:tcW w:w="2117" w:type="dxa"/>
            <w:gridSpan w:val="7"/>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c>
          <w:tcPr>
            <w:tcW w:w="90" w:type="dxa"/>
            <w:tcBorders/>
            <w:shd w:fill="auto" w:val="clear"/>
            <w:vAlign w:val="center"/>
          </w:tcPr>
          <w:p>
            <w:pPr>
              <w:pStyle w:val="TableContents"/>
              <w:spacing w:before="0" w:after="0"/>
              <w:ind w:left="0" w:right="0" w:firstLine="30"/>
              <w:rPr/>
            </w:pPr>
            <w:r>
              <w:rPr/>
              <w:t> </w:t>
            </w:r>
          </w:p>
        </w:tc>
        <w:tc>
          <w:tcPr>
            <w:tcW w:w="620" w:type="dxa"/>
            <w:gridSpan w:val="2"/>
            <w:tcBorders/>
            <w:shd w:fill="auto" w:val="clear"/>
            <w:vAlign w:val="center"/>
          </w:tcPr>
          <w:p>
            <w:pPr>
              <w:pStyle w:val="TableContents"/>
              <w:spacing w:before="0" w:after="0"/>
              <w:ind w:left="0" w:right="0" w:firstLine="30"/>
              <w:rPr/>
            </w:pPr>
            <w:r>
              <w:rPr/>
              <w:t> </w:t>
            </w:r>
          </w:p>
        </w:tc>
      </w:tr>
      <w:tr>
        <w:trPr/>
        <w:tc>
          <w:tcPr>
            <w:tcW w:w="4325"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U.S. Pawn GAAP segment contribution</w:t>
            </w:r>
          </w:p>
        </w:tc>
        <w:tc>
          <w:tcPr>
            <w:tcW w:w="224" w:type="dxa"/>
            <w:tcBorders/>
            <w:shd w:fill="auto" w:val="clear"/>
            <w:vAlign w:val="center"/>
          </w:tcPr>
          <w:p>
            <w:pPr>
              <w:pStyle w:val="TableContents"/>
              <w:spacing w:before="0" w:after="0"/>
              <w:jc w:val="left"/>
              <w:rPr>
                <w:rFonts w:ascii="inherit" w:hAnsi="inherit"/>
                <w:sz w:val="13"/>
              </w:rPr>
            </w:pPr>
            <w:r>
              <w:rPr>
                <w:rFonts w:ascii="inherit" w:hAnsi="inherit"/>
                <w:sz w:val="13"/>
              </w:rPr>
              <w:t>$</w:t>
            </w:r>
          </w:p>
        </w:tc>
        <w:tc>
          <w:tcPr>
            <w:tcW w:w="682" w:type="dxa"/>
            <w:tcBorders/>
            <w:shd w:fill="auto" w:val="clear"/>
            <w:vAlign w:val="center"/>
          </w:tcPr>
          <w:p>
            <w:pPr>
              <w:pStyle w:val="TableContents"/>
              <w:spacing w:before="0" w:after="0"/>
              <w:jc w:val="right"/>
              <w:rPr>
                <w:rFonts w:ascii="inherit" w:hAnsi="inherit"/>
                <w:sz w:val="13"/>
              </w:rPr>
            </w:pPr>
            <w:r>
              <w:rPr>
                <w:rFonts w:ascii="inherit" w:hAnsi="inherit"/>
                <w:sz w:val="13"/>
              </w:rPr>
              <w:t>56.0</w:t>
            </w:r>
          </w:p>
        </w:tc>
        <w:tc>
          <w:tcPr>
            <w:tcW w:w="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83" w:type="dxa"/>
            <w:tcBorders/>
            <w:shd w:fill="auto" w:val="clear"/>
            <w:vAlign w:val="center"/>
          </w:tcPr>
          <w:p>
            <w:pPr>
              <w:pStyle w:val="TableContents"/>
              <w:spacing w:before="0" w:after="0"/>
              <w:ind w:left="0" w:right="0" w:firstLine="30"/>
              <w:rPr/>
            </w:pPr>
            <w:r>
              <w:rPr/>
              <w:t> </w:t>
            </w:r>
          </w:p>
        </w:tc>
        <w:tc>
          <w:tcPr>
            <w:tcW w:w="224" w:type="dxa"/>
            <w:tcBorders/>
            <w:shd w:fill="auto" w:val="clear"/>
            <w:vAlign w:val="center"/>
          </w:tcPr>
          <w:p>
            <w:pPr>
              <w:pStyle w:val="TableContents"/>
              <w:spacing w:before="0" w:after="0"/>
              <w:jc w:val="left"/>
              <w:rPr>
                <w:rFonts w:ascii="inherit" w:hAnsi="inherit"/>
                <w:sz w:val="13"/>
              </w:rPr>
            </w:pPr>
            <w:r>
              <w:rPr>
                <w:rFonts w:ascii="inherit" w:hAnsi="inherit"/>
                <w:sz w:val="13"/>
              </w:rPr>
              <w:t>$</w:t>
            </w:r>
          </w:p>
        </w:tc>
        <w:tc>
          <w:tcPr>
            <w:tcW w:w="682" w:type="dxa"/>
            <w:tcBorders/>
            <w:shd w:fill="auto" w:val="clear"/>
            <w:vAlign w:val="center"/>
          </w:tcPr>
          <w:p>
            <w:pPr>
              <w:pStyle w:val="TableContents"/>
              <w:spacing w:before="0" w:after="0"/>
              <w:jc w:val="right"/>
              <w:rPr>
                <w:rFonts w:ascii="inherit" w:hAnsi="inherit"/>
                <w:sz w:val="13"/>
              </w:rPr>
            </w:pPr>
            <w:r>
              <w:rPr>
                <w:rFonts w:ascii="inherit" w:hAnsi="inherit"/>
                <w:sz w:val="13"/>
              </w:rPr>
              <w:t>56.8</w:t>
            </w:r>
          </w:p>
        </w:tc>
        <w:tc>
          <w:tcPr>
            <w:tcW w:w="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288" w:type="dxa"/>
            <w:tcBorders/>
            <w:shd w:fill="auto" w:val="clear"/>
            <w:vAlign w:val="center"/>
          </w:tcPr>
          <w:p>
            <w:pPr>
              <w:pStyle w:val="TableContents"/>
              <w:spacing w:before="0" w:after="0"/>
              <w:jc w:val="right"/>
              <w:rPr>
                <w:rFonts w:ascii="inherit" w:hAnsi="inherit"/>
                <w:sz w:val="13"/>
              </w:rPr>
            </w:pPr>
            <w:r>
              <w:rPr>
                <w:rFonts w:ascii="inherit" w:hAnsi="inherit"/>
                <w:sz w:val="13"/>
              </w:rPr>
              <w:t>(1</w:t>
            </w:r>
          </w:p>
        </w:tc>
        <w:tc>
          <w:tcPr>
            <w:tcW w:w="332"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r>
      <w:tr>
        <w:trPr/>
        <w:tc>
          <w:tcPr>
            <w:tcW w:w="4325"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Estimated PSC impact from Hurricanes Harvey and Irma</w:t>
            </w:r>
          </w:p>
        </w:tc>
        <w:tc>
          <w:tcPr>
            <w:tcW w:w="906"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5.2</w:t>
            </w:r>
          </w:p>
        </w:tc>
        <w:tc>
          <w:tcPr>
            <w:tcW w:w="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83" w:type="dxa"/>
            <w:tcBorders/>
            <w:shd w:fill="auto" w:val="clear"/>
            <w:vAlign w:val="center"/>
          </w:tcPr>
          <w:p>
            <w:pPr>
              <w:pStyle w:val="TableContents"/>
              <w:spacing w:before="0" w:after="0"/>
              <w:ind w:left="0" w:right="0" w:firstLine="30"/>
              <w:rPr/>
            </w:pPr>
            <w:r>
              <w:rPr/>
              <w:t> </w:t>
            </w:r>
          </w:p>
        </w:tc>
        <w:tc>
          <w:tcPr>
            <w:tcW w:w="906" w:type="dxa"/>
            <w:gridSpan w:val="2"/>
            <w:tcBorders/>
            <w:shd w:fill="auto" w:val="clear"/>
            <w:vAlign w:val="center"/>
          </w:tcPr>
          <w:p>
            <w:pPr>
              <w:pStyle w:val="TableContents"/>
              <w:spacing w:before="0" w:after="0"/>
              <w:jc w:val="right"/>
              <w:rPr/>
            </w:pPr>
            <w:r>
              <w:rPr/>
              <w:t>—</w:t>
            </w:r>
          </w:p>
        </w:tc>
        <w:tc>
          <w:tcPr>
            <w:tcW w:w="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20" w:type="dxa"/>
            <w:gridSpan w:val="2"/>
            <w:tcBorders/>
            <w:shd w:fill="auto" w:val="clear"/>
            <w:vAlign w:val="center"/>
          </w:tcPr>
          <w:p>
            <w:pPr>
              <w:pStyle w:val="TableContents"/>
              <w:spacing w:before="0" w:after="0"/>
              <w:ind w:left="0" w:right="0" w:firstLine="30"/>
              <w:rPr/>
            </w:pPr>
            <w:r>
              <w:rPr/>
              <w:t> </w:t>
            </w:r>
          </w:p>
        </w:tc>
      </w:tr>
      <w:tr>
        <w:trPr/>
        <w:tc>
          <w:tcPr>
            <w:tcW w:w="4325"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Loss on assets from store closures</w:t>
            </w:r>
          </w:p>
        </w:tc>
        <w:tc>
          <w:tcPr>
            <w:tcW w:w="906"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0.1</w:t>
            </w:r>
          </w:p>
        </w:tc>
        <w:tc>
          <w:tcPr>
            <w:tcW w:w="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83" w:type="dxa"/>
            <w:tcBorders/>
            <w:shd w:fill="auto" w:val="clear"/>
            <w:vAlign w:val="center"/>
          </w:tcPr>
          <w:p>
            <w:pPr>
              <w:pStyle w:val="TableContents"/>
              <w:spacing w:before="0" w:after="0"/>
              <w:ind w:left="0" w:right="0" w:firstLine="30"/>
              <w:rPr/>
            </w:pPr>
            <w:r>
              <w:rPr/>
              <w:t> </w:t>
            </w:r>
          </w:p>
        </w:tc>
        <w:tc>
          <w:tcPr>
            <w:tcW w:w="906" w:type="dxa"/>
            <w:gridSpan w:val="2"/>
            <w:tcBorders/>
            <w:shd w:fill="auto" w:val="clear"/>
            <w:vAlign w:val="center"/>
          </w:tcPr>
          <w:p>
            <w:pPr>
              <w:pStyle w:val="TableContents"/>
              <w:spacing w:before="0" w:after="0"/>
              <w:jc w:val="right"/>
              <w:rPr/>
            </w:pPr>
            <w:r>
              <w:rPr/>
              <w:t>—</w:t>
            </w:r>
          </w:p>
        </w:tc>
        <w:tc>
          <w:tcPr>
            <w:tcW w:w="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20" w:type="dxa"/>
            <w:gridSpan w:val="2"/>
            <w:tcBorders/>
            <w:shd w:fill="auto" w:val="clear"/>
            <w:vAlign w:val="center"/>
          </w:tcPr>
          <w:p>
            <w:pPr>
              <w:pStyle w:val="TableContents"/>
              <w:spacing w:before="0" w:after="0"/>
              <w:ind w:left="0" w:right="0" w:firstLine="30"/>
              <w:rPr/>
            </w:pPr>
            <w:r>
              <w:rPr/>
              <w:t> </w:t>
            </w:r>
          </w:p>
        </w:tc>
      </w:tr>
      <w:tr>
        <w:trPr/>
        <w:tc>
          <w:tcPr>
            <w:tcW w:w="4325"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Estimated discrete technology change related costs</w:t>
            </w:r>
          </w:p>
        </w:tc>
        <w:tc>
          <w:tcPr>
            <w:tcW w:w="906"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0.7</w:t>
            </w:r>
          </w:p>
        </w:tc>
        <w:tc>
          <w:tcPr>
            <w:tcW w:w="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83" w:type="dxa"/>
            <w:tcBorders/>
            <w:shd w:fill="auto" w:val="clear"/>
            <w:vAlign w:val="center"/>
          </w:tcPr>
          <w:p>
            <w:pPr>
              <w:pStyle w:val="TableContents"/>
              <w:spacing w:before="0" w:after="0"/>
              <w:ind w:left="0" w:right="0" w:firstLine="30"/>
              <w:rPr/>
            </w:pPr>
            <w:r>
              <w:rPr/>
              <w:t> </w:t>
            </w:r>
          </w:p>
        </w:tc>
        <w:tc>
          <w:tcPr>
            <w:tcW w:w="906" w:type="dxa"/>
            <w:gridSpan w:val="2"/>
            <w:tcBorders/>
            <w:shd w:fill="auto" w:val="clear"/>
            <w:vAlign w:val="center"/>
          </w:tcPr>
          <w:p>
            <w:pPr>
              <w:pStyle w:val="TableContents"/>
              <w:spacing w:before="0" w:after="0"/>
              <w:jc w:val="right"/>
              <w:rPr/>
            </w:pPr>
            <w:r>
              <w:rPr/>
              <w:t>—</w:t>
            </w:r>
          </w:p>
        </w:tc>
        <w:tc>
          <w:tcPr>
            <w:tcW w:w="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20" w:type="dxa"/>
            <w:gridSpan w:val="2"/>
            <w:tcBorders/>
            <w:shd w:fill="auto" w:val="clear"/>
            <w:vAlign w:val="center"/>
          </w:tcPr>
          <w:p>
            <w:pPr>
              <w:pStyle w:val="TableContents"/>
              <w:spacing w:before="0" w:after="0"/>
              <w:ind w:left="0" w:right="0" w:firstLine="30"/>
              <w:rPr/>
            </w:pPr>
            <w:r>
              <w:rPr/>
              <w:t> </w:t>
            </w:r>
          </w:p>
        </w:tc>
      </w:tr>
      <w:tr>
        <w:trPr/>
        <w:tc>
          <w:tcPr>
            <w:tcW w:w="4325"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Accelerated depreciation from retirement of certain assets</w:t>
            </w:r>
          </w:p>
        </w:tc>
        <w:tc>
          <w:tcPr>
            <w:tcW w:w="906"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0.5</w:t>
            </w:r>
          </w:p>
        </w:tc>
        <w:tc>
          <w:tcPr>
            <w:tcW w:w="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83" w:type="dxa"/>
            <w:tcBorders/>
            <w:shd w:fill="auto" w:val="clear"/>
            <w:vAlign w:val="center"/>
          </w:tcPr>
          <w:p>
            <w:pPr>
              <w:pStyle w:val="TableContents"/>
              <w:spacing w:before="0" w:after="0"/>
              <w:ind w:left="0" w:right="0" w:firstLine="30"/>
              <w:rPr/>
            </w:pPr>
            <w:r>
              <w:rPr/>
              <w:t> </w:t>
            </w:r>
          </w:p>
        </w:tc>
        <w:tc>
          <w:tcPr>
            <w:tcW w:w="906" w:type="dxa"/>
            <w:gridSpan w:val="2"/>
            <w:tcBorders/>
            <w:shd w:fill="auto" w:val="clear"/>
            <w:vAlign w:val="center"/>
          </w:tcPr>
          <w:p>
            <w:pPr>
              <w:pStyle w:val="TableContents"/>
              <w:spacing w:before="0" w:after="0"/>
              <w:jc w:val="right"/>
              <w:rPr/>
            </w:pPr>
            <w:r>
              <w:rPr/>
              <w:t>—</w:t>
            </w:r>
          </w:p>
        </w:tc>
        <w:tc>
          <w:tcPr>
            <w:tcW w:w="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20" w:type="dxa"/>
            <w:gridSpan w:val="2"/>
            <w:tcBorders/>
            <w:shd w:fill="auto" w:val="clear"/>
            <w:vAlign w:val="center"/>
          </w:tcPr>
          <w:p>
            <w:pPr>
              <w:pStyle w:val="TableContents"/>
              <w:spacing w:before="0" w:after="0"/>
              <w:ind w:left="0" w:right="0" w:firstLine="300"/>
              <w:rPr/>
            </w:pPr>
            <w:r>
              <w:rPr/>
              <w:t> </w:t>
            </w:r>
          </w:p>
        </w:tc>
      </w:tr>
      <w:tr>
        <w:trPr/>
        <w:tc>
          <w:tcPr>
            <w:tcW w:w="4325"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U.S. Pawn adjusted segment contribution</w:t>
            </w:r>
          </w:p>
        </w:tc>
        <w:tc>
          <w:tcPr>
            <w:tcW w:w="224" w:type="dxa"/>
            <w:tcBorders>
              <w:top w:val="single" w:sz="2" w:space="0" w:color="000000"/>
            </w:tcBorders>
            <w:shd w:fill="auto" w:val="clear"/>
            <w:tcMar>
              <w:top w:w="30" w:type="dxa"/>
            </w:tcMar>
            <w:vAlign w:val="center"/>
          </w:tcPr>
          <w:p>
            <w:pPr>
              <w:pStyle w:val="TableContents"/>
              <w:spacing w:before="0" w:after="0"/>
              <w:jc w:val="left"/>
              <w:rPr>
                <w:rFonts w:ascii="inherit" w:hAnsi="inherit"/>
                <w:sz w:val="13"/>
              </w:rPr>
            </w:pPr>
            <w:r>
              <w:rPr>
                <w:rFonts w:ascii="inherit" w:hAnsi="inherit"/>
                <w:sz w:val="13"/>
              </w:rPr>
              <w:t>$</w:t>
            </w:r>
          </w:p>
        </w:tc>
        <w:tc>
          <w:tcPr>
            <w:tcW w:w="682" w:type="dxa"/>
            <w:tcBorders>
              <w:top w:val="single" w:sz="2" w:space="0" w:color="000000"/>
            </w:tcBorders>
            <w:shd w:fill="auto" w:val="clear"/>
            <w:tcMar>
              <w:top w:w="30" w:type="dxa"/>
            </w:tcMar>
            <w:vAlign w:val="center"/>
          </w:tcPr>
          <w:p>
            <w:pPr>
              <w:pStyle w:val="TableContents"/>
              <w:spacing w:before="0" w:after="0"/>
              <w:jc w:val="right"/>
              <w:rPr>
                <w:rFonts w:ascii="inherit" w:hAnsi="inherit"/>
                <w:sz w:val="13"/>
              </w:rPr>
            </w:pPr>
            <w:r>
              <w:rPr>
                <w:rFonts w:ascii="inherit" w:hAnsi="inherit"/>
                <w:sz w:val="13"/>
              </w:rPr>
              <w:t>62.5</w:t>
            </w:r>
          </w:p>
        </w:tc>
        <w:tc>
          <w:tcPr>
            <w:tcW w:w="61"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83" w:type="dxa"/>
            <w:tcBorders/>
            <w:shd w:fill="auto" w:val="clear"/>
            <w:vAlign w:val="center"/>
          </w:tcPr>
          <w:p>
            <w:pPr>
              <w:pStyle w:val="TableContents"/>
              <w:spacing w:before="0" w:after="0"/>
              <w:ind w:left="0" w:right="0" w:firstLine="30"/>
              <w:rPr/>
            </w:pPr>
            <w:r>
              <w:rPr/>
              <w:t> </w:t>
            </w:r>
          </w:p>
        </w:tc>
        <w:tc>
          <w:tcPr>
            <w:tcW w:w="224" w:type="dxa"/>
            <w:tcBorders>
              <w:top w:val="single" w:sz="2" w:space="0" w:color="000000"/>
            </w:tcBorders>
            <w:shd w:fill="auto" w:val="clear"/>
            <w:tcMar>
              <w:top w:w="30" w:type="dxa"/>
            </w:tcMar>
            <w:vAlign w:val="center"/>
          </w:tcPr>
          <w:p>
            <w:pPr>
              <w:pStyle w:val="TableContents"/>
              <w:spacing w:before="0" w:after="0"/>
              <w:jc w:val="left"/>
              <w:rPr>
                <w:rFonts w:ascii="inherit" w:hAnsi="inherit"/>
                <w:sz w:val="13"/>
              </w:rPr>
            </w:pPr>
            <w:r>
              <w:rPr>
                <w:rFonts w:ascii="inherit" w:hAnsi="inherit"/>
                <w:sz w:val="13"/>
              </w:rPr>
              <w:t>$</w:t>
            </w:r>
          </w:p>
        </w:tc>
        <w:tc>
          <w:tcPr>
            <w:tcW w:w="682" w:type="dxa"/>
            <w:tcBorders>
              <w:top w:val="single" w:sz="2" w:space="0" w:color="000000"/>
            </w:tcBorders>
            <w:shd w:fill="auto" w:val="clear"/>
            <w:tcMar>
              <w:top w:w="30" w:type="dxa"/>
            </w:tcMar>
            <w:vAlign w:val="center"/>
          </w:tcPr>
          <w:p>
            <w:pPr>
              <w:pStyle w:val="TableContents"/>
              <w:spacing w:before="0" w:after="0"/>
              <w:jc w:val="right"/>
              <w:rPr>
                <w:rFonts w:ascii="inherit" w:hAnsi="inherit"/>
                <w:sz w:val="13"/>
              </w:rPr>
            </w:pPr>
            <w:r>
              <w:rPr>
                <w:rFonts w:ascii="inherit" w:hAnsi="inherit"/>
                <w:sz w:val="13"/>
              </w:rPr>
              <w:t>56.8</w:t>
            </w:r>
          </w:p>
        </w:tc>
        <w:tc>
          <w:tcPr>
            <w:tcW w:w="61"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288" w:type="dxa"/>
            <w:tcBorders/>
            <w:shd w:fill="auto" w:val="clear"/>
            <w:vAlign w:val="center"/>
          </w:tcPr>
          <w:p>
            <w:pPr>
              <w:pStyle w:val="TableContents"/>
              <w:spacing w:before="0" w:after="0"/>
              <w:jc w:val="right"/>
              <w:rPr>
                <w:rFonts w:ascii="inherit" w:hAnsi="inherit"/>
                <w:sz w:val="13"/>
              </w:rPr>
            </w:pPr>
            <w:r>
              <w:rPr>
                <w:rFonts w:ascii="inherit" w:hAnsi="inherit"/>
                <w:sz w:val="13"/>
              </w:rPr>
              <w:t>10</w:t>
            </w:r>
          </w:p>
        </w:tc>
        <w:tc>
          <w:tcPr>
            <w:tcW w:w="332" w:type="dxa"/>
            <w:tcBorders/>
            <w:shd w:fill="auto" w:val="clear"/>
            <w:vAlign w:val="center"/>
          </w:tcPr>
          <w:p>
            <w:pPr>
              <w:pStyle w:val="TableContents"/>
              <w:spacing w:before="0" w:after="0"/>
              <w:jc w:val="left"/>
              <w:rPr/>
            </w:pPr>
            <w:r>
              <w:rPr/>
              <w:t> </w:t>
            </w:r>
            <w:r>
              <w:rPr>
                <w:rFonts w:ascii="inherit" w:hAnsi="inherit"/>
                <w:sz w:val="13"/>
              </w:rPr>
              <w:t>%</w:t>
            </w:r>
          </w:p>
        </w:tc>
      </w:tr>
    </w:tbl>
    <w:p>
      <w:pPr>
        <w:pStyle w:val="TextBody"/>
        <w:rPr/>
      </w:pPr>
      <w:r>
        <w:rPr/>
      </w:r>
      <w:r>
        <w:br w:type="page"/>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7020"/>
        <w:gridCol w:w="226"/>
        <w:gridCol w:w="879"/>
        <w:gridCol w:w="226"/>
        <w:gridCol w:w="90"/>
        <w:gridCol w:w="1041"/>
        <w:gridCol w:w="723"/>
      </w:tblGrid>
      <w:tr>
        <w:trPr/>
        <w:tc>
          <w:tcPr>
            <w:tcW w:w="10205" w:type="dxa"/>
            <w:gridSpan w:val="7"/>
            <w:tcBorders/>
            <w:shd w:fill="auto" w:val="clear"/>
            <w:vAlign w:val="center"/>
          </w:tcPr>
          <w:p>
            <w:pPr>
              <w:pStyle w:val="TableContents"/>
              <w:spacing w:before="0" w:after="283"/>
              <w:rPr>
                <w:sz w:val="4"/>
                <w:szCs w:val="4"/>
              </w:rPr>
            </w:pPr>
            <w:r>
              <w:rPr>
                <w:sz w:val="4"/>
                <w:szCs w:val="4"/>
              </w:rPr>
            </w:r>
          </w:p>
        </w:tc>
      </w:tr>
      <w:tr>
        <w:trPr/>
        <w:tc>
          <w:tcPr>
            <w:tcW w:w="7020"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87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041" w:type="dxa"/>
            <w:tcBorders/>
            <w:shd w:fill="auto" w:val="clear"/>
            <w:vAlign w:val="center"/>
          </w:tcPr>
          <w:p>
            <w:pPr>
              <w:pStyle w:val="TableContents"/>
              <w:spacing w:before="0" w:after="283"/>
              <w:rPr>
                <w:sz w:val="4"/>
                <w:szCs w:val="4"/>
              </w:rPr>
            </w:pPr>
            <w:r>
              <w:rPr>
                <w:sz w:val="4"/>
                <w:szCs w:val="4"/>
              </w:rPr>
            </w:r>
          </w:p>
        </w:tc>
        <w:tc>
          <w:tcPr>
            <w:tcW w:w="723" w:type="dxa"/>
            <w:tcBorders/>
            <w:shd w:fill="auto" w:val="clear"/>
            <w:vAlign w:val="center"/>
          </w:tcPr>
          <w:p>
            <w:pPr>
              <w:pStyle w:val="TableContents"/>
              <w:spacing w:before="0" w:after="283"/>
              <w:ind w:left="0" w:right="0" w:firstLine="30"/>
              <w:rPr>
                <w:sz w:val="4"/>
                <w:szCs w:val="4"/>
              </w:rPr>
            </w:pPr>
            <w:r>
              <w:rPr>
                <w:sz w:val="4"/>
                <w:szCs w:val="4"/>
              </w:rPr>
            </w:r>
          </w:p>
        </w:tc>
      </w:tr>
      <w:tr>
        <w:trPr/>
        <w:tc>
          <w:tcPr>
            <w:tcW w:w="7020" w:type="dxa"/>
            <w:tcBorders/>
            <w:shd w:fill="auto" w:val="clear"/>
            <w:vAlign w:val="center"/>
          </w:tcPr>
          <w:p>
            <w:pPr>
              <w:pStyle w:val="TableContents"/>
              <w:spacing w:before="0" w:after="0"/>
              <w:ind w:left="0" w:right="0" w:firstLine="30"/>
              <w:jc w:val="left"/>
              <w:rPr/>
            </w:pPr>
            <w:r>
              <w:rPr/>
              <w:t> </w:t>
            </w:r>
          </w:p>
        </w:tc>
        <w:tc>
          <w:tcPr>
            <w:tcW w:w="133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U.S. Dollar Amount</w:t>
            </w:r>
          </w:p>
        </w:tc>
        <w:tc>
          <w:tcPr>
            <w:tcW w:w="90" w:type="dxa"/>
            <w:tcBorders/>
            <w:shd w:fill="auto" w:val="clear"/>
            <w:vAlign w:val="center"/>
          </w:tcPr>
          <w:p>
            <w:pPr>
              <w:pStyle w:val="TableContents"/>
              <w:spacing w:before="0" w:after="0"/>
              <w:ind w:left="0" w:right="0" w:firstLine="30"/>
              <w:rPr/>
            </w:pPr>
            <w:r>
              <w:rPr/>
              <w:t> </w:t>
            </w:r>
          </w:p>
        </w:tc>
        <w:tc>
          <w:tcPr>
            <w:tcW w:w="1764"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Percentage Change YOY</w:t>
            </w:r>
          </w:p>
        </w:tc>
      </w:tr>
      <w:tr>
        <w:trPr/>
        <w:tc>
          <w:tcPr>
            <w:tcW w:w="7020" w:type="dxa"/>
            <w:tcBorders/>
            <w:shd w:fill="auto" w:val="clear"/>
            <w:vAlign w:val="center"/>
          </w:tcPr>
          <w:p>
            <w:pPr>
              <w:pStyle w:val="TableContents"/>
              <w:spacing w:before="0" w:after="0"/>
              <w:ind w:left="0" w:right="0" w:firstLine="30"/>
              <w:rPr/>
            </w:pPr>
            <w:r>
              <w:rPr/>
              <w:t> </w:t>
            </w:r>
          </w:p>
        </w:tc>
        <w:tc>
          <w:tcPr>
            <w:tcW w:w="1331"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764" w:type="dxa"/>
            <w:gridSpan w:val="2"/>
            <w:tcBorders/>
            <w:shd w:fill="auto" w:val="clear"/>
            <w:vAlign w:val="center"/>
          </w:tcPr>
          <w:p>
            <w:pPr>
              <w:pStyle w:val="TableContents"/>
              <w:spacing w:before="0" w:after="0"/>
              <w:ind w:left="0" w:right="0" w:firstLine="30"/>
              <w:rPr/>
            </w:pPr>
            <w:r>
              <w:rPr/>
              <w:t> </w:t>
            </w:r>
          </w:p>
        </w:tc>
      </w:tr>
      <w:tr>
        <w:trPr/>
        <w:tc>
          <w:tcPr>
            <w:tcW w:w="7020" w:type="dxa"/>
            <w:tcBorders/>
            <w:shd w:fill="auto" w:val="clear"/>
            <w:vAlign w:val="center"/>
          </w:tcPr>
          <w:p>
            <w:pPr>
              <w:pStyle w:val="TableContents"/>
              <w:spacing w:before="0" w:after="0"/>
              <w:ind w:left="0" w:right="0" w:firstLine="30"/>
              <w:jc w:val="left"/>
              <w:rPr/>
            </w:pPr>
            <w:r>
              <w:rPr/>
              <w:t> </w:t>
            </w:r>
          </w:p>
        </w:tc>
        <w:tc>
          <w:tcPr>
            <w:tcW w:w="1331" w:type="dxa"/>
            <w:gridSpan w:val="3"/>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millions)</w:t>
            </w:r>
          </w:p>
        </w:tc>
        <w:tc>
          <w:tcPr>
            <w:tcW w:w="90" w:type="dxa"/>
            <w:tcBorders/>
            <w:shd w:fill="auto" w:val="clear"/>
            <w:vAlign w:val="center"/>
          </w:tcPr>
          <w:p>
            <w:pPr>
              <w:pStyle w:val="TableContents"/>
              <w:spacing w:before="0" w:after="0"/>
              <w:ind w:left="0" w:right="0" w:firstLine="30"/>
              <w:rPr/>
            </w:pPr>
            <w:r>
              <w:rPr/>
              <w:t> </w:t>
            </w:r>
          </w:p>
        </w:tc>
        <w:tc>
          <w:tcPr>
            <w:tcW w:w="1764" w:type="dxa"/>
            <w:gridSpan w:val="2"/>
            <w:tcBorders/>
            <w:shd w:fill="auto" w:val="clear"/>
            <w:vAlign w:val="center"/>
          </w:tcPr>
          <w:p>
            <w:pPr>
              <w:pStyle w:val="TableContents"/>
              <w:spacing w:before="0" w:after="0"/>
              <w:ind w:left="0" w:right="0" w:firstLine="30"/>
              <w:rPr/>
            </w:pPr>
            <w:r>
              <w:rPr/>
              <w:t> </w:t>
            </w:r>
          </w:p>
        </w:tc>
      </w:tr>
      <w:tr>
        <w:trPr/>
        <w:tc>
          <w:tcPr>
            <w:tcW w:w="702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Latin America Pawn same store PLO</w:t>
            </w:r>
          </w:p>
        </w:tc>
        <w:tc>
          <w:tcPr>
            <w:tcW w:w="226" w:type="dxa"/>
            <w:tcBorders/>
            <w:shd w:fill="auto" w:val="clear"/>
            <w:vAlign w:val="center"/>
          </w:tcPr>
          <w:p>
            <w:pPr>
              <w:pStyle w:val="TableContents"/>
              <w:spacing w:before="0" w:after="0"/>
              <w:jc w:val="left"/>
              <w:rPr>
                <w:rFonts w:ascii="inherit" w:hAnsi="inherit"/>
                <w:sz w:val="13"/>
              </w:rPr>
            </w:pPr>
            <w:r>
              <w:rPr>
                <w:rFonts w:ascii="inherit" w:hAnsi="inherit"/>
                <w:sz w:val="13"/>
              </w:rPr>
              <w:t>$</w:t>
            </w:r>
          </w:p>
        </w:tc>
        <w:tc>
          <w:tcPr>
            <w:tcW w:w="879" w:type="dxa"/>
            <w:tcBorders/>
            <w:shd w:fill="auto" w:val="clear"/>
            <w:vAlign w:val="center"/>
          </w:tcPr>
          <w:p>
            <w:pPr>
              <w:pStyle w:val="TableContents"/>
              <w:spacing w:before="0" w:after="0"/>
              <w:jc w:val="right"/>
              <w:rPr>
                <w:rFonts w:ascii="inherit" w:hAnsi="inherit"/>
                <w:sz w:val="13"/>
              </w:rPr>
            </w:pPr>
            <w:r>
              <w:rPr>
                <w:rFonts w:ascii="inherit" w:hAnsi="inherit"/>
                <w:sz w:val="13"/>
              </w:rPr>
              <w:t>19.7</w:t>
            </w:r>
          </w:p>
        </w:tc>
        <w:tc>
          <w:tcPr>
            <w:tcW w:w="2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41" w:type="dxa"/>
            <w:tcBorders/>
            <w:shd w:fill="auto" w:val="clear"/>
            <w:vAlign w:val="center"/>
          </w:tcPr>
          <w:p>
            <w:pPr>
              <w:pStyle w:val="TableContents"/>
              <w:spacing w:before="0" w:after="0"/>
              <w:jc w:val="right"/>
              <w:rPr>
                <w:rFonts w:ascii="inherit" w:hAnsi="inherit"/>
                <w:sz w:val="13"/>
              </w:rPr>
            </w:pPr>
            <w:r>
              <w:rPr>
                <w:rFonts w:ascii="inherit" w:hAnsi="inherit"/>
                <w:sz w:val="13"/>
              </w:rPr>
              <w:t>10</w:t>
            </w:r>
          </w:p>
        </w:tc>
        <w:tc>
          <w:tcPr>
            <w:tcW w:w="723"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r>
      <w:tr>
        <w:trPr/>
        <w:tc>
          <w:tcPr>
            <w:tcW w:w="702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Currency exchange rate fluctuations</w:t>
            </w:r>
          </w:p>
        </w:tc>
        <w:tc>
          <w:tcPr>
            <w:tcW w:w="110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(0.3</w:t>
            </w:r>
          </w:p>
        </w:tc>
        <w:tc>
          <w:tcPr>
            <w:tcW w:w="226"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90" w:type="dxa"/>
            <w:tcBorders/>
            <w:shd w:fill="auto" w:val="clear"/>
            <w:vAlign w:val="center"/>
          </w:tcPr>
          <w:p>
            <w:pPr>
              <w:pStyle w:val="TableContents"/>
              <w:spacing w:before="0" w:after="0"/>
              <w:ind w:left="0" w:right="0" w:firstLine="30"/>
              <w:rPr/>
            </w:pPr>
            <w:r>
              <w:rPr/>
              <w:t> </w:t>
            </w:r>
          </w:p>
        </w:tc>
        <w:tc>
          <w:tcPr>
            <w:tcW w:w="1764" w:type="dxa"/>
            <w:gridSpan w:val="2"/>
            <w:tcBorders/>
            <w:shd w:fill="auto" w:val="clear"/>
            <w:vAlign w:val="center"/>
          </w:tcPr>
          <w:p>
            <w:pPr>
              <w:pStyle w:val="TableContents"/>
              <w:spacing w:before="0" w:after="0"/>
              <w:ind w:left="0" w:right="0" w:firstLine="300"/>
              <w:rPr/>
            </w:pPr>
            <w:r>
              <w:rPr/>
              <w:t> </w:t>
            </w:r>
          </w:p>
        </w:tc>
      </w:tr>
      <w:tr>
        <w:trPr/>
        <w:tc>
          <w:tcPr>
            <w:tcW w:w="702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Constant currency Latin America Pawn same store PLO</w:t>
            </w:r>
          </w:p>
        </w:tc>
        <w:tc>
          <w:tcPr>
            <w:tcW w:w="226" w:type="dxa"/>
            <w:tcBorders>
              <w:top w:val="single" w:sz="2" w:space="0" w:color="000000"/>
            </w:tcBorders>
            <w:shd w:fill="auto" w:val="clear"/>
            <w:tcMar>
              <w:top w:w="30" w:type="dxa"/>
            </w:tcMar>
            <w:vAlign w:val="center"/>
          </w:tcPr>
          <w:p>
            <w:pPr>
              <w:pStyle w:val="TableContents"/>
              <w:spacing w:before="0" w:after="0"/>
              <w:jc w:val="left"/>
              <w:rPr>
                <w:rFonts w:ascii="inherit" w:hAnsi="inherit"/>
                <w:sz w:val="13"/>
              </w:rPr>
            </w:pPr>
            <w:r>
              <w:rPr>
                <w:rFonts w:ascii="inherit" w:hAnsi="inherit"/>
                <w:sz w:val="13"/>
              </w:rPr>
              <w:t>$</w:t>
            </w:r>
          </w:p>
        </w:tc>
        <w:tc>
          <w:tcPr>
            <w:tcW w:w="879" w:type="dxa"/>
            <w:tcBorders>
              <w:top w:val="single" w:sz="2" w:space="0" w:color="000000"/>
            </w:tcBorders>
            <w:shd w:fill="auto" w:val="clear"/>
            <w:tcMar>
              <w:top w:w="30" w:type="dxa"/>
            </w:tcMar>
            <w:vAlign w:val="center"/>
          </w:tcPr>
          <w:p>
            <w:pPr>
              <w:pStyle w:val="TableContents"/>
              <w:spacing w:before="0" w:after="0"/>
              <w:jc w:val="right"/>
              <w:rPr>
                <w:rFonts w:ascii="inherit" w:hAnsi="inherit"/>
                <w:sz w:val="13"/>
              </w:rPr>
            </w:pPr>
            <w:r>
              <w:rPr>
                <w:rFonts w:ascii="inherit" w:hAnsi="inherit"/>
                <w:sz w:val="13"/>
              </w:rPr>
              <w:t>19.4</w:t>
            </w:r>
          </w:p>
        </w:tc>
        <w:tc>
          <w:tcPr>
            <w:tcW w:w="226"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41" w:type="dxa"/>
            <w:tcBorders>
              <w:top w:val="single" w:sz="2" w:space="0" w:color="000000"/>
            </w:tcBorders>
            <w:shd w:fill="auto" w:val="clear"/>
            <w:tcMar>
              <w:top w:w="30" w:type="dxa"/>
            </w:tcMar>
            <w:vAlign w:val="center"/>
          </w:tcPr>
          <w:p>
            <w:pPr>
              <w:pStyle w:val="TableContents"/>
              <w:spacing w:before="0" w:after="0"/>
              <w:jc w:val="right"/>
              <w:rPr>
                <w:rFonts w:ascii="inherit" w:hAnsi="inherit"/>
                <w:sz w:val="13"/>
              </w:rPr>
            </w:pPr>
            <w:r>
              <w:rPr>
                <w:rFonts w:ascii="inherit" w:hAnsi="inherit"/>
                <w:sz w:val="13"/>
              </w:rPr>
              <w:t>9</w:t>
            </w:r>
          </w:p>
        </w:tc>
        <w:tc>
          <w:tcPr>
            <w:tcW w:w="723" w:type="dxa"/>
            <w:tcBorders>
              <w:top w:val="single" w:sz="2" w:space="0" w:color="000000"/>
            </w:tcBorders>
            <w:shd w:fill="auto" w:val="clear"/>
            <w:tcMar>
              <w:top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r>
      <w:tr>
        <w:trPr/>
        <w:tc>
          <w:tcPr>
            <w:tcW w:w="7020" w:type="dxa"/>
            <w:tcBorders/>
            <w:shd w:fill="auto" w:val="clear"/>
            <w:vAlign w:val="center"/>
          </w:tcPr>
          <w:p>
            <w:pPr>
              <w:pStyle w:val="TableContents"/>
              <w:spacing w:before="0" w:after="0"/>
              <w:ind w:left="0" w:right="0" w:firstLine="30"/>
              <w:rPr/>
            </w:pPr>
            <w:r>
              <w:rPr/>
              <w:t> </w:t>
            </w:r>
          </w:p>
        </w:tc>
        <w:tc>
          <w:tcPr>
            <w:tcW w:w="1331"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764" w:type="dxa"/>
            <w:gridSpan w:val="2"/>
            <w:tcBorders/>
            <w:shd w:fill="auto" w:val="clear"/>
            <w:vAlign w:val="center"/>
          </w:tcPr>
          <w:p>
            <w:pPr>
              <w:pStyle w:val="TableContents"/>
              <w:spacing w:before="0" w:after="0"/>
              <w:ind w:left="0" w:right="0" w:firstLine="30"/>
              <w:rPr/>
            </w:pPr>
            <w:r>
              <w:rPr/>
              <w:t> </w:t>
            </w:r>
          </w:p>
        </w:tc>
      </w:tr>
      <w:tr>
        <w:trPr/>
        <w:tc>
          <w:tcPr>
            <w:tcW w:w="702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Consolidated net revenue (three months ended March 31, 2018)</w:t>
            </w:r>
          </w:p>
        </w:tc>
        <w:tc>
          <w:tcPr>
            <w:tcW w:w="226" w:type="dxa"/>
            <w:tcBorders/>
            <w:shd w:fill="auto" w:val="clear"/>
            <w:vAlign w:val="center"/>
          </w:tcPr>
          <w:p>
            <w:pPr>
              <w:pStyle w:val="TableContents"/>
              <w:spacing w:before="0" w:after="0"/>
              <w:jc w:val="left"/>
              <w:rPr>
                <w:rFonts w:ascii="inherit" w:hAnsi="inherit"/>
                <w:sz w:val="13"/>
              </w:rPr>
            </w:pPr>
            <w:r>
              <w:rPr>
                <w:rFonts w:ascii="inherit" w:hAnsi="inherit"/>
                <w:sz w:val="13"/>
              </w:rPr>
              <w:t>$</w:t>
            </w:r>
          </w:p>
        </w:tc>
        <w:tc>
          <w:tcPr>
            <w:tcW w:w="879" w:type="dxa"/>
            <w:tcBorders/>
            <w:shd w:fill="auto" w:val="clear"/>
            <w:vAlign w:val="center"/>
          </w:tcPr>
          <w:p>
            <w:pPr>
              <w:pStyle w:val="TableContents"/>
              <w:spacing w:before="0" w:after="0"/>
              <w:jc w:val="right"/>
              <w:rPr>
                <w:rFonts w:ascii="inherit" w:hAnsi="inherit"/>
                <w:sz w:val="13"/>
              </w:rPr>
            </w:pPr>
            <w:r>
              <w:rPr>
                <w:rFonts w:ascii="inherit" w:hAnsi="inherit"/>
                <w:sz w:val="13"/>
              </w:rPr>
              <w:t>120.6</w:t>
            </w:r>
          </w:p>
        </w:tc>
        <w:tc>
          <w:tcPr>
            <w:tcW w:w="2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41" w:type="dxa"/>
            <w:tcBorders/>
            <w:shd w:fill="auto" w:val="clear"/>
            <w:vAlign w:val="center"/>
          </w:tcPr>
          <w:p>
            <w:pPr>
              <w:pStyle w:val="TableContents"/>
              <w:spacing w:before="0" w:after="0"/>
              <w:jc w:val="right"/>
              <w:rPr>
                <w:rFonts w:ascii="inherit" w:hAnsi="inherit"/>
                <w:sz w:val="13"/>
              </w:rPr>
            </w:pPr>
            <w:r>
              <w:rPr>
                <w:rFonts w:ascii="inherit" w:hAnsi="inherit"/>
                <w:sz w:val="13"/>
              </w:rPr>
              <w:t>10</w:t>
            </w:r>
          </w:p>
        </w:tc>
        <w:tc>
          <w:tcPr>
            <w:tcW w:w="723"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r>
      <w:tr>
        <w:trPr/>
        <w:tc>
          <w:tcPr>
            <w:tcW w:w="702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Currency exchange rate fluctuations</w:t>
            </w:r>
          </w:p>
        </w:tc>
        <w:tc>
          <w:tcPr>
            <w:tcW w:w="1105"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(1.2</w:t>
            </w:r>
          </w:p>
        </w:tc>
        <w:tc>
          <w:tcPr>
            <w:tcW w:w="226"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90" w:type="dxa"/>
            <w:tcBorders/>
            <w:shd w:fill="auto" w:val="clear"/>
            <w:vAlign w:val="center"/>
          </w:tcPr>
          <w:p>
            <w:pPr>
              <w:pStyle w:val="TableContents"/>
              <w:spacing w:before="0" w:after="0"/>
              <w:ind w:left="0" w:right="0" w:firstLine="30"/>
              <w:rPr/>
            </w:pPr>
            <w:r>
              <w:rPr/>
              <w:t> </w:t>
            </w:r>
          </w:p>
        </w:tc>
        <w:tc>
          <w:tcPr>
            <w:tcW w:w="1764" w:type="dxa"/>
            <w:gridSpan w:val="2"/>
            <w:tcBorders/>
            <w:shd w:fill="auto" w:val="clear"/>
            <w:vAlign w:val="center"/>
          </w:tcPr>
          <w:p>
            <w:pPr>
              <w:pStyle w:val="TableContents"/>
              <w:spacing w:before="0" w:after="0"/>
              <w:ind w:left="0" w:right="0" w:firstLine="300"/>
              <w:rPr/>
            </w:pPr>
            <w:r>
              <w:rPr/>
              <w:t> </w:t>
            </w:r>
          </w:p>
        </w:tc>
      </w:tr>
      <w:tr>
        <w:trPr/>
        <w:tc>
          <w:tcPr>
            <w:tcW w:w="702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Constant currency consolidated net revenue (three months ended March 31, 2018)</w:t>
            </w:r>
          </w:p>
        </w:tc>
        <w:tc>
          <w:tcPr>
            <w:tcW w:w="226" w:type="dxa"/>
            <w:tcBorders>
              <w:top w:val="single" w:sz="2" w:space="0" w:color="000000"/>
            </w:tcBorders>
            <w:shd w:fill="auto" w:val="clear"/>
            <w:tcMar>
              <w:top w:w="30" w:type="dxa"/>
            </w:tcMar>
            <w:vAlign w:val="center"/>
          </w:tcPr>
          <w:p>
            <w:pPr>
              <w:pStyle w:val="TableContents"/>
              <w:spacing w:before="0" w:after="0"/>
              <w:jc w:val="left"/>
              <w:rPr>
                <w:rFonts w:ascii="inherit" w:hAnsi="inherit"/>
                <w:sz w:val="13"/>
              </w:rPr>
            </w:pPr>
            <w:r>
              <w:rPr>
                <w:rFonts w:ascii="inherit" w:hAnsi="inherit"/>
                <w:sz w:val="13"/>
              </w:rPr>
              <w:t>$</w:t>
            </w:r>
          </w:p>
        </w:tc>
        <w:tc>
          <w:tcPr>
            <w:tcW w:w="879" w:type="dxa"/>
            <w:tcBorders>
              <w:top w:val="single" w:sz="2" w:space="0" w:color="000000"/>
            </w:tcBorders>
            <w:shd w:fill="auto" w:val="clear"/>
            <w:tcMar>
              <w:top w:w="30" w:type="dxa"/>
            </w:tcMar>
            <w:vAlign w:val="center"/>
          </w:tcPr>
          <w:p>
            <w:pPr>
              <w:pStyle w:val="TableContents"/>
              <w:spacing w:before="0" w:after="0"/>
              <w:jc w:val="right"/>
              <w:rPr>
                <w:rFonts w:ascii="inherit" w:hAnsi="inherit"/>
                <w:sz w:val="13"/>
              </w:rPr>
            </w:pPr>
            <w:r>
              <w:rPr>
                <w:rFonts w:ascii="inherit" w:hAnsi="inherit"/>
                <w:sz w:val="13"/>
              </w:rPr>
              <w:t>119.4</w:t>
            </w:r>
          </w:p>
        </w:tc>
        <w:tc>
          <w:tcPr>
            <w:tcW w:w="226"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41" w:type="dxa"/>
            <w:tcBorders>
              <w:top w:val="single" w:sz="2" w:space="0" w:color="000000"/>
            </w:tcBorders>
            <w:shd w:fill="auto" w:val="clear"/>
            <w:tcMar>
              <w:top w:w="30" w:type="dxa"/>
            </w:tcMar>
            <w:vAlign w:val="center"/>
          </w:tcPr>
          <w:p>
            <w:pPr>
              <w:pStyle w:val="TableContents"/>
              <w:spacing w:before="0" w:after="0"/>
              <w:jc w:val="right"/>
              <w:rPr>
                <w:rFonts w:ascii="inherit" w:hAnsi="inherit"/>
                <w:sz w:val="13"/>
              </w:rPr>
            </w:pPr>
            <w:r>
              <w:rPr>
                <w:rFonts w:ascii="inherit" w:hAnsi="inherit"/>
                <w:sz w:val="13"/>
              </w:rPr>
              <w:t>9</w:t>
            </w:r>
          </w:p>
        </w:tc>
        <w:tc>
          <w:tcPr>
            <w:tcW w:w="723" w:type="dxa"/>
            <w:tcBorders>
              <w:top w:val="single" w:sz="2" w:space="0" w:color="000000"/>
            </w:tcBorders>
            <w:shd w:fill="auto" w:val="clear"/>
            <w:tcMar>
              <w:top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r>
      <w:tr>
        <w:trPr/>
        <w:tc>
          <w:tcPr>
            <w:tcW w:w="7020" w:type="dxa"/>
            <w:tcBorders/>
            <w:shd w:fill="auto" w:val="clear"/>
            <w:vAlign w:val="center"/>
          </w:tcPr>
          <w:p>
            <w:pPr>
              <w:pStyle w:val="TableContents"/>
              <w:spacing w:before="0" w:after="0"/>
              <w:ind w:left="0" w:right="0" w:firstLine="30"/>
              <w:rPr/>
            </w:pPr>
            <w:r>
              <w:rPr/>
              <w:t> </w:t>
            </w:r>
          </w:p>
        </w:tc>
        <w:tc>
          <w:tcPr>
            <w:tcW w:w="1331"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764" w:type="dxa"/>
            <w:gridSpan w:val="2"/>
            <w:tcBorders/>
            <w:shd w:fill="auto" w:val="clear"/>
            <w:vAlign w:val="center"/>
          </w:tcPr>
          <w:p>
            <w:pPr>
              <w:pStyle w:val="TableContents"/>
              <w:spacing w:before="0" w:after="0"/>
              <w:ind w:left="0" w:right="0" w:firstLine="30"/>
              <w:rPr/>
            </w:pPr>
            <w:r>
              <w:rPr/>
              <w:t> </w:t>
            </w:r>
          </w:p>
        </w:tc>
      </w:tr>
      <w:tr>
        <w:trPr/>
        <w:tc>
          <w:tcPr>
            <w:tcW w:w="7020" w:type="dxa"/>
            <w:tcBorders/>
            <w:shd w:fill="auto" w:val="clear"/>
            <w:vAlign w:val="center"/>
          </w:tcPr>
          <w:p>
            <w:pPr>
              <w:pStyle w:val="TableContents"/>
              <w:spacing w:before="0" w:after="0"/>
              <w:ind w:left="0" w:right="0" w:firstLine="30"/>
              <w:rPr>
                <w:rFonts w:ascii="inherit" w:hAnsi="inherit"/>
                <w:sz w:val="13"/>
              </w:rPr>
            </w:pPr>
            <w:r>
              <w:rPr>
                <w:rFonts w:ascii="inherit" w:hAnsi="inherit"/>
                <w:sz w:val="13"/>
              </w:rPr>
              <w:t>Consolidated PSC revenue (three months ended March 31, 2018)</w:t>
            </w:r>
          </w:p>
        </w:tc>
        <w:tc>
          <w:tcPr>
            <w:tcW w:w="226" w:type="dxa"/>
            <w:tcBorders/>
            <w:shd w:fill="auto" w:val="clear"/>
            <w:vAlign w:val="center"/>
          </w:tcPr>
          <w:p>
            <w:pPr>
              <w:pStyle w:val="TableContents"/>
              <w:spacing w:before="0" w:after="0"/>
              <w:jc w:val="left"/>
              <w:rPr>
                <w:rFonts w:ascii="inherit" w:hAnsi="inherit"/>
                <w:sz w:val="13"/>
              </w:rPr>
            </w:pPr>
            <w:r>
              <w:rPr>
                <w:rFonts w:ascii="inherit" w:hAnsi="inherit"/>
                <w:sz w:val="13"/>
              </w:rPr>
              <w:t>$</w:t>
            </w:r>
          </w:p>
        </w:tc>
        <w:tc>
          <w:tcPr>
            <w:tcW w:w="879" w:type="dxa"/>
            <w:tcBorders/>
            <w:shd w:fill="auto" w:val="clear"/>
            <w:vAlign w:val="center"/>
          </w:tcPr>
          <w:p>
            <w:pPr>
              <w:pStyle w:val="TableContents"/>
              <w:spacing w:before="0" w:after="0"/>
              <w:jc w:val="right"/>
              <w:rPr>
                <w:rFonts w:ascii="inherit" w:hAnsi="inherit"/>
                <w:sz w:val="13"/>
              </w:rPr>
            </w:pPr>
            <w:r>
              <w:rPr>
                <w:rFonts w:ascii="inherit" w:hAnsi="inherit"/>
                <w:sz w:val="13"/>
              </w:rPr>
              <w:t>74.4</w:t>
            </w:r>
          </w:p>
        </w:tc>
        <w:tc>
          <w:tcPr>
            <w:tcW w:w="2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41" w:type="dxa"/>
            <w:tcBorders/>
            <w:shd w:fill="auto" w:val="clear"/>
            <w:vAlign w:val="center"/>
          </w:tcPr>
          <w:p>
            <w:pPr>
              <w:pStyle w:val="TableContents"/>
              <w:spacing w:before="0" w:after="0"/>
              <w:jc w:val="right"/>
              <w:rPr>
                <w:rFonts w:ascii="inherit" w:hAnsi="inherit"/>
                <w:sz w:val="13"/>
              </w:rPr>
            </w:pPr>
            <w:r>
              <w:rPr>
                <w:rFonts w:ascii="inherit" w:hAnsi="inherit"/>
                <w:sz w:val="13"/>
              </w:rPr>
              <w:t>11</w:t>
            </w:r>
          </w:p>
        </w:tc>
        <w:tc>
          <w:tcPr>
            <w:tcW w:w="723"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r>
      <w:tr>
        <w:trPr/>
        <w:tc>
          <w:tcPr>
            <w:tcW w:w="7020" w:type="dxa"/>
            <w:tcBorders/>
            <w:shd w:fill="auto" w:val="clear"/>
            <w:vAlign w:val="center"/>
          </w:tcPr>
          <w:p>
            <w:pPr>
              <w:pStyle w:val="TableContents"/>
              <w:spacing w:before="0" w:after="0"/>
              <w:ind w:left="0" w:right="0" w:firstLine="30"/>
              <w:rPr>
                <w:rFonts w:ascii="inherit" w:hAnsi="inherit"/>
                <w:sz w:val="13"/>
              </w:rPr>
            </w:pPr>
            <w:r>
              <w:rPr>
                <w:rFonts w:ascii="inherit" w:hAnsi="inherit"/>
                <w:sz w:val="13"/>
              </w:rPr>
              <w:t>Currency exchange rate fluctuations</w:t>
            </w:r>
          </w:p>
        </w:tc>
        <w:tc>
          <w:tcPr>
            <w:tcW w:w="1105"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(0.7</w:t>
            </w:r>
          </w:p>
        </w:tc>
        <w:tc>
          <w:tcPr>
            <w:tcW w:w="226"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90" w:type="dxa"/>
            <w:tcBorders/>
            <w:shd w:fill="auto" w:val="clear"/>
            <w:vAlign w:val="center"/>
          </w:tcPr>
          <w:p>
            <w:pPr>
              <w:pStyle w:val="TableContents"/>
              <w:spacing w:before="0" w:after="0"/>
              <w:ind w:left="0" w:right="0" w:firstLine="30"/>
              <w:rPr/>
            </w:pPr>
            <w:r>
              <w:rPr/>
              <w:t> </w:t>
            </w:r>
          </w:p>
        </w:tc>
        <w:tc>
          <w:tcPr>
            <w:tcW w:w="1764" w:type="dxa"/>
            <w:gridSpan w:val="2"/>
            <w:tcBorders/>
            <w:shd w:fill="auto" w:val="clear"/>
            <w:vAlign w:val="center"/>
          </w:tcPr>
          <w:p>
            <w:pPr>
              <w:pStyle w:val="TableContents"/>
              <w:spacing w:before="0" w:after="0"/>
              <w:ind w:left="0" w:right="0" w:firstLine="300"/>
              <w:rPr/>
            </w:pPr>
            <w:r>
              <w:rPr/>
              <w:t> </w:t>
            </w:r>
          </w:p>
        </w:tc>
      </w:tr>
      <w:tr>
        <w:trPr/>
        <w:tc>
          <w:tcPr>
            <w:tcW w:w="702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Constant currency consolidated PSC revenue (three months ended March 31, 2018)</w:t>
            </w:r>
          </w:p>
        </w:tc>
        <w:tc>
          <w:tcPr>
            <w:tcW w:w="226" w:type="dxa"/>
            <w:tcBorders>
              <w:top w:val="single" w:sz="2" w:space="0" w:color="000000"/>
            </w:tcBorders>
            <w:shd w:fill="auto" w:val="clear"/>
            <w:tcMar>
              <w:top w:w="30" w:type="dxa"/>
            </w:tcMar>
            <w:vAlign w:val="center"/>
          </w:tcPr>
          <w:p>
            <w:pPr>
              <w:pStyle w:val="TableContents"/>
              <w:spacing w:before="0" w:after="0"/>
              <w:jc w:val="left"/>
              <w:rPr>
                <w:rFonts w:ascii="inherit" w:hAnsi="inherit"/>
                <w:sz w:val="13"/>
              </w:rPr>
            </w:pPr>
            <w:r>
              <w:rPr>
                <w:rFonts w:ascii="inherit" w:hAnsi="inherit"/>
                <w:sz w:val="13"/>
              </w:rPr>
              <w:t>$</w:t>
            </w:r>
          </w:p>
        </w:tc>
        <w:tc>
          <w:tcPr>
            <w:tcW w:w="879" w:type="dxa"/>
            <w:tcBorders>
              <w:top w:val="single" w:sz="2" w:space="0" w:color="000000"/>
            </w:tcBorders>
            <w:shd w:fill="auto" w:val="clear"/>
            <w:tcMar>
              <w:top w:w="30" w:type="dxa"/>
            </w:tcMar>
            <w:vAlign w:val="center"/>
          </w:tcPr>
          <w:p>
            <w:pPr>
              <w:pStyle w:val="TableContents"/>
              <w:spacing w:before="0" w:after="0"/>
              <w:jc w:val="right"/>
              <w:rPr>
                <w:rFonts w:ascii="inherit" w:hAnsi="inherit"/>
                <w:sz w:val="13"/>
              </w:rPr>
            </w:pPr>
            <w:r>
              <w:rPr>
                <w:rFonts w:ascii="inherit" w:hAnsi="inherit"/>
                <w:sz w:val="13"/>
              </w:rPr>
              <w:t>73.7</w:t>
            </w:r>
          </w:p>
        </w:tc>
        <w:tc>
          <w:tcPr>
            <w:tcW w:w="226"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41" w:type="dxa"/>
            <w:tcBorders>
              <w:top w:val="single" w:sz="2" w:space="0" w:color="000000"/>
            </w:tcBorders>
            <w:shd w:fill="auto" w:val="clear"/>
            <w:tcMar>
              <w:top w:w="30" w:type="dxa"/>
            </w:tcMar>
            <w:vAlign w:val="center"/>
          </w:tcPr>
          <w:p>
            <w:pPr>
              <w:pStyle w:val="TableContents"/>
              <w:spacing w:before="0" w:after="0"/>
              <w:jc w:val="right"/>
              <w:rPr>
                <w:rFonts w:ascii="inherit" w:hAnsi="inherit"/>
                <w:sz w:val="13"/>
              </w:rPr>
            </w:pPr>
            <w:r>
              <w:rPr>
                <w:rFonts w:ascii="inherit" w:hAnsi="inherit"/>
                <w:sz w:val="13"/>
              </w:rPr>
              <w:t>10</w:t>
            </w:r>
          </w:p>
        </w:tc>
        <w:tc>
          <w:tcPr>
            <w:tcW w:w="723" w:type="dxa"/>
            <w:tcBorders>
              <w:top w:val="single" w:sz="2" w:space="0" w:color="000000"/>
            </w:tcBorders>
            <w:shd w:fill="auto" w:val="clear"/>
            <w:tcMar>
              <w:top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r>
      <w:tr>
        <w:trPr/>
        <w:tc>
          <w:tcPr>
            <w:tcW w:w="7020" w:type="dxa"/>
            <w:tcBorders/>
            <w:shd w:fill="auto" w:val="clear"/>
            <w:vAlign w:val="center"/>
          </w:tcPr>
          <w:p>
            <w:pPr>
              <w:pStyle w:val="TableContents"/>
              <w:spacing w:before="0" w:after="0"/>
              <w:ind w:left="0" w:right="0" w:firstLine="30"/>
              <w:rPr/>
            </w:pPr>
            <w:r>
              <w:rPr/>
              <w:t> </w:t>
            </w:r>
          </w:p>
        </w:tc>
        <w:tc>
          <w:tcPr>
            <w:tcW w:w="1331"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764" w:type="dxa"/>
            <w:gridSpan w:val="2"/>
            <w:tcBorders/>
            <w:shd w:fill="auto" w:val="clear"/>
            <w:vAlign w:val="center"/>
          </w:tcPr>
          <w:p>
            <w:pPr>
              <w:pStyle w:val="TableContents"/>
              <w:spacing w:before="0" w:after="0"/>
              <w:ind w:left="0" w:right="0" w:firstLine="30"/>
              <w:rPr/>
            </w:pPr>
            <w:r>
              <w:rPr/>
              <w:t> </w:t>
            </w:r>
          </w:p>
        </w:tc>
      </w:tr>
      <w:tr>
        <w:trPr/>
        <w:tc>
          <w:tcPr>
            <w:tcW w:w="702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Consolidated merchandise sales (three months ended March 31, 2018)</w:t>
            </w:r>
          </w:p>
        </w:tc>
        <w:tc>
          <w:tcPr>
            <w:tcW w:w="226" w:type="dxa"/>
            <w:tcBorders/>
            <w:shd w:fill="auto" w:val="clear"/>
            <w:vAlign w:val="center"/>
          </w:tcPr>
          <w:p>
            <w:pPr>
              <w:pStyle w:val="TableContents"/>
              <w:spacing w:before="0" w:after="0"/>
              <w:jc w:val="left"/>
              <w:rPr>
                <w:rFonts w:ascii="inherit" w:hAnsi="inherit"/>
                <w:sz w:val="13"/>
              </w:rPr>
            </w:pPr>
            <w:r>
              <w:rPr>
                <w:rFonts w:ascii="inherit" w:hAnsi="inherit"/>
                <w:sz w:val="13"/>
              </w:rPr>
              <w:t>$</w:t>
            </w:r>
          </w:p>
        </w:tc>
        <w:tc>
          <w:tcPr>
            <w:tcW w:w="879" w:type="dxa"/>
            <w:tcBorders/>
            <w:shd w:fill="auto" w:val="clear"/>
            <w:vAlign w:val="center"/>
          </w:tcPr>
          <w:p>
            <w:pPr>
              <w:pStyle w:val="TableContents"/>
              <w:spacing w:before="0" w:after="0"/>
              <w:jc w:val="right"/>
              <w:rPr>
                <w:rFonts w:ascii="inherit" w:hAnsi="inherit"/>
                <w:sz w:val="13"/>
              </w:rPr>
            </w:pPr>
            <w:r>
              <w:rPr>
                <w:rFonts w:ascii="inherit" w:hAnsi="inherit"/>
                <w:sz w:val="13"/>
              </w:rPr>
              <w:t>114.9</w:t>
            </w:r>
          </w:p>
        </w:tc>
        <w:tc>
          <w:tcPr>
            <w:tcW w:w="2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41" w:type="dxa"/>
            <w:tcBorders/>
            <w:shd w:fill="auto" w:val="clear"/>
            <w:vAlign w:val="center"/>
          </w:tcPr>
          <w:p>
            <w:pPr>
              <w:pStyle w:val="TableContents"/>
              <w:spacing w:before="0" w:after="0"/>
              <w:jc w:val="right"/>
              <w:rPr>
                <w:rFonts w:ascii="inherit" w:hAnsi="inherit"/>
                <w:sz w:val="13"/>
              </w:rPr>
            </w:pPr>
            <w:r>
              <w:rPr>
                <w:rFonts w:ascii="inherit" w:hAnsi="inherit"/>
                <w:sz w:val="13"/>
              </w:rPr>
              <w:t>4</w:t>
            </w:r>
          </w:p>
        </w:tc>
        <w:tc>
          <w:tcPr>
            <w:tcW w:w="723"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r>
      <w:tr>
        <w:trPr/>
        <w:tc>
          <w:tcPr>
            <w:tcW w:w="702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Currency exchange rate fluctuations</w:t>
            </w:r>
          </w:p>
        </w:tc>
        <w:tc>
          <w:tcPr>
            <w:tcW w:w="1105"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(1.3</w:t>
            </w:r>
          </w:p>
        </w:tc>
        <w:tc>
          <w:tcPr>
            <w:tcW w:w="226"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90" w:type="dxa"/>
            <w:tcBorders/>
            <w:shd w:fill="auto" w:val="clear"/>
            <w:vAlign w:val="center"/>
          </w:tcPr>
          <w:p>
            <w:pPr>
              <w:pStyle w:val="TableContents"/>
              <w:spacing w:before="0" w:after="0"/>
              <w:ind w:left="0" w:right="0" w:firstLine="30"/>
              <w:rPr/>
            </w:pPr>
            <w:r>
              <w:rPr/>
              <w:t> </w:t>
            </w:r>
          </w:p>
        </w:tc>
        <w:tc>
          <w:tcPr>
            <w:tcW w:w="1764" w:type="dxa"/>
            <w:gridSpan w:val="2"/>
            <w:tcBorders/>
            <w:shd w:fill="auto" w:val="clear"/>
            <w:vAlign w:val="center"/>
          </w:tcPr>
          <w:p>
            <w:pPr>
              <w:pStyle w:val="TableContents"/>
              <w:spacing w:before="0" w:after="0"/>
              <w:ind w:left="0" w:right="0" w:firstLine="300"/>
              <w:rPr/>
            </w:pPr>
            <w:r>
              <w:rPr/>
              <w:t> </w:t>
            </w:r>
          </w:p>
        </w:tc>
      </w:tr>
      <w:tr>
        <w:trPr/>
        <w:tc>
          <w:tcPr>
            <w:tcW w:w="702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Constant currency consolidated merchandise sales (three months ended March 31, 2018)</w:t>
            </w:r>
          </w:p>
        </w:tc>
        <w:tc>
          <w:tcPr>
            <w:tcW w:w="226" w:type="dxa"/>
            <w:tcBorders>
              <w:top w:val="single" w:sz="2" w:space="0" w:color="000000"/>
            </w:tcBorders>
            <w:shd w:fill="auto" w:val="clear"/>
            <w:tcMar>
              <w:top w:w="30" w:type="dxa"/>
            </w:tcMar>
            <w:vAlign w:val="center"/>
          </w:tcPr>
          <w:p>
            <w:pPr>
              <w:pStyle w:val="TableContents"/>
              <w:spacing w:before="0" w:after="0"/>
              <w:jc w:val="left"/>
              <w:rPr>
                <w:rFonts w:ascii="inherit" w:hAnsi="inherit"/>
                <w:sz w:val="13"/>
              </w:rPr>
            </w:pPr>
            <w:r>
              <w:rPr>
                <w:rFonts w:ascii="inherit" w:hAnsi="inherit"/>
                <w:sz w:val="13"/>
              </w:rPr>
              <w:t>$</w:t>
            </w:r>
          </w:p>
        </w:tc>
        <w:tc>
          <w:tcPr>
            <w:tcW w:w="879" w:type="dxa"/>
            <w:tcBorders>
              <w:top w:val="single" w:sz="2" w:space="0" w:color="000000"/>
            </w:tcBorders>
            <w:shd w:fill="auto" w:val="clear"/>
            <w:tcMar>
              <w:top w:w="30" w:type="dxa"/>
            </w:tcMar>
            <w:vAlign w:val="center"/>
          </w:tcPr>
          <w:p>
            <w:pPr>
              <w:pStyle w:val="TableContents"/>
              <w:spacing w:before="0" w:after="0"/>
              <w:jc w:val="right"/>
              <w:rPr>
                <w:rFonts w:ascii="inherit" w:hAnsi="inherit"/>
                <w:sz w:val="13"/>
              </w:rPr>
            </w:pPr>
            <w:r>
              <w:rPr>
                <w:rFonts w:ascii="inherit" w:hAnsi="inherit"/>
                <w:sz w:val="13"/>
              </w:rPr>
              <w:t>113.6</w:t>
            </w:r>
          </w:p>
        </w:tc>
        <w:tc>
          <w:tcPr>
            <w:tcW w:w="226"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41" w:type="dxa"/>
            <w:tcBorders>
              <w:top w:val="single" w:sz="2" w:space="0" w:color="000000"/>
            </w:tcBorders>
            <w:shd w:fill="auto" w:val="clear"/>
            <w:tcMar>
              <w:top w:w="30" w:type="dxa"/>
            </w:tcMar>
            <w:vAlign w:val="center"/>
          </w:tcPr>
          <w:p>
            <w:pPr>
              <w:pStyle w:val="TableContents"/>
              <w:spacing w:before="0" w:after="0"/>
              <w:jc w:val="right"/>
              <w:rPr>
                <w:rFonts w:ascii="inherit" w:hAnsi="inherit"/>
                <w:sz w:val="13"/>
              </w:rPr>
            </w:pPr>
            <w:r>
              <w:rPr>
                <w:rFonts w:ascii="inherit" w:hAnsi="inherit"/>
                <w:sz w:val="13"/>
              </w:rPr>
              <w:t>3</w:t>
            </w:r>
          </w:p>
        </w:tc>
        <w:tc>
          <w:tcPr>
            <w:tcW w:w="723" w:type="dxa"/>
            <w:tcBorders>
              <w:top w:val="single" w:sz="2" w:space="0" w:color="000000"/>
            </w:tcBorders>
            <w:shd w:fill="auto" w:val="clear"/>
            <w:tcMar>
              <w:top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r>
      <w:tr>
        <w:trPr/>
        <w:tc>
          <w:tcPr>
            <w:tcW w:w="7020" w:type="dxa"/>
            <w:tcBorders/>
            <w:shd w:fill="auto" w:val="clear"/>
            <w:vAlign w:val="center"/>
          </w:tcPr>
          <w:p>
            <w:pPr>
              <w:pStyle w:val="TableContents"/>
              <w:spacing w:before="0" w:after="0"/>
              <w:ind w:left="0" w:right="0" w:firstLine="30"/>
              <w:rPr/>
            </w:pPr>
            <w:r>
              <w:rPr/>
              <w:t> </w:t>
            </w:r>
          </w:p>
        </w:tc>
        <w:tc>
          <w:tcPr>
            <w:tcW w:w="1331"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764" w:type="dxa"/>
            <w:gridSpan w:val="2"/>
            <w:tcBorders/>
            <w:shd w:fill="auto" w:val="clear"/>
            <w:vAlign w:val="center"/>
          </w:tcPr>
          <w:p>
            <w:pPr>
              <w:pStyle w:val="TableContents"/>
              <w:spacing w:before="0" w:after="0"/>
              <w:ind w:left="0" w:right="0" w:firstLine="30"/>
              <w:rPr/>
            </w:pPr>
            <w:r>
              <w:rPr/>
              <w:t> </w:t>
            </w:r>
          </w:p>
        </w:tc>
      </w:tr>
      <w:tr>
        <w:trPr/>
        <w:tc>
          <w:tcPr>
            <w:tcW w:w="702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Consolidated operations expenses (three months ended March 31, 2018)</w:t>
            </w:r>
          </w:p>
        </w:tc>
        <w:tc>
          <w:tcPr>
            <w:tcW w:w="226" w:type="dxa"/>
            <w:tcBorders/>
            <w:shd w:fill="auto" w:val="clear"/>
            <w:vAlign w:val="center"/>
          </w:tcPr>
          <w:p>
            <w:pPr>
              <w:pStyle w:val="TableContents"/>
              <w:spacing w:before="0" w:after="0"/>
              <w:jc w:val="left"/>
              <w:rPr>
                <w:rFonts w:ascii="inherit" w:hAnsi="inherit"/>
                <w:sz w:val="13"/>
              </w:rPr>
            </w:pPr>
            <w:r>
              <w:rPr>
                <w:rFonts w:ascii="inherit" w:hAnsi="inherit"/>
                <w:sz w:val="13"/>
              </w:rPr>
              <w:t>$</w:t>
            </w:r>
          </w:p>
        </w:tc>
        <w:tc>
          <w:tcPr>
            <w:tcW w:w="879" w:type="dxa"/>
            <w:tcBorders/>
            <w:shd w:fill="auto" w:val="clear"/>
            <w:vAlign w:val="center"/>
          </w:tcPr>
          <w:p>
            <w:pPr>
              <w:pStyle w:val="TableContents"/>
              <w:spacing w:before="0" w:after="0"/>
              <w:jc w:val="right"/>
              <w:rPr>
                <w:rFonts w:ascii="inherit" w:hAnsi="inherit"/>
                <w:sz w:val="13"/>
              </w:rPr>
            </w:pPr>
            <w:r>
              <w:rPr>
                <w:rFonts w:ascii="inherit" w:hAnsi="inherit"/>
                <w:sz w:val="13"/>
              </w:rPr>
              <w:t>82.2</w:t>
            </w:r>
          </w:p>
        </w:tc>
        <w:tc>
          <w:tcPr>
            <w:tcW w:w="2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41" w:type="dxa"/>
            <w:tcBorders/>
            <w:shd w:fill="auto" w:val="clear"/>
            <w:vAlign w:val="center"/>
          </w:tcPr>
          <w:p>
            <w:pPr>
              <w:pStyle w:val="TableContents"/>
              <w:spacing w:before="0" w:after="0"/>
              <w:jc w:val="right"/>
              <w:rPr>
                <w:rFonts w:ascii="inherit" w:hAnsi="inherit"/>
                <w:sz w:val="13"/>
              </w:rPr>
            </w:pPr>
            <w:r>
              <w:rPr>
                <w:rFonts w:ascii="inherit" w:hAnsi="inherit"/>
                <w:sz w:val="13"/>
              </w:rPr>
              <w:t>10</w:t>
            </w:r>
          </w:p>
        </w:tc>
        <w:tc>
          <w:tcPr>
            <w:tcW w:w="723"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r>
      <w:tr>
        <w:trPr/>
        <w:tc>
          <w:tcPr>
            <w:tcW w:w="702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Currency exchange rate fluctuations</w:t>
            </w:r>
          </w:p>
        </w:tc>
        <w:tc>
          <w:tcPr>
            <w:tcW w:w="1105"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(0.9</w:t>
            </w:r>
          </w:p>
        </w:tc>
        <w:tc>
          <w:tcPr>
            <w:tcW w:w="226"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90" w:type="dxa"/>
            <w:tcBorders/>
            <w:shd w:fill="auto" w:val="clear"/>
            <w:vAlign w:val="center"/>
          </w:tcPr>
          <w:p>
            <w:pPr>
              <w:pStyle w:val="TableContents"/>
              <w:spacing w:before="0" w:after="0"/>
              <w:ind w:left="0" w:right="0" w:firstLine="30"/>
              <w:rPr/>
            </w:pPr>
            <w:r>
              <w:rPr/>
              <w:t> </w:t>
            </w:r>
          </w:p>
        </w:tc>
        <w:tc>
          <w:tcPr>
            <w:tcW w:w="1764" w:type="dxa"/>
            <w:gridSpan w:val="2"/>
            <w:tcBorders>
              <w:bottom w:val="single" w:sz="2" w:space="0" w:color="000000"/>
            </w:tcBorders>
            <w:shd w:fill="auto" w:val="clear"/>
            <w:tcMar>
              <w:bottom w:w="30" w:type="dxa"/>
            </w:tcMar>
            <w:vAlign w:val="center"/>
          </w:tcPr>
          <w:p>
            <w:pPr>
              <w:pStyle w:val="TableContents"/>
              <w:spacing w:before="0" w:after="0"/>
              <w:ind w:left="0" w:right="0" w:firstLine="300"/>
              <w:rPr/>
            </w:pPr>
            <w:r>
              <w:rPr/>
              <w:t> </w:t>
            </w:r>
          </w:p>
        </w:tc>
      </w:tr>
      <w:tr>
        <w:trPr/>
        <w:tc>
          <w:tcPr>
            <w:tcW w:w="702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Constant currency consolidated operations expenses (three months ended March 31, 2018)</w:t>
            </w:r>
          </w:p>
        </w:tc>
        <w:tc>
          <w:tcPr>
            <w:tcW w:w="226" w:type="dxa"/>
            <w:tcBorders>
              <w:top w:val="single" w:sz="2" w:space="0" w:color="000000"/>
            </w:tcBorders>
            <w:shd w:fill="auto" w:val="clear"/>
            <w:tcMar>
              <w:top w:w="30" w:type="dxa"/>
            </w:tcMar>
            <w:vAlign w:val="center"/>
          </w:tcPr>
          <w:p>
            <w:pPr>
              <w:pStyle w:val="TableContents"/>
              <w:spacing w:before="0" w:after="0"/>
              <w:jc w:val="left"/>
              <w:rPr>
                <w:rFonts w:ascii="inherit" w:hAnsi="inherit"/>
                <w:sz w:val="13"/>
              </w:rPr>
            </w:pPr>
            <w:r>
              <w:rPr>
                <w:rFonts w:ascii="inherit" w:hAnsi="inherit"/>
                <w:sz w:val="13"/>
              </w:rPr>
              <w:t>$</w:t>
            </w:r>
          </w:p>
        </w:tc>
        <w:tc>
          <w:tcPr>
            <w:tcW w:w="879" w:type="dxa"/>
            <w:tcBorders>
              <w:top w:val="single" w:sz="2" w:space="0" w:color="000000"/>
            </w:tcBorders>
            <w:shd w:fill="auto" w:val="clear"/>
            <w:tcMar>
              <w:top w:w="30" w:type="dxa"/>
            </w:tcMar>
            <w:vAlign w:val="center"/>
          </w:tcPr>
          <w:p>
            <w:pPr>
              <w:pStyle w:val="TableContents"/>
              <w:spacing w:before="0" w:after="0"/>
              <w:jc w:val="right"/>
              <w:rPr>
                <w:rFonts w:ascii="inherit" w:hAnsi="inherit"/>
                <w:sz w:val="13"/>
              </w:rPr>
            </w:pPr>
            <w:r>
              <w:rPr>
                <w:rFonts w:ascii="inherit" w:hAnsi="inherit"/>
                <w:sz w:val="13"/>
              </w:rPr>
              <w:t>81.3</w:t>
            </w:r>
          </w:p>
        </w:tc>
        <w:tc>
          <w:tcPr>
            <w:tcW w:w="226"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41" w:type="dxa"/>
            <w:tcBorders>
              <w:top w:val="single" w:sz="2" w:space="0" w:color="000000"/>
            </w:tcBorders>
            <w:shd w:fill="auto" w:val="clear"/>
            <w:tcMar>
              <w:top w:w="30" w:type="dxa"/>
            </w:tcMar>
            <w:vAlign w:val="center"/>
          </w:tcPr>
          <w:p>
            <w:pPr>
              <w:pStyle w:val="TableContents"/>
              <w:spacing w:before="0" w:after="0"/>
              <w:jc w:val="right"/>
              <w:rPr>
                <w:rFonts w:ascii="inherit" w:hAnsi="inherit"/>
                <w:sz w:val="13"/>
              </w:rPr>
            </w:pPr>
            <w:r>
              <w:rPr>
                <w:rFonts w:ascii="inherit" w:hAnsi="inherit"/>
                <w:sz w:val="13"/>
              </w:rPr>
              <w:t>9</w:t>
            </w:r>
          </w:p>
        </w:tc>
        <w:tc>
          <w:tcPr>
            <w:tcW w:w="723" w:type="dxa"/>
            <w:tcBorders>
              <w:top w:val="single" w:sz="2" w:space="0" w:color="000000"/>
            </w:tcBorders>
            <w:shd w:fill="auto" w:val="clear"/>
            <w:tcMar>
              <w:top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r>
      <w:tr>
        <w:trPr/>
        <w:tc>
          <w:tcPr>
            <w:tcW w:w="7020" w:type="dxa"/>
            <w:tcBorders/>
            <w:shd w:fill="auto" w:val="clear"/>
            <w:vAlign w:val="center"/>
          </w:tcPr>
          <w:p>
            <w:pPr>
              <w:pStyle w:val="TableContents"/>
              <w:spacing w:before="0" w:after="0"/>
              <w:ind w:left="0" w:right="0" w:firstLine="30"/>
              <w:rPr/>
            </w:pPr>
            <w:r>
              <w:rPr/>
              <w:t> </w:t>
            </w:r>
          </w:p>
        </w:tc>
        <w:tc>
          <w:tcPr>
            <w:tcW w:w="1331"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764" w:type="dxa"/>
            <w:gridSpan w:val="2"/>
            <w:tcBorders/>
            <w:shd w:fill="auto" w:val="clear"/>
            <w:vAlign w:val="center"/>
          </w:tcPr>
          <w:p>
            <w:pPr>
              <w:pStyle w:val="TableContents"/>
              <w:spacing w:before="0" w:after="0"/>
              <w:ind w:left="0" w:right="0" w:firstLine="30"/>
              <w:rPr/>
            </w:pPr>
            <w:r>
              <w:rPr/>
              <w:t> </w:t>
            </w:r>
          </w:p>
        </w:tc>
      </w:tr>
      <w:tr>
        <w:trPr/>
        <w:tc>
          <w:tcPr>
            <w:tcW w:w="702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Latin America Pawn PLO</w:t>
            </w:r>
          </w:p>
        </w:tc>
        <w:tc>
          <w:tcPr>
            <w:tcW w:w="226" w:type="dxa"/>
            <w:tcBorders/>
            <w:shd w:fill="auto" w:val="clear"/>
            <w:vAlign w:val="center"/>
          </w:tcPr>
          <w:p>
            <w:pPr>
              <w:pStyle w:val="TableContents"/>
              <w:spacing w:before="0" w:after="0"/>
              <w:jc w:val="left"/>
              <w:rPr>
                <w:rFonts w:ascii="inherit" w:hAnsi="inherit"/>
                <w:sz w:val="13"/>
              </w:rPr>
            </w:pPr>
            <w:r>
              <w:rPr>
                <w:rFonts w:ascii="inherit" w:hAnsi="inherit"/>
                <w:sz w:val="13"/>
              </w:rPr>
              <w:t>$</w:t>
            </w:r>
          </w:p>
        </w:tc>
        <w:tc>
          <w:tcPr>
            <w:tcW w:w="879" w:type="dxa"/>
            <w:tcBorders/>
            <w:shd w:fill="auto" w:val="clear"/>
            <w:vAlign w:val="center"/>
          </w:tcPr>
          <w:p>
            <w:pPr>
              <w:pStyle w:val="TableContents"/>
              <w:spacing w:before="0" w:after="0"/>
              <w:jc w:val="right"/>
              <w:rPr>
                <w:rFonts w:ascii="inherit" w:hAnsi="inherit"/>
                <w:sz w:val="13"/>
              </w:rPr>
            </w:pPr>
            <w:r>
              <w:rPr>
                <w:rFonts w:ascii="inherit" w:hAnsi="inherit"/>
                <w:sz w:val="13"/>
              </w:rPr>
              <w:t>35.3</w:t>
            </w:r>
          </w:p>
        </w:tc>
        <w:tc>
          <w:tcPr>
            <w:tcW w:w="2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41" w:type="dxa"/>
            <w:tcBorders/>
            <w:shd w:fill="auto" w:val="clear"/>
            <w:vAlign w:val="center"/>
          </w:tcPr>
          <w:p>
            <w:pPr>
              <w:pStyle w:val="TableContents"/>
              <w:spacing w:before="0" w:after="0"/>
              <w:jc w:val="right"/>
              <w:rPr>
                <w:rFonts w:ascii="inherit" w:hAnsi="inherit"/>
                <w:sz w:val="13"/>
              </w:rPr>
            </w:pPr>
            <w:r>
              <w:rPr>
                <w:rFonts w:ascii="inherit" w:hAnsi="inherit"/>
                <w:sz w:val="13"/>
              </w:rPr>
              <w:t>98</w:t>
            </w:r>
          </w:p>
        </w:tc>
        <w:tc>
          <w:tcPr>
            <w:tcW w:w="723"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r>
      <w:tr>
        <w:trPr/>
        <w:tc>
          <w:tcPr>
            <w:tcW w:w="702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Currency exchange rate fluctuations</w:t>
            </w:r>
          </w:p>
        </w:tc>
        <w:tc>
          <w:tcPr>
            <w:tcW w:w="110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(0.4</w:t>
            </w:r>
          </w:p>
        </w:tc>
        <w:tc>
          <w:tcPr>
            <w:tcW w:w="226"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90" w:type="dxa"/>
            <w:tcBorders/>
            <w:shd w:fill="auto" w:val="clear"/>
            <w:vAlign w:val="center"/>
          </w:tcPr>
          <w:p>
            <w:pPr>
              <w:pStyle w:val="TableContents"/>
              <w:spacing w:before="0" w:after="0"/>
              <w:ind w:left="0" w:right="0" w:firstLine="30"/>
              <w:rPr/>
            </w:pPr>
            <w:r>
              <w:rPr/>
              <w:t> </w:t>
            </w:r>
          </w:p>
        </w:tc>
        <w:tc>
          <w:tcPr>
            <w:tcW w:w="1764" w:type="dxa"/>
            <w:gridSpan w:val="2"/>
            <w:tcBorders/>
            <w:shd w:fill="auto" w:val="clear"/>
            <w:vAlign w:val="center"/>
          </w:tcPr>
          <w:p>
            <w:pPr>
              <w:pStyle w:val="TableContents"/>
              <w:spacing w:before="0" w:after="0"/>
              <w:ind w:left="0" w:right="0" w:firstLine="300"/>
              <w:rPr/>
            </w:pPr>
            <w:r>
              <w:rPr/>
              <w:t> </w:t>
            </w:r>
          </w:p>
        </w:tc>
      </w:tr>
      <w:tr>
        <w:trPr/>
        <w:tc>
          <w:tcPr>
            <w:tcW w:w="702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Constant currency Latin America Pawn PLO</w:t>
            </w:r>
          </w:p>
        </w:tc>
        <w:tc>
          <w:tcPr>
            <w:tcW w:w="226" w:type="dxa"/>
            <w:tcBorders>
              <w:top w:val="single" w:sz="2" w:space="0" w:color="000000"/>
            </w:tcBorders>
            <w:shd w:fill="auto" w:val="clear"/>
            <w:tcMar>
              <w:top w:w="30" w:type="dxa"/>
            </w:tcMar>
            <w:vAlign w:val="center"/>
          </w:tcPr>
          <w:p>
            <w:pPr>
              <w:pStyle w:val="TableContents"/>
              <w:spacing w:before="0" w:after="0"/>
              <w:jc w:val="left"/>
              <w:rPr>
                <w:rFonts w:ascii="inherit" w:hAnsi="inherit"/>
                <w:sz w:val="13"/>
              </w:rPr>
            </w:pPr>
            <w:r>
              <w:rPr>
                <w:rFonts w:ascii="inherit" w:hAnsi="inherit"/>
                <w:sz w:val="13"/>
              </w:rPr>
              <w:t>$</w:t>
            </w:r>
          </w:p>
        </w:tc>
        <w:tc>
          <w:tcPr>
            <w:tcW w:w="879" w:type="dxa"/>
            <w:tcBorders>
              <w:top w:val="single" w:sz="2" w:space="0" w:color="000000"/>
            </w:tcBorders>
            <w:shd w:fill="auto" w:val="clear"/>
            <w:tcMar>
              <w:top w:w="30" w:type="dxa"/>
            </w:tcMar>
            <w:vAlign w:val="center"/>
          </w:tcPr>
          <w:p>
            <w:pPr>
              <w:pStyle w:val="TableContents"/>
              <w:spacing w:before="0" w:after="0"/>
              <w:jc w:val="right"/>
              <w:rPr>
                <w:rFonts w:ascii="inherit" w:hAnsi="inherit"/>
                <w:sz w:val="13"/>
              </w:rPr>
            </w:pPr>
            <w:r>
              <w:rPr>
                <w:rFonts w:ascii="inherit" w:hAnsi="inherit"/>
                <w:sz w:val="13"/>
              </w:rPr>
              <w:t>34.9</w:t>
            </w:r>
          </w:p>
        </w:tc>
        <w:tc>
          <w:tcPr>
            <w:tcW w:w="226"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41" w:type="dxa"/>
            <w:tcBorders>
              <w:top w:val="single" w:sz="2" w:space="0" w:color="000000"/>
            </w:tcBorders>
            <w:shd w:fill="auto" w:val="clear"/>
            <w:tcMar>
              <w:top w:w="30" w:type="dxa"/>
            </w:tcMar>
            <w:vAlign w:val="center"/>
          </w:tcPr>
          <w:p>
            <w:pPr>
              <w:pStyle w:val="TableContents"/>
              <w:spacing w:before="0" w:after="0"/>
              <w:jc w:val="right"/>
              <w:rPr>
                <w:rFonts w:ascii="inherit" w:hAnsi="inherit"/>
                <w:sz w:val="13"/>
              </w:rPr>
            </w:pPr>
            <w:r>
              <w:rPr>
                <w:rFonts w:ascii="inherit" w:hAnsi="inherit"/>
                <w:sz w:val="13"/>
              </w:rPr>
              <w:t>96</w:t>
            </w:r>
          </w:p>
        </w:tc>
        <w:tc>
          <w:tcPr>
            <w:tcW w:w="723" w:type="dxa"/>
            <w:tcBorders>
              <w:top w:val="single" w:sz="2" w:space="0" w:color="000000"/>
            </w:tcBorders>
            <w:shd w:fill="auto" w:val="clear"/>
            <w:tcMar>
              <w:top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r>
      <w:tr>
        <w:trPr/>
        <w:tc>
          <w:tcPr>
            <w:tcW w:w="7020" w:type="dxa"/>
            <w:tcBorders/>
            <w:shd w:fill="auto" w:val="clear"/>
            <w:vAlign w:val="center"/>
          </w:tcPr>
          <w:p>
            <w:pPr>
              <w:pStyle w:val="TableContents"/>
              <w:spacing w:before="0" w:after="0"/>
              <w:ind w:left="0" w:right="0" w:firstLine="30"/>
              <w:rPr/>
            </w:pPr>
            <w:r>
              <w:rPr/>
              <w:t> </w:t>
            </w:r>
          </w:p>
        </w:tc>
        <w:tc>
          <w:tcPr>
            <w:tcW w:w="1331"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764" w:type="dxa"/>
            <w:gridSpan w:val="2"/>
            <w:tcBorders/>
            <w:shd w:fill="auto" w:val="clear"/>
            <w:vAlign w:val="center"/>
          </w:tcPr>
          <w:p>
            <w:pPr>
              <w:pStyle w:val="TableContents"/>
              <w:spacing w:before="0" w:after="0"/>
              <w:ind w:left="0" w:right="0" w:firstLine="30"/>
              <w:rPr/>
            </w:pPr>
            <w:r>
              <w:rPr/>
              <w:t> </w:t>
            </w:r>
          </w:p>
        </w:tc>
      </w:tr>
      <w:tr>
        <w:trPr/>
        <w:tc>
          <w:tcPr>
            <w:tcW w:w="702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Latin America Pawn PSC revenue (three months ended March 31, 2018)</w:t>
            </w:r>
          </w:p>
        </w:tc>
        <w:tc>
          <w:tcPr>
            <w:tcW w:w="226" w:type="dxa"/>
            <w:tcBorders/>
            <w:shd w:fill="auto" w:val="clear"/>
            <w:vAlign w:val="center"/>
          </w:tcPr>
          <w:p>
            <w:pPr>
              <w:pStyle w:val="TableContents"/>
              <w:spacing w:before="0" w:after="0"/>
              <w:jc w:val="left"/>
              <w:rPr>
                <w:rFonts w:ascii="inherit" w:hAnsi="inherit"/>
                <w:sz w:val="13"/>
              </w:rPr>
            </w:pPr>
            <w:r>
              <w:rPr>
                <w:rFonts w:ascii="inherit" w:hAnsi="inherit"/>
                <w:sz w:val="13"/>
              </w:rPr>
              <w:t>$</w:t>
            </w:r>
          </w:p>
        </w:tc>
        <w:tc>
          <w:tcPr>
            <w:tcW w:w="879" w:type="dxa"/>
            <w:tcBorders/>
            <w:shd w:fill="auto" w:val="clear"/>
            <w:vAlign w:val="center"/>
          </w:tcPr>
          <w:p>
            <w:pPr>
              <w:pStyle w:val="TableContents"/>
              <w:spacing w:before="0" w:after="0"/>
              <w:jc w:val="right"/>
              <w:rPr>
                <w:rFonts w:ascii="inherit" w:hAnsi="inherit"/>
                <w:sz w:val="13"/>
              </w:rPr>
            </w:pPr>
            <w:r>
              <w:rPr>
                <w:rFonts w:ascii="inherit" w:hAnsi="inherit"/>
                <w:sz w:val="13"/>
              </w:rPr>
              <w:t>15.3</w:t>
            </w:r>
          </w:p>
        </w:tc>
        <w:tc>
          <w:tcPr>
            <w:tcW w:w="2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41" w:type="dxa"/>
            <w:tcBorders/>
            <w:shd w:fill="auto" w:val="clear"/>
            <w:vAlign w:val="center"/>
          </w:tcPr>
          <w:p>
            <w:pPr>
              <w:pStyle w:val="TableContents"/>
              <w:spacing w:before="0" w:after="0"/>
              <w:jc w:val="right"/>
              <w:rPr>
                <w:rFonts w:ascii="inherit" w:hAnsi="inherit"/>
                <w:sz w:val="13"/>
              </w:rPr>
            </w:pPr>
            <w:r>
              <w:rPr>
                <w:rFonts w:ascii="inherit" w:hAnsi="inherit"/>
                <w:sz w:val="13"/>
              </w:rPr>
              <w:t>105</w:t>
            </w:r>
          </w:p>
        </w:tc>
        <w:tc>
          <w:tcPr>
            <w:tcW w:w="723"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r>
      <w:tr>
        <w:trPr/>
        <w:tc>
          <w:tcPr>
            <w:tcW w:w="702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Currency exchange rate fluctuations</w:t>
            </w:r>
          </w:p>
        </w:tc>
        <w:tc>
          <w:tcPr>
            <w:tcW w:w="1105"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(0.7</w:t>
            </w:r>
          </w:p>
        </w:tc>
        <w:tc>
          <w:tcPr>
            <w:tcW w:w="226"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90" w:type="dxa"/>
            <w:tcBorders/>
            <w:shd w:fill="auto" w:val="clear"/>
            <w:vAlign w:val="center"/>
          </w:tcPr>
          <w:p>
            <w:pPr>
              <w:pStyle w:val="TableContents"/>
              <w:spacing w:before="0" w:after="0"/>
              <w:ind w:left="0" w:right="0" w:firstLine="30"/>
              <w:rPr/>
            </w:pPr>
            <w:r>
              <w:rPr/>
              <w:t> </w:t>
            </w:r>
          </w:p>
        </w:tc>
        <w:tc>
          <w:tcPr>
            <w:tcW w:w="1764" w:type="dxa"/>
            <w:gridSpan w:val="2"/>
            <w:tcBorders/>
            <w:shd w:fill="auto" w:val="clear"/>
            <w:vAlign w:val="center"/>
          </w:tcPr>
          <w:p>
            <w:pPr>
              <w:pStyle w:val="TableContents"/>
              <w:spacing w:before="0" w:after="0"/>
              <w:ind w:left="0" w:right="0" w:firstLine="300"/>
              <w:rPr/>
            </w:pPr>
            <w:r>
              <w:rPr/>
              <w:t> </w:t>
            </w:r>
          </w:p>
        </w:tc>
      </w:tr>
      <w:tr>
        <w:trPr/>
        <w:tc>
          <w:tcPr>
            <w:tcW w:w="702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Constant currency Latin America Pawn PSC revenue (three months ended March 31, 2018)</w:t>
            </w:r>
          </w:p>
        </w:tc>
        <w:tc>
          <w:tcPr>
            <w:tcW w:w="226" w:type="dxa"/>
            <w:tcBorders>
              <w:top w:val="single" w:sz="2" w:space="0" w:color="000000"/>
            </w:tcBorders>
            <w:shd w:fill="auto" w:val="clear"/>
            <w:tcMar>
              <w:top w:w="30" w:type="dxa"/>
            </w:tcMar>
            <w:vAlign w:val="center"/>
          </w:tcPr>
          <w:p>
            <w:pPr>
              <w:pStyle w:val="TableContents"/>
              <w:spacing w:before="0" w:after="0"/>
              <w:jc w:val="left"/>
              <w:rPr>
                <w:rFonts w:ascii="inherit" w:hAnsi="inherit"/>
                <w:sz w:val="13"/>
              </w:rPr>
            </w:pPr>
            <w:r>
              <w:rPr>
                <w:rFonts w:ascii="inherit" w:hAnsi="inherit"/>
                <w:sz w:val="13"/>
              </w:rPr>
              <w:t>$</w:t>
            </w:r>
          </w:p>
        </w:tc>
        <w:tc>
          <w:tcPr>
            <w:tcW w:w="879" w:type="dxa"/>
            <w:tcBorders>
              <w:top w:val="single" w:sz="2" w:space="0" w:color="000000"/>
            </w:tcBorders>
            <w:shd w:fill="auto" w:val="clear"/>
            <w:tcMar>
              <w:top w:w="30" w:type="dxa"/>
            </w:tcMar>
            <w:vAlign w:val="center"/>
          </w:tcPr>
          <w:p>
            <w:pPr>
              <w:pStyle w:val="TableContents"/>
              <w:spacing w:before="0" w:after="0"/>
              <w:jc w:val="right"/>
              <w:rPr>
                <w:rFonts w:ascii="inherit" w:hAnsi="inherit"/>
                <w:sz w:val="13"/>
              </w:rPr>
            </w:pPr>
            <w:r>
              <w:rPr>
                <w:rFonts w:ascii="inherit" w:hAnsi="inherit"/>
                <w:sz w:val="13"/>
              </w:rPr>
              <w:t>14.6</w:t>
            </w:r>
          </w:p>
        </w:tc>
        <w:tc>
          <w:tcPr>
            <w:tcW w:w="226"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41" w:type="dxa"/>
            <w:tcBorders>
              <w:top w:val="single" w:sz="2" w:space="0" w:color="000000"/>
            </w:tcBorders>
            <w:shd w:fill="auto" w:val="clear"/>
            <w:tcMar>
              <w:top w:w="30" w:type="dxa"/>
            </w:tcMar>
            <w:vAlign w:val="center"/>
          </w:tcPr>
          <w:p>
            <w:pPr>
              <w:pStyle w:val="TableContents"/>
              <w:spacing w:before="0" w:after="0"/>
              <w:jc w:val="right"/>
              <w:rPr>
                <w:rFonts w:ascii="inherit" w:hAnsi="inherit"/>
                <w:sz w:val="13"/>
              </w:rPr>
            </w:pPr>
            <w:r>
              <w:rPr>
                <w:rFonts w:ascii="inherit" w:hAnsi="inherit"/>
                <w:sz w:val="13"/>
              </w:rPr>
              <w:t>96</w:t>
            </w:r>
          </w:p>
        </w:tc>
        <w:tc>
          <w:tcPr>
            <w:tcW w:w="723" w:type="dxa"/>
            <w:tcBorders>
              <w:top w:val="single" w:sz="2" w:space="0" w:color="000000"/>
            </w:tcBorders>
            <w:shd w:fill="auto" w:val="clear"/>
            <w:tcMar>
              <w:top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r>
      <w:tr>
        <w:trPr/>
        <w:tc>
          <w:tcPr>
            <w:tcW w:w="7020" w:type="dxa"/>
            <w:tcBorders/>
            <w:shd w:fill="auto" w:val="clear"/>
            <w:vAlign w:val="center"/>
          </w:tcPr>
          <w:p>
            <w:pPr>
              <w:pStyle w:val="TableContents"/>
              <w:spacing w:before="0" w:after="0"/>
              <w:ind w:left="0" w:right="0" w:firstLine="30"/>
              <w:rPr/>
            </w:pPr>
            <w:r>
              <w:rPr/>
              <w:t> </w:t>
            </w:r>
          </w:p>
        </w:tc>
        <w:tc>
          <w:tcPr>
            <w:tcW w:w="1331"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764" w:type="dxa"/>
            <w:gridSpan w:val="2"/>
            <w:tcBorders/>
            <w:shd w:fill="auto" w:val="clear"/>
            <w:vAlign w:val="center"/>
          </w:tcPr>
          <w:p>
            <w:pPr>
              <w:pStyle w:val="TableContents"/>
              <w:spacing w:before="0" w:after="0"/>
              <w:ind w:left="0" w:right="0" w:firstLine="30"/>
              <w:rPr/>
            </w:pPr>
            <w:r>
              <w:rPr/>
              <w:t> </w:t>
            </w:r>
          </w:p>
        </w:tc>
      </w:tr>
      <w:tr>
        <w:trPr/>
        <w:tc>
          <w:tcPr>
            <w:tcW w:w="702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Latin America Pawn merchandise sales (three months ended March 31, 2018)</w:t>
            </w:r>
          </w:p>
        </w:tc>
        <w:tc>
          <w:tcPr>
            <w:tcW w:w="226" w:type="dxa"/>
            <w:tcBorders/>
            <w:shd w:fill="auto" w:val="clear"/>
            <w:vAlign w:val="center"/>
          </w:tcPr>
          <w:p>
            <w:pPr>
              <w:pStyle w:val="TableContents"/>
              <w:spacing w:before="0" w:after="0"/>
              <w:jc w:val="left"/>
              <w:rPr>
                <w:rFonts w:ascii="inherit" w:hAnsi="inherit"/>
                <w:sz w:val="13"/>
              </w:rPr>
            </w:pPr>
            <w:r>
              <w:rPr>
                <w:rFonts w:ascii="inherit" w:hAnsi="inherit"/>
                <w:sz w:val="13"/>
              </w:rPr>
              <w:t>$</w:t>
            </w:r>
          </w:p>
        </w:tc>
        <w:tc>
          <w:tcPr>
            <w:tcW w:w="879" w:type="dxa"/>
            <w:tcBorders/>
            <w:shd w:fill="auto" w:val="clear"/>
            <w:vAlign w:val="center"/>
          </w:tcPr>
          <w:p>
            <w:pPr>
              <w:pStyle w:val="TableContents"/>
              <w:spacing w:before="0" w:after="0"/>
              <w:jc w:val="right"/>
              <w:rPr>
                <w:rFonts w:ascii="inherit" w:hAnsi="inherit"/>
                <w:sz w:val="13"/>
              </w:rPr>
            </w:pPr>
            <w:r>
              <w:rPr>
                <w:rFonts w:ascii="inherit" w:hAnsi="inherit"/>
                <w:sz w:val="13"/>
              </w:rPr>
              <w:t>20.2</w:t>
            </w:r>
          </w:p>
        </w:tc>
        <w:tc>
          <w:tcPr>
            <w:tcW w:w="2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41" w:type="dxa"/>
            <w:tcBorders/>
            <w:shd w:fill="auto" w:val="clear"/>
            <w:vAlign w:val="center"/>
          </w:tcPr>
          <w:p>
            <w:pPr>
              <w:pStyle w:val="TableContents"/>
              <w:spacing w:before="0" w:after="0"/>
              <w:jc w:val="right"/>
              <w:rPr>
                <w:rFonts w:ascii="inherit" w:hAnsi="inherit"/>
                <w:sz w:val="13"/>
              </w:rPr>
            </w:pPr>
            <w:r>
              <w:rPr>
                <w:rFonts w:ascii="inherit" w:hAnsi="inherit"/>
                <w:sz w:val="13"/>
              </w:rPr>
              <w:t>37</w:t>
            </w:r>
          </w:p>
        </w:tc>
        <w:tc>
          <w:tcPr>
            <w:tcW w:w="723"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r>
      <w:tr>
        <w:trPr/>
        <w:tc>
          <w:tcPr>
            <w:tcW w:w="702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Currency exchange rate fluctuations</w:t>
            </w:r>
          </w:p>
        </w:tc>
        <w:tc>
          <w:tcPr>
            <w:tcW w:w="1105"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(1.4</w:t>
            </w:r>
          </w:p>
        </w:tc>
        <w:tc>
          <w:tcPr>
            <w:tcW w:w="226"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90" w:type="dxa"/>
            <w:tcBorders/>
            <w:shd w:fill="auto" w:val="clear"/>
            <w:vAlign w:val="center"/>
          </w:tcPr>
          <w:p>
            <w:pPr>
              <w:pStyle w:val="TableContents"/>
              <w:spacing w:before="0" w:after="0"/>
              <w:ind w:left="0" w:right="0" w:firstLine="30"/>
              <w:rPr/>
            </w:pPr>
            <w:r>
              <w:rPr/>
              <w:t> </w:t>
            </w:r>
          </w:p>
        </w:tc>
        <w:tc>
          <w:tcPr>
            <w:tcW w:w="1764" w:type="dxa"/>
            <w:gridSpan w:val="2"/>
            <w:tcBorders/>
            <w:shd w:fill="auto" w:val="clear"/>
            <w:vAlign w:val="center"/>
          </w:tcPr>
          <w:p>
            <w:pPr>
              <w:pStyle w:val="TableContents"/>
              <w:spacing w:before="0" w:after="0"/>
              <w:ind w:left="0" w:right="0" w:firstLine="300"/>
              <w:rPr/>
            </w:pPr>
            <w:r>
              <w:rPr/>
              <w:t> </w:t>
            </w:r>
          </w:p>
        </w:tc>
      </w:tr>
      <w:tr>
        <w:trPr/>
        <w:tc>
          <w:tcPr>
            <w:tcW w:w="702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Constant currency Latin America Pawn merchandise sales (three months ended March 31, 2018)</w:t>
            </w:r>
          </w:p>
        </w:tc>
        <w:tc>
          <w:tcPr>
            <w:tcW w:w="226" w:type="dxa"/>
            <w:tcBorders>
              <w:top w:val="single" w:sz="2" w:space="0" w:color="000000"/>
            </w:tcBorders>
            <w:shd w:fill="auto" w:val="clear"/>
            <w:tcMar>
              <w:top w:w="30" w:type="dxa"/>
            </w:tcMar>
            <w:vAlign w:val="center"/>
          </w:tcPr>
          <w:p>
            <w:pPr>
              <w:pStyle w:val="TableContents"/>
              <w:spacing w:before="0" w:after="0"/>
              <w:jc w:val="left"/>
              <w:rPr>
                <w:rFonts w:ascii="inherit" w:hAnsi="inherit"/>
                <w:sz w:val="13"/>
              </w:rPr>
            </w:pPr>
            <w:r>
              <w:rPr>
                <w:rFonts w:ascii="inherit" w:hAnsi="inherit"/>
                <w:sz w:val="13"/>
              </w:rPr>
              <w:t>$</w:t>
            </w:r>
          </w:p>
        </w:tc>
        <w:tc>
          <w:tcPr>
            <w:tcW w:w="879" w:type="dxa"/>
            <w:tcBorders>
              <w:top w:val="single" w:sz="2" w:space="0" w:color="000000"/>
            </w:tcBorders>
            <w:shd w:fill="auto" w:val="clear"/>
            <w:tcMar>
              <w:top w:w="30" w:type="dxa"/>
            </w:tcMar>
            <w:vAlign w:val="center"/>
          </w:tcPr>
          <w:p>
            <w:pPr>
              <w:pStyle w:val="TableContents"/>
              <w:spacing w:before="0" w:after="0"/>
              <w:jc w:val="right"/>
              <w:rPr>
                <w:rFonts w:ascii="inherit" w:hAnsi="inherit"/>
                <w:sz w:val="13"/>
              </w:rPr>
            </w:pPr>
            <w:r>
              <w:rPr>
                <w:rFonts w:ascii="inherit" w:hAnsi="inherit"/>
                <w:sz w:val="13"/>
              </w:rPr>
              <w:t>18.8</w:t>
            </w:r>
          </w:p>
        </w:tc>
        <w:tc>
          <w:tcPr>
            <w:tcW w:w="226"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41" w:type="dxa"/>
            <w:tcBorders>
              <w:top w:val="single" w:sz="2" w:space="0" w:color="000000"/>
            </w:tcBorders>
            <w:shd w:fill="auto" w:val="clear"/>
            <w:tcMar>
              <w:top w:w="30" w:type="dxa"/>
            </w:tcMar>
            <w:vAlign w:val="center"/>
          </w:tcPr>
          <w:p>
            <w:pPr>
              <w:pStyle w:val="TableContents"/>
              <w:spacing w:before="0" w:after="0"/>
              <w:jc w:val="right"/>
              <w:rPr>
                <w:rFonts w:ascii="inherit" w:hAnsi="inherit"/>
                <w:sz w:val="13"/>
              </w:rPr>
            </w:pPr>
            <w:r>
              <w:rPr>
                <w:rFonts w:ascii="inherit" w:hAnsi="inherit"/>
                <w:sz w:val="13"/>
              </w:rPr>
              <w:t>28</w:t>
            </w:r>
          </w:p>
        </w:tc>
        <w:tc>
          <w:tcPr>
            <w:tcW w:w="723" w:type="dxa"/>
            <w:tcBorders>
              <w:top w:val="single" w:sz="2" w:space="0" w:color="000000"/>
            </w:tcBorders>
            <w:shd w:fill="auto" w:val="clear"/>
            <w:tcMar>
              <w:top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r>
      <w:tr>
        <w:trPr/>
        <w:tc>
          <w:tcPr>
            <w:tcW w:w="7020" w:type="dxa"/>
            <w:tcBorders/>
            <w:shd w:fill="auto" w:val="clear"/>
            <w:vAlign w:val="center"/>
          </w:tcPr>
          <w:p>
            <w:pPr>
              <w:pStyle w:val="TableContents"/>
              <w:spacing w:before="0" w:after="0"/>
              <w:ind w:left="0" w:right="0" w:firstLine="30"/>
              <w:rPr/>
            </w:pPr>
            <w:r>
              <w:rPr/>
              <w:t> </w:t>
            </w:r>
          </w:p>
        </w:tc>
        <w:tc>
          <w:tcPr>
            <w:tcW w:w="1331"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764" w:type="dxa"/>
            <w:gridSpan w:val="2"/>
            <w:tcBorders/>
            <w:shd w:fill="auto" w:val="clear"/>
            <w:vAlign w:val="center"/>
          </w:tcPr>
          <w:p>
            <w:pPr>
              <w:pStyle w:val="TableContents"/>
              <w:spacing w:before="0" w:after="0"/>
              <w:ind w:left="0" w:right="0" w:firstLine="30"/>
              <w:rPr/>
            </w:pPr>
            <w:r>
              <w:rPr/>
              <w:t> </w:t>
            </w:r>
          </w:p>
        </w:tc>
      </w:tr>
      <w:tr>
        <w:trPr/>
        <w:tc>
          <w:tcPr>
            <w:tcW w:w="702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Latin America Pawn same store merchandise sales (three months ended March 31, 2018)</w:t>
            </w:r>
          </w:p>
        </w:tc>
        <w:tc>
          <w:tcPr>
            <w:tcW w:w="226" w:type="dxa"/>
            <w:tcBorders/>
            <w:shd w:fill="auto" w:val="clear"/>
            <w:vAlign w:val="center"/>
          </w:tcPr>
          <w:p>
            <w:pPr>
              <w:pStyle w:val="TableContents"/>
              <w:spacing w:before="0" w:after="0"/>
              <w:jc w:val="left"/>
              <w:rPr>
                <w:rFonts w:ascii="inherit" w:hAnsi="inherit"/>
                <w:sz w:val="13"/>
              </w:rPr>
            </w:pPr>
            <w:r>
              <w:rPr>
                <w:rFonts w:ascii="inherit" w:hAnsi="inherit"/>
                <w:sz w:val="13"/>
              </w:rPr>
              <w:t>$</w:t>
            </w:r>
          </w:p>
        </w:tc>
        <w:tc>
          <w:tcPr>
            <w:tcW w:w="879" w:type="dxa"/>
            <w:tcBorders/>
            <w:shd w:fill="auto" w:val="clear"/>
            <w:vAlign w:val="center"/>
          </w:tcPr>
          <w:p>
            <w:pPr>
              <w:pStyle w:val="TableContents"/>
              <w:spacing w:before="0" w:after="0"/>
              <w:jc w:val="right"/>
              <w:rPr>
                <w:rFonts w:ascii="inherit" w:hAnsi="inherit"/>
                <w:sz w:val="13"/>
              </w:rPr>
            </w:pPr>
            <w:r>
              <w:rPr>
                <w:rFonts w:ascii="inherit" w:hAnsi="inherit"/>
                <w:sz w:val="13"/>
              </w:rPr>
              <w:t>16.0</w:t>
            </w:r>
          </w:p>
        </w:tc>
        <w:tc>
          <w:tcPr>
            <w:tcW w:w="2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41" w:type="dxa"/>
            <w:tcBorders/>
            <w:shd w:fill="auto" w:val="clear"/>
            <w:vAlign w:val="center"/>
          </w:tcPr>
          <w:p>
            <w:pPr>
              <w:pStyle w:val="TableContents"/>
              <w:spacing w:before="0" w:after="0"/>
              <w:jc w:val="right"/>
              <w:rPr>
                <w:rFonts w:ascii="inherit" w:hAnsi="inherit"/>
                <w:sz w:val="13"/>
              </w:rPr>
            </w:pPr>
            <w:r>
              <w:rPr>
                <w:rFonts w:ascii="inherit" w:hAnsi="inherit"/>
                <w:sz w:val="13"/>
              </w:rPr>
              <w:t>9</w:t>
            </w:r>
          </w:p>
        </w:tc>
        <w:tc>
          <w:tcPr>
            <w:tcW w:w="723"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r>
      <w:tr>
        <w:trPr/>
        <w:tc>
          <w:tcPr>
            <w:tcW w:w="702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Currency exchange rate fluctuations</w:t>
            </w:r>
          </w:p>
        </w:tc>
        <w:tc>
          <w:tcPr>
            <w:tcW w:w="1105"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(0.2</w:t>
            </w:r>
          </w:p>
        </w:tc>
        <w:tc>
          <w:tcPr>
            <w:tcW w:w="226"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90" w:type="dxa"/>
            <w:tcBorders/>
            <w:shd w:fill="auto" w:val="clear"/>
            <w:vAlign w:val="center"/>
          </w:tcPr>
          <w:p>
            <w:pPr>
              <w:pStyle w:val="TableContents"/>
              <w:spacing w:before="0" w:after="0"/>
              <w:ind w:left="0" w:right="0" w:firstLine="30"/>
              <w:rPr/>
            </w:pPr>
            <w:r>
              <w:rPr/>
              <w:t> </w:t>
            </w:r>
          </w:p>
        </w:tc>
        <w:tc>
          <w:tcPr>
            <w:tcW w:w="1764" w:type="dxa"/>
            <w:gridSpan w:val="2"/>
            <w:tcBorders/>
            <w:shd w:fill="auto" w:val="clear"/>
            <w:vAlign w:val="center"/>
          </w:tcPr>
          <w:p>
            <w:pPr>
              <w:pStyle w:val="TableContents"/>
              <w:spacing w:before="0" w:after="0"/>
              <w:ind w:left="0" w:right="0" w:firstLine="300"/>
              <w:rPr/>
            </w:pPr>
            <w:r>
              <w:rPr/>
              <w:t> </w:t>
            </w:r>
          </w:p>
        </w:tc>
      </w:tr>
      <w:tr>
        <w:trPr/>
        <w:tc>
          <w:tcPr>
            <w:tcW w:w="702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Constant currency Latin America Pawn same store merchandise sales (three months ended March 31, 2018)</w:t>
            </w:r>
          </w:p>
        </w:tc>
        <w:tc>
          <w:tcPr>
            <w:tcW w:w="226" w:type="dxa"/>
            <w:tcBorders>
              <w:top w:val="single" w:sz="2" w:space="0" w:color="000000"/>
            </w:tcBorders>
            <w:shd w:fill="auto" w:val="clear"/>
            <w:tcMar>
              <w:top w:w="30" w:type="dxa"/>
            </w:tcMar>
            <w:vAlign w:val="center"/>
          </w:tcPr>
          <w:p>
            <w:pPr>
              <w:pStyle w:val="TableContents"/>
              <w:spacing w:before="0" w:after="0"/>
              <w:jc w:val="left"/>
              <w:rPr>
                <w:rFonts w:ascii="inherit" w:hAnsi="inherit"/>
                <w:sz w:val="13"/>
              </w:rPr>
            </w:pPr>
            <w:r>
              <w:rPr>
                <w:rFonts w:ascii="inherit" w:hAnsi="inherit"/>
                <w:sz w:val="13"/>
              </w:rPr>
              <w:t>$</w:t>
            </w:r>
          </w:p>
        </w:tc>
        <w:tc>
          <w:tcPr>
            <w:tcW w:w="879" w:type="dxa"/>
            <w:tcBorders>
              <w:top w:val="single" w:sz="2" w:space="0" w:color="000000"/>
            </w:tcBorders>
            <w:shd w:fill="auto" w:val="clear"/>
            <w:tcMar>
              <w:top w:w="30" w:type="dxa"/>
            </w:tcMar>
            <w:vAlign w:val="center"/>
          </w:tcPr>
          <w:p>
            <w:pPr>
              <w:pStyle w:val="TableContents"/>
              <w:spacing w:before="0" w:after="0"/>
              <w:jc w:val="right"/>
              <w:rPr>
                <w:rFonts w:ascii="inherit" w:hAnsi="inherit"/>
                <w:sz w:val="13"/>
              </w:rPr>
            </w:pPr>
            <w:r>
              <w:rPr>
                <w:rFonts w:ascii="inherit" w:hAnsi="inherit"/>
                <w:sz w:val="13"/>
              </w:rPr>
              <w:t>15.8</w:t>
            </w:r>
          </w:p>
        </w:tc>
        <w:tc>
          <w:tcPr>
            <w:tcW w:w="226"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41" w:type="dxa"/>
            <w:tcBorders>
              <w:top w:val="single" w:sz="2" w:space="0" w:color="000000"/>
            </w:tcBorders>
            <w:shd w:fill="auto" w:val="clear"/>
            <w:tcMar>
              <w:top w:w="30" w:type="dxa"/>
            </w:tcMar>
            <w:vAlign w:val="center"/>
          </w:tcPr>
          <w:p>
            <w:pPr>
              <w:pStyle w:val="TableContents"/>
              <w:spacing w:before="0" w:after="0"/>
              <w:jc w:val="right"/>
              <w:rPr>
                <w:rFonts w:ascii="inherit" w:hAnsi="inherit"/>
                <w:sz w:val="13"/>
              </w:rPr>
            </w:pPr>
            <w:r>
              <w:rPr>
                <w:rFonts w:ascii="inherit" w:hAnsi="inherit"/>
                <w:sz w:val="13"/>
              </w:rPr>
              <w:t>8</w:t>
            </w:r>
          </w:p>
        </w:tc>
        <w:tc>
          <w:tcPr>
            <w:tcW w:w="723" w:type="dxa"/>
            <w:tcBorders>
              <w:top w:val="single" w:sz="2" w:space="0" w:color="000000"/>
            </w:tcBorders>
            <w:shd w:fill="auto" w:val="clear"/>
            <w:tcMar>
              <w:top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r>
      <w:tr>
        <w:trPr/>
        <w:tc>
          <w:tcPr>
            <w:tcW w:w="7020" w:type="dxa"/>
            <w:tcBorders/>
            <w:shd w:fill="auto" w:val="clear"/>
            <w:vAlign w:val="center"/>
          </w:tcPr>
          <w:p>
            <w:pPr>
              <w:pStyle w:val="TableContents"/>
              <w:spacing w:before="0" w:after="0"/>
              <w:ind w:left="0" w:right="0" w:firstLine="30"/>
              <w:rPr/>
            </w:pPr>
            <w:r>
              <w:rPr/>
              <w:t> </w:t>
            </w:r>
          </w:p>
        </w:tc>
        <w:tc>
          <w:tcPr>
            <w:tcW w:w="1331"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764" w:type="dxa"/>
            <w:gridSpan w:val="2"/>
            <w:tcBorders/>
            <w:shd w:fill="auto" w:val="clear"/>
            <w:vAlign w:val="center"/>
          </w:tcPr>
          <w:p>
            <w:pPr>
              <w:pStyle w:val="TableContents"/>
              <w:spacing w:before="0" w:after="0"/>
              <w:ind w:left="0" w:right="0" w:firstLine="30"/>
              <w:rPr/>
            </w:pPr>
            <w:r>
              <w:rPr/>
              <w:t> </w:t>
            </w:r>
          </w:p>
        </w:tc>
      </w:tr>
      <w:tr>
        <w:trPr/>
        <w:tc>
          <w:tcPr>
            <w:tcW w:w="702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Latin America Pawn segment profit before tax (three months ended March 31, 2018)</w:t>
            </w:r>
          </w:p>
        </w:tc>
        <w:tc>
          <w:tcPr>
            <w:tcW w:w="226" w:type="dxa"/>
            <w:tcBorders/>
            <w:shd w:fill="auto" w:val="clear"/>
            <w:vAlign w:val="center"/>
          </w:tcPr>
          <w:p>
            <w:pPr>
              <w:pStyle w:val="TableContents"/>
              <w:spacing w:before="0" w:after="0"/>
              <w:jc w:val="left"/>
              <w:rPr>
                <w:rFonts w:ascii="inherit" w:hAnsi="inherit"/>
                <w:sz w:val="13"/>
              </w:rPr>
            </w:pPr>
            <w:r>
              <w:rPr>
                <w:rFonts w:ascii="inherit" w:hAnsi="inherit"/>
                <w:sz w:val="13"/>
              </w:rPr>
              <w:t>$</w:t>
            </w:r>
          </w:p>
        </w:tc>
        <w:tc>
          <w:tcPr>
            <w:tcW w:w="879" w:type="dxa"/>
            <w:tcBorders/>
            <w:shd w:fill="auto" w:val="clear"/>
            <w:vAlign w:val="center"/>
          </w:tcPr>
          <w:p>
            <w:pPr>
              <w:pStyle w:val="TableContents"/>
              <w:spacing w:before="0" w:after="0"/>
              <w:jc w:val="right"/>
              <w:rPr>
                <w:rFonts w:ascii="inherit" w:hAnsi="inherit"/>
                <w:sz w:val="13"/>
              </w:rPr>
            </w:pPr>
            <w:r>
              <w:rPr>
                <w:rFonts w:ascii="inherit" w:hAnsi="inherit"/>
                <w:sz w:val="13"/>
              </w:rPr>
              <w:t>7.1</w:t>
            </w:r>
          </w:p>
        </w:tc>
        <w:tc>
          <w:tcPr>
            <w:tcW w:w="2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41" w:type="dxa"/>
            <w:tcBorders/>
            <w:shd w:fill="auto" w:val="clear"/>
            <w:vAlign w:val="center"/>
          </w:tcPr>
          <w:p>
            <w:pPr>
              <w:pStyle w:val="TableContents"/>
              <w:spacing w:before="0" w:after="0"/>
              <w:jc w:val="right"/>
              <w:rPr>
                <w:rFonts w:ascii="inherit" w:hAnsi="inherit"/>
                <w:sz w:val="13"/>
              </w:rPr>
            </w:pPr>
            <w:r>
              <w:rPr>
                <w:rFonts w:ascii="inherit" w:hAnsi="inherit"/>
                <w:sz w:val="13"/>
              </w:rPr>
              <w:t>119</w:t>
            </w:r>
          </w:p>
        </w:tc>
        <w:tc>
          <w:tcPr>
            <w:tcW w:w="723"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r>
      <w:tr>
        <w:trPr/>
        <w:tc>
          <w:tcPr>
            <w:tcW w:w="702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Currency exchange rate fluctuations</w:t>
            </w:r>
          </w:p>
        </w:tc>
        <w:tc>
          <w:tcPr>
            <w:tcW w:w="1105"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(0.4</w:t>
            </w:r>
          </w:p>
        </w:tc>
        <w:tc>
          <w:tcPr>
            <w:tcW w:w="226"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90" w:type="dxa"/>
            <w:tcBorders/>
            <w:shd w:fill="auto" w:val="clear"/>
            <w:vAlign w:val="center"/>
          </w:tcPr>
          <w:p>
            <w:pPr>
              <w:pStyle w:val="TableContents"/>
              <w:spacing w:before="0" w:after="0"/>
              <w:ind w:left="0" w:right="0" w:firstLine="30"/>
              <w:rPr/>
            </w:pPr>
            <w:r>
              <w:rPr/>
              <w:t> </w:t>
            </w:r>
          </w:p>
        </w:tc>
        <w:tc>
          <w:tcPr>
            <w:tcW w:w="1764" w:type="dxa"/>
            <w:gridSpan w:val="2"/>
            <w:tcBorders/>
            <w:shd w:fill="auto" w:val="clear"/>
            <w:vAlign w:val="center"/>
          </w:tcPr>
          <w:p>
            <w:pPr>
              <w:pStyle w:val="TableContents"/>
              <w:spacing w:before="0" w:after="0"/>
              <w:ind w:left="0" w:right="0" w:firstLine="300"/>
              <w:rPr/>
            </w:pPr>
            <w:r>
              <w:rPr/>
              <w:t> </w:t>
            </w:r>
          </w:p>
        </w:tc>
      </w:tr>
      <w:tr>
        <w:trPr/>
        <w:tc>
          <w:tcPr>
            <w:tcW w:w="702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Constant currency Latin America Pawn segment profit before tax (three months ended March 31, 2018)</w:t>
            </w:r>
          </w:p>
        </w:tc>
        <w:tc>
          <w:tcPr>
            <w:tcW w:w="226" w:type="dxa"/>
            <w:tcBorders>
              <w:top w:val="single" w:sz="2" w:space="0" w:color="000000"/>
            </w:tcBorders>
            <w:shd w:fill="auto" w:val="clear"/>
            <w:tcMar>
              <w:top w:w="30" w:type="dxa"/>
            </w:tcMar>
            <w:vAlign w:val="center"/>
          </w:tcPr>
          <w:p>
            <w:pPr>
              <w:pStyle w:val="TableContents"/>
              <w:spacing w:before="0" w:after="0"/>
              <w:jc w:val="left"/>
              <w:rPr>
                <w:rFonts w:ascii="inherit" w:hAnsi="inherit"/>
                <w:sz w:val="13"/>
              </w:rPr>
            </w:pPr>
            <w:r>
              <w:rPr>
                <w:rFonts w:ascii="inherit" w:hAnsi="inherit"/>
                <w:sz w:val="13"/>
              </w:rPr>
              <w:t>$</w:t>
            </w:r>
          </w:p>
        </w:tc>
        <w:tc>
          <w:tcPr>
            <w:tcW w:w="879" w:type="dxa"/>
            <w:tcBorders>
              <w:top w:val="single" w:sz="2" w:space="0" w:color="000000"/>
            </w:tcBorders>
            <w:shd w:fill="auto" w:val="clear"/>
            <w:tcMar>
              <w:top w:w="30" w:type="dxa"/>
            </w:tcMar>
            <w:vAlign w:val="center"/>
          </w:tcPr>
          <w:p>
            <w:pPr>
              <w:pStyle w:val="TableContents"/>
              <w:spacing w:before="0" w:after="0"/>
              <w:jc w:val="right"/>
              <w:rPr>
                <w:rFonts w:ascii="inherit" w:hAnsi="inherit"/>
                <w:sz w:val="13"/>
              </w:rPr>
            </w:pPr>
            <w:r>
              <w:rPr>
                <w:rFonts w:ascii="inherit" w:hAnsi="inherit"/>
                <w:sz w:val="13"/>
              </w:rPr>
              <w:t>6.7</w:t>
            </w:r>
          </w:p>
        </w:tc>
        <w:tc>
          <w:tcPr>
            <w:tcW w:w="226"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41" w:type="dxa"/>
            <w:tcBorders>
              <w:top w:val="single" w:sz="2" w:space="0" w:color="000000"/>
            </w:tcBorders>
            <w:shd w:fill="auto" w:val="clear"/>
            <w:tcMar>
              <w:top w:w="30" w:type="dxa"/>
            </w:tcMar>
            <w:vAlign w:val="center"/>
          </w:tcPr>
          <w:p>
            <w:pPr>
              <w:pStyle w:val="TableContents"/>
              <w:spacing w:before="0" w:after="0"/>
              <w:jc w:val="right"/>
              <w:rPr>
                <w:rFonts w:ascii="inherit" w:hAnsi="inherit"/>
                <w:sz w:val="13"/>
              </w:rPr>
            </w:pPr>
            <w:r>
              <w:rPr>
                <w:rFonts w:ascii="inherit" w:hAnsi="inherit"/>
                <w:sz w:val="13"/>
              </w:rPr>
              <w:t>109</w:t>
            </w:r>
          </w:p>
        </w:tc>
        <w:tc>
          <w:tcPr>
            <w:tcW w:w="723" w:type="dxa"/>
            <w:tcBorders>
              <w:top w:val="single" w:sz="2" w:space="0" w:color="000000"/>
            </w:tcBorders>
            <w:shd w:fill="auto" w:val="clear"/>
            <w:tcMar>
              <w:top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r>
      <w:tr>
        <w:trPr/>
        <w:tc>
          <w:tcPr>
            <w:tcW w:w="7020" w:type="dxa"/>
            <w:tcBorders/>
            <w:shd w:fill="auto" w:val="clear"/>
            <w:vAlign w:val="center"/>
          </w:tcPr>
          <w:p>
            <w:pPr>
              <w:pStyle w:val="TableContents"/>
              <w:spacing w:before="0" w:after="0"/>
              <w:ind w:left="0" w:right="0" w:firstLine="30"/>
              <w:rPr/>
            </w:pPr>
            <w:r>
              <w:rPr/>
              <w:t> </w:t>
            </w:r>
          </w:p>
        </w:tc>
        <w:tc>
          <w:tcPr>
            <w:tcW w:w="1331"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764" w:type="dxa"/>
            <w:gridSpan w:val="2"/>
            <w:tcBorders/>
            <w:shd w:fill="auto" w:val="clear"/>
            <w:vAlign w:val="center"/>
          </w:tcPr>
          <w:p>
            <w:pPr>
              <w:pStyle w:val="TableContents"/>
              <w:spacing w:before="0" w:after="0"/>
              <w:ind w:left="0" w:right="0" w:firstLine="30"/>
              <w:rPr/>
            </w:pPr>
            <w:r>
              <w:rPr/>
              <w:t> </w:t>
            </w:r>
          </w:p>
        </w:tc>
      </w:tr>
      <w:tr>
        <w:trPr/>
        <w:tc>
          <w:tcPr>
            <w:tcW w:w="702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Latin America Pawn segment profit before tax (six months ended March 31, 2018)</w:t>
            </w:r>
          </w:p>
        </w:tc>
        <w:tc>
          <w:tcPr>
            <w:tcW w:w="226" w:type="dxa"/>
            <w:tcBorders/>
            <w:shd w:fill="auto" w:val="clear"/>
            <w:vAlign w:val="center"/>
          </w:tcPr>
          <w:p>
            <w:pPr>
              <w:pStyle w:val="TableContents"/>
              <w:spacing w:before="0" w:after="0"/>
              <w:jc w:val="left"/>
              <w:rPr>
                <w:rFonts w:ascii="inherit" w:hAnsi="inherit"/>
                <w:sz w:val="13"/>
              </w:rPr>
            </w:pPr>
            <w:r>
              <w:rPr>
                <w:rFonts w:ascii="inherit" w:hAnsi="inherit"/>
                <w:sz w:val="13"/>
              </w:rPr>
              <w:t>$</w:t>
            </w:r>
          </w:p>
        </w:tc>
        <w:tc>
          <w:tcPr>
            <w:tcW w:w="879" w:type="dxa"/>
            <w:tcBorders/>
            <w:shd w:fill="auto" w:val="clear"/>
            <w:vAlign w:val="center"/>
          </w:tcPr>
          <w:p>
            <w:pPr>
              <w:pStyle w:val="TableContents"/>
              <w:spacing w:before="0" w:after="0"/>
              <w:jc w:val="right"/>
              <w:rPr>
                <w:rFonts w:ascii="inherit" w:hAnsi="inherit"/>
                <w:sz w:val="13"/>
              </w:rPr>
            </w:pPr>
            <w:r>
              <w:rPr>
                <w:rFonts w:ascii="inherit" w:hAnsi="inherit"/>
                <w:sz w:val="13"/>
              </w:rPr>
              <w:t>16.1</w:t>
            </w:r>
          </w:p>
        </w:tc>
        <w:tc>
          <w:tcPr>
            <w:tcW w:w="2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41" w:type="dxa"/>
            <w:tcBorders/>
            <w:shd w:fill="auto" w:val="clear"/>
            <w:vAlign w:val="center"/>
          </w:tcPr>
          <w:p>
            <w:pPr>
              <w:pStyle w:val="TableContents"/>
              <w:spacing w:before="0" w:after="0"/>
              <w:jc w:val="right"/>
              <w:rPr>
                <w:rFonts w:ascii="inherit" w:hAnsi="inherit"/>
                <w:sz w:val="13"/>
              </w:rPr>
            </w:pPr>
            <w:r>
              <w:rPr>
                <w:rFonts w:ascii="inherit" w:hAnsi="inherit"/>
                <w:sz w:val="13"/>
              </w:rPr>
              <w:t>116</w:t>
            </w:r>
          </w:p>
        </w:tc>
        <w:tc>
          <w:tcPr>
            <w:tcW w:w="723"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r>
      <w:tr>
        <w:trPr/>
        <w:tc>
          <w:tcPr>
            <w:tcW w:w="702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Currency exchange rate fluctuations</w:t>
            </w:r>
          </w:p>
        </w:tc>
        <w:tc>
          <w:tcPr>
            <w:tcW w:w="110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(0.7</w:t>
            </w:r>
          </w:p>
        </w:tc>
        <w:tc>
          <w:tcPr>
            <w:tcW w:w="226"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90" w:type="dxa"/>
            <w:tcBorders/>
            <w:shd w:fill="auto" w:val="clear"/>
            <w:vAlign w:val="center"/>
          </w:tcPr>
          <w:p>
            <w:pPr>
              <w:pStyle w:val="TableContents"/>
              <w:spacing w:before="0" w:after="0"/>
              <w:ind w:left="0" w:right="0" w:firstLine="30"/>
              <w:rPr/>
            </w:pPr>
            <w:r>
              <w:rPr/>
              <w:t> </w:t>
            </w:r>
          </w:p>
        </w:tc>
        <w:tc>
          <w:tcPr>
            <w:tcW w:w="1764" w:type="dxa"/>
            <w:gridSpan w:val="2"/>
            <w:tcBorders/>
            <w:shd w:fill="auto" w:val="clear"/>
            <w:vAlign w:val="center"/>
          </w:tcPr>
          <w:p>
            <w:pPr>
              <w:pStyle w:val="TableContents"/>
              <w:spacing w:before="0" w:after="0"/>
              <w:ind w:left="0" w:right="0" w:firstLine="300"/>
              <w:rPr/>
            </w:pPr>
            <w:r>
              <w:rPr/>
              <w:t> </w:t>
            </w:r>
          </w:p>
        </w:tc>
      </w:tr>
      <w:tr>
        <w:trPr/>
        <w:tc>
          <w:tcPr>
            <w:tcW w:w="702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Constant currency Latin America Pawn segment profit before tax (six months ended March 31, 2018)</w:t>
            </w:r>
          </w:p>
        </w:tc>
        <w:tc>
          <w:tcPr>
            <w:tcW w:w="226" w:type="dxa"/>
            <w:tcBorders>
              <w:top w:val="single" w:sz="2" w:space="0" w:color="000000"/>
            </w:tcBorders>
            <w:shd w:fill="auto" w:val="clear"/>
            <w:tcMar>
              <w:top w:w="30" w:type="dxa"/>
            </w:tcMar>
            <w:vAlign w:val="center"/>
          </w:tcPr>
          <w:p>
            <w:pPr>
              <w:pStyle w:val="TableContents"/>
              <w:spacing w:before="0" w:after="0"/>
              <w:jc w:val="left"/>
              <w:rPr>
                <w:rFonts w:ascii="inherit" w:hAnsi="inherit"/>
                <w:sz w:val="13"/>
              </w:rPr>
            </w:pPr>
            <w:r>
              <w:rPr>
                <w:rFonts w:ascii="inherit" w:hAnsi="inherit"/>
                <w:sz w:val="13"/>
              </w:rPr>
              <w:t>$</w:t>
            </w:r>
          </w:p>
        </w:tc>
        <w:tc>
          <w:tcPr>
            <w:tcW w:w="879" w:type="dxa"/>
            <w:tcBorders>
              <w:top w:val="single" w:sz="2" w:space="0" w:color="000000"/>
            </w:tcBorders>
            <w:shd w:fill="auto" w:val="clear"/>
            <w:tcMar>
              <w:top w:w="30" w:type="dxa"/>
            </w:tcMar>
            <w:vAlign w:val="center"/>
          </w:tcPr>
          <w:p>
            <w:pPr>
              <w:pStyle w:val="TableContents"/>
              <w:spacing w:before="0" w:after="0"/>
              <w:jc w:val="right"/>
              <w:rPr>
                <w:rFonts w:ascii="inherit" w:hAnsi="inherit"/>
                <w:sz w:val="13"/>
              </w:rPr>
            </w:pPr>
            <w:r>
              <w:rPr>
                <w:rFonts w:ascii="inherit" w:hAnsi="inherit"/>
                <w:sz w:val="13"/>
              </w:rPr>
              <w:t>15.4</w:t>
            </w:r>
          </w:p>
        </w:tc>
        <w:tc>
          <w:tcPr>
            <w:tcW w:w="226"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41" w:type="dxa"/>
            <w:tcBorders>
              <w:top w:val="single" w:sz="2" w:space="0" w:color="000000"/>
            </w:tcBorders>
            <w:shd w:fill="auto" w:val="clear"/>
            <w:tcMar>
              <w:top w:w="30" w:type="dxa"/>
            </w:tcMar>
            <w:vAlign w:val="center"/>
          </w:tcPr>
          <w:p>
            <w:pPr>
              <w:pStyle w:val="TableContents"/>
              <w:spacing w:before="0" w:after="0"/>
              <w:jc w:val="right"/>
              <w:rPr>
                <w:rFonts w:ascii="inherit" w:hAnsi="inherit"/>
                <w:sz w:val="13"/>
              </w:rPr>
            </w:pPr>
            <w:r>
              <w:rPr>
                <w:rFonts w:ascii="inherit" w:hAnsi="inherit"/>
                <w:sz w:val="13"/>
              </w:rPr>
              <w:t>107</w:t>
            </w:r>
          </w:p>
        </w:tc>
        <w:tc>
          <w:tcPr>
            <w:tcW w:w="723" w:type="dxa"/>
            <w:tcBorders>
              <w:top w:val="single" w:sz="2" w:space="0" w:color="000000"/>
            </w:tcBorders>
            <w:shd w:fill="auto" w:val="clear"/>
            <w:tcMar>
              <w:top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r>
      <w:tr>
        <w:trPr/>
        <w:tc>
          <w:tcPr>
            <w:tcW w:w="7020" w:type="dxa"/>
            <w:tcBorders/>
            <w:shd w:fill="auto" w:val="clear"/>
            <w:vAlign w:val="center"/>
          </w:tcPr>
          <w:p>
            <w:pPr>
              <w:pStyle w:val="TableContents"/>
              <w:spacing w:before="0" w:after="0"/>
              <w:ind w:left="0" w:right="0" w:firstLine="30"/>
              <w:rPr/>
            </w:pPr>
            <w:r>
              <w:rPr/>
              <w:t> </w:t>
            </w:r>
          </w:p>
        </w:tc>
        <w:tc>
          <w:tcPr>
            <w:tcW w:w="1331"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764" w:type="dxa"/>
            <w:gridSpan w:val="2"/>
            <w:tcBorders/>
            <w:shd w:fill="auto" w:val="clear"/>
            <w:vAlign w:val="center"/>
          </w:tcPr>
          <w:p>
            <w:pPr>
              <w:pStyle w:val="TableContents"/>
              <w:spacing w:before="0" w:after="0"/>
              <w:ind w:left="0" w:right="0" w:firstLine="30"/>
              <w:rPr/>
            </w:pPr>
            <w:r>
              <w:rPr/>
              <w:t> </w:t>
            </w:r>
          </w:p>
        </w:tc>
      </w:tr>
      <w:tr>
        <w:trPr/>
        <w:tc>
          <w:tcPr>
            <w:tcW w:w="702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Latin America Pawn net revenue (three months ended March 31, 2018)</w:t>
            </w:r>
          </w:p>
        </w:tc>
        <w:tc>
          <w:tcPr>
            <w:tcW w:w="226" w:type="dxa"/>
            <w:tcBorders/>
            <w:shd w:fill="auto" w:val="clear"/>
            <w:vAlign w:val="center"/>
          </w:tcPr>
          <w:p>
            <w:pPr>
              <w:pStyle w:val="TableContents"/>
              <w:spacing w:before="0" w:after="0"/>
              <w:jc w:val="left"/>
              <w:rPr>
                <w:rFonts w:ascii="inherit" w:hAnsi="inherit"/>
                <w:sz w:val="13"/>
              </w:rPr>
            </w:pPr>
            <w:r>
              <w:rPr>
                <w:rFonts w:ascii="inherit" w:hAnsi="inherit"/>
                <w:sz w:val="13"/>
              </w:rPr>
              <w:t>$</w:t>
            </w:r>
          </w:p>
        </w:tc>
        <w:tc>
          <w:tcPr>
            <w:tcW w:w="879" w:type="dxa"/>
            <w:tcBorders/>
            <w:shd w:fill="auto" w:val="clear"/>
            <w:vAlign w:val="center"/>
          </w:tcPr>
          <w:p>
            <w:pPr>
              <w:pStyle w:val="TableContents"/>
              <w:spacing w:before="0" w:after="0"/>
              <w:jc w:val="right"/>
              <w:rPr>
                <w:rFonts w:ascii="inherit" w:hAnsi="inherit"/>
                <w:sz w:val="13"/>
              </w:rPr>
            </w:pPr>
            <w:r>
              <w:rPr>
                <w:rFonts w:ascii="inherit" w:hAnsi="inherit"/>
                <w:sz w:val="13"/>
              </w:rPr>
              <w:t>22.2</w:t>
            </w:r>
          </w:p>
        </w:tc>
        <w:tc>
          <w:tcPr>
            <w:tcW w:w="2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41" w:type="dxa"/>
            <w:tcBorders/>
            <w:shd w:fill="auto" w:val="clear"/>
            <w:vAlign w:val="center"/>
          </w:tcPr>
          <w:p>
            <w:pPr>
              <w:pStyle w:val="TableContents"/>
              <w:spacing w:before="0" w:after="0"/>
              <w:jc w:val="right"/>
              <w:rPr>
                <w:rFonts w:ascii="inherit" w:hAnsi="inherit"/>
                <w:sz w:val="13"/>
              </w:rPr>
            </w:pPr>
            <w:r>
              <w:rPr>
                <w:rFonts w:ascii="inherit" w:hAnsi="inherit"/>
                <w:sz w:val="13"/>
              </w:rPr>
              <w:t>78</w:t>
            </w:r>
          </w:p>
        </w:tc>
        <w:tc>
          <w:tcPr>
            <w:tcW w:w="723"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r>
      <w:tr>
        <w:trPr/>
        <w:tc>
          <w:tcPr>
            <w:tcW w:w="702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Currency exchange rate fluctuations</w:t>
            </w:r>
          </w:p>
        </w:tc>
        <w:tc>
          <w:tcPr>
            <w:tcW w:w="110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(1.1</w:t>
            </w:r>
          </w:p>
        </w:tc>
        <w:tc>
          <w:tcPr>
            <w:tcW w:w="226"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90" w:type="dxa"/>
            <w:tcBorders/>
            <w:shd w:fill="auto" w:val="clear"/>
            <w:vAlign w:val="center"/>
          </w:tcPr>
          <w:p>
            <w:pPr>
              <w:pStyle w:val="TableContents"/>
              <w:spacing w:before="0" w:after="0"/>
              <w:ind w:left="0" w:right="0" w:firstLine="30"/>
              <w:rPr/>
            </w:pPr>
            <w:r>
              <w:rPr/>
              <w:t> </w:t>
            </w:r>
          </w:p>
        </w:tc>
        <w:tc>
          <w:tcPr>
            <w:tcW w:w="1764" w:type="dxa"/>
            <w:gridSpan w:val="2"/>
            <w:tcBorders/>
            <w:shd w:fill="auto" w:val="clear"/>
            <w:vAlign w:val="center"/>
          </w:tcPr>
          <w:p>
            <w:pPr>
              <w:pStyle w:val="TableContents"/>
              <w:spacing w:before="0" w:after="0"/>
              <w:ind w:left="0" w:right="0" w:firstLine="300"/>
              <w:rPr/>
            </w:pPr>
            <w:r>
              <w:rPr/>
              <w:t> </w:t>
            </w:r>
          </w:p>
        </w:tc>
      </w:tr>
      <w:tr>
        <w:trPr/>
        <w:tc>
          <w:tcPr>
            <w:tcW w:w="702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Constant currency Latin America Pawn net revenue (three months ended March 31, 2018)</w:t>
            </w:r>
          </w:p>
        </w:tc>
        <w:tc>
          <w:tcPr>
            <w:tcW w:w="226" w:type="dxa"/>
            <w:tcBorders>
              <w:top w:val="single" w:sz="2" w:space="0" w:color="000000"/>
            </w:tcBorders>
            <w:shd w:fill="auto" w:val="clear"/>
            <w:tcMar>
              <w:top w:w="30" w:type="dxa"/>
            </w:tcMar>
            <w:vAlign w:val="center"/>
          </w:tcPr>
          <w:p>
            <w:pPr>
              <w:pStyle w:val="TableContents"/>
              <w:spacing w:before="0" w:after="0"/>
              <w:jc w:val="left"/>
              <w:rPr>
                <w:rFonts w:ascii="inherit" w:hAnsi="inherit"/>
                <w:sz w:val="13"/>
              </w:rPr>
            </w:pPr>
            <w:r>
              <w:rPr>
                <w:rFonts w:ascii="inherit" w:hAnsi="inherit"/>
                <w:sz w:val="13"/>
              </w:rPr>
              <w:t>$</w:t>
            </w:r>
          </w:p>
        </w:tc>
        <w:tc>
          <w:tcPr>
            <w:tcW w:w="879" w:type="dxa"/>
            <w:tcBorders>
              <w:top w:val="single" w:sz="2" w:space="0" w:color="000000"/>
            </w:tcBorders>
            <w:shd w:fill="auto" w:val="clear"/>
            <w:tcMar>
              <w:top w:w="30" w:type="dxa"/>
            </w:tcMar>
            <w:vAlign w:val="center"/>
          </w:tcPr>
          <w:p>
            <w:pPr>
              <w:pStyle w:val="TableContents"/>
              <w:spacing w:before="0" w:after="0"/>
              <w:jc w:val="right"/>
              <w:rPr>
                <w:rFonts w:ascii="inherit" w:hAnsi="inherit"/>
                <w:sz w:val="13"/>
              </w:rPr>
            </w:pPr>
            <w:r>
              <w:rPr>
                <w:rFonts w:ascii="inherit" w:hAnsi="inherit"/>
                <w:sz w:val="13"/>
              </w:rPr>
              <w:t>21.1</w:t>
            </w:r>
          </w:p>
        </w:tc>
        <w:tc>
          <w:tcPr>
            <w:tcW w:w="226"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41" w:type="dxa"/>
            <w:tcBorders>
              <w:top w:val="single" w:sz="2" w:space="0" w:color="000000"/>
            </w:tcBorders>
            <w:shd w:fill="auto" w:val="clear"/>
            <w:tcMar>
              <w:top w:w="30" w:type="dxa"/>
            </w:tcMar>
            <w:vAlign w:val="center"/>
          </w:tcPr>
          <w:p>
            <w:pPr>
              <w:pStyle w:val="TableContents"/>
              <w:spacing w:before="0" w:after="0"/>
              <w:jc w:val="right"/>
              <w:rPr>
                <w:rFonts w:ascii="inherit" w:hAnsi="inherit"/>
                <w:sz w:val="13"/>
              </w:rPr>
            </w:pPr>
            <w:r>
              <w:rPr>
                <w:rFonts w:ascii="inherit" w:hAnsi="inherit"/>
                <w:sz w:val="13"/>
              </w:rPr>
              <w:t>69</w:t>
            </w:r>
          </w:p>
        </w:tc>
        <w:tc>
          <w:tcPr>
            <w:tcW w:w="723" w:type="dxa"/>
            <w:tcBorders>
              <w:top w:val="single" w:sz="2" w:space="0" w:color="000000"/>
            </w:tcBorders>
            <w:shd w:fill="auto" w:val="clear"/>
            <w:tcMar>
              <w:top w:w="30" w:type="dxa"/>
            </w:tcMar>
            <w:vAlign w:val="center"/>
          </w:tcPr>
          <w:p>
            <w:pPr>
              <w:pStyle w:val="TableContents"/>
              <w:spacing w:before="0" w:after="0"/>
              <w:jc w:val="left"/>
              <w:rPr>
                <w:rFonts w:ascii="inherit" w:hAnsi="inherit"/>
                <w:sz w:val="13"/>
              </w:rPr>
            </w:pPr>
            <w:r>
              <w:rPr>
                <w:rFonts w:ascii="inherit" w:hAnsi="inherit"/>
                <w:sz w:val="13"/>
              </w:rPr>
              <w:t>%</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inherit">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18</Pages>
  <Words>5801</Words>
  <CharactersWithSpaces>37114</CharactersWithSpaces>
  <Paragraphs>2847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