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31, 2018 (May 29,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Emerging growth company o</w:t>
      </w:r>
    </w:p>
    <w:p>
      <w:pPr>
        <w:spacing w:after="0" w:line="3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112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EZCORP, Inc. owns 156,552,484 ordinary shares of our strategic affiliate, Cash Converters International Limited (“Cash Converters”), representing 31.75% of the total outstanding ordinary shares. Cash Converters is headquartered in Perth, Western Australia, and is a leading operator and franchisor in retail, second hand goods and personal financial services markets within Australia and internationally. Cash Converters has a network through corporate and licensing arrangements of over 700 stores in 18 countries. The range of services offered by Cash Converters stores varies, with pawn loans available in selected markets, as well as a personal finance business that operates in various forms in the micro-lending category around the world. The ordinary shares in Cash Converters are traded on the Australian Stock Exchange under the symbol “CCV.”</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On May 30, 2018, Cash Converters launched an entitlement offer to raise AUD$39.5 million (the “Entitlement Offer). The Entitlement Offer provides eligible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Cash Converters with the opportunity to acquire new ordinary shares at an issue price of AUD$0.32 per share on the basis of one new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every four existing shares. The offer price represents a discount of 12.8% to the 5-day volume weighted average price of the Cash Converters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(AUD$0.367) and a 12.3% discount to the last closing sales price of the Cash Converters shares prior to announcement of the Entitlement Offer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(AUD$0.365).</w:t>
      </w:r>
    </w:p>
    <w:p>
      <w:pPr>
        <w:spacing w:after="0" w:line="157"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Immediately prior to the launch of the Entitlement Offer, we entered into a Commitment and Shortfall Underwriting Agreement with Cash Converters, pursuant to which we committed to acquire our full pro rata entitlement of 39,138,120 shares for AUD$12.5 million (USD$9.5 million). In addition, we agreed to acquire up to an additional 18,493,108 shares for AUD$5.9 million (USD$4.5 million) from the shares, if any, that are not taken up by eligible shareholders (the “Additional Shares”). Consequently, upon completion of the Entitlement Offer, our percentage ownership of Cash Converters will range between the existing 31.75% (if no Additional Shares are available) to a maximum of 34.75% (if the full number of Additional Shares are available).</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Converters will use the net proceeds from the Entitlement Offer to reduce outstanding indebtedness and provide additional capital to pursue growth opportunities while maintaining sufficient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Entitlement Offer is scheduled to close on June 18, 2018, with a settlement date of June 26, 2018.</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Note — USD$ amounts stated above are estimates based on the current exchange rate. Actual amounts will depend on the AUD$ to USD$ exchange rate at the completion of the Entitlement Offer.</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2020-01-15T15:20:05Z</dcterms:created>
  <dcterms:modified xsi:type="dcterms:W3CDTF">2020-01-15T15:20:05Z</dcterms:modified>
</cp:coreProperties>
</file>