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57914sv3.htm"/>
        <w:bookmarkStart w:id="1" w:name="ksd57914sv3"/>
        <w:bookmarkEnd w:id="0"/>
        <w:bookmarkEnd w:id="1"/>
        <w:r>
          <w:rPr>
            <w:rStyle w:val="InternetLink"/>
          </w:rPr>
          <w:t>Table of Contents</w:t>
        </w:r>
      </w:hyperlink>
    </w:p>
    <w:p>
      <w:pPr>
        <w:pStyle w:val="TextBody"/>
        <w:spacing w:before="240" w:after="283"/>
        <w:jc w:val="right"/>
        <w:rPr>
          <w:rFonts w:ascii="Times New Roman;Times;serif" w:hAnsi="Times New Roman;Times;serif"/>
          <w:sz w:val="17"/>
        </w:rPr>
      </w:pPr>
      <w:r>
        <w:rPr>
          <w:rFonts w:ascii="Times New Roman;Times;serif" w:hAnsi="Times New Roman;Times;serif"/>
          <w:i/>
          <w:sz w:val="17"/>
        </w:rPr>
        <w:t>File No. 333-______</w:t>
      </w:r>
      <w:r>
        <w:rPr>
          <w:rFonts w:ascii="Times New Roman;Times;serif" w:hAnsi="Times New Roman;Times;serif"/>
          <w:sz w:val="17"/>
        </w:rPr>
        <w:t xml:space="preserve">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S-3</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REGISTRATION STATEMENT</w:t>
        <w:br/>
        <w:t>Under the Securities Act of 1933</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Delaware</w:t>
            </w:r>
            <w:r>
              <w:rPr/>
              <w:br/>
              <w:t xml:space="preserve">(State or other jurisdiction </w:t>
              <w:br/>
              <w:t xml:space="preserve">of incorporation or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74-2540145</w:t>
            </w:r>
            <w:r>
              <w:rPr/>
              <w:br/>
              <w:t>(I.R.S. Employer</w:t>
              <w:br/>
              <w:t>Identification Number)</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1901 CAPITAL PARKWAY</w:t>
        <w:br/>
        <w:t>AUSTIN, TEXAS 78746</w:t>
        <w:br/>
        <w:t>(512) 314-3400</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including zip code, and telephone number, including area code, of registrants principal executive offices)</w:t>
      </w:r>
    </w:p>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Connie Kondik</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b/>
              </w:rPr>
            </w:pPr>
            <w:r>
              <w:rPr>
                <w:b/>
              </w:rPr>
              <w:t>Copies to:</w:t>
            </w:r>
          </w:p>
        </w:tc>
      </w:tr>
      <w:tr>
        <w:trPr/>
        <w:tc>
          <w:tcPr>
            <w:tcW w:w="4845" w:type="dxa"/>
            <w:tcBorders/>
            <w:shd w:fill="auto" w:val="clear"/>
          </w:tcPr>
          <w:p>
            <w:pPr>
              <w:pStyle w:val="TableContents"/>
              <w:spacing w:before="0" w:after="283"/>
              <w:jc w:val="center"/>
              <w:rPr/>
            </w:pPr>
            <w:r>
              <w:rPr>
                <w:b/>
              </w:rPr>
              <w:t xml:space="preserve">General Counsel </w:t>
              <w:br/>
              <w:t xml:space="preserve">EZCORP, Inc. </w:t>
              <w:br/>
              <w:t xml:space="preserve">1901 Capital Parkway </w:t>
              <w:br/>
              <w:t>Austin, Texas 78746</w:t>
              <w:br/>
              <w:t>Telephone: (512) 314-3400</w:t>
              <w:br/>
              <w:t>Facsimile: (512) 314-3463</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b/>
              </w:rPr>
            </w:pPr>
            <w:r>
              <w:rPr>
                <w:b/>
              </w:rPr>
              <w:t>Lee Polson</w:t>
              <w:br/>
              <w:t>Strasburger &amp; Price, LLP</w:t>
              <w:br/>
              <w:t>600 Congress Avenue, Suite 1600</w:t>
              <w:br/>
              <w:t>Austin, Texas 78701</w:t>
              <w:br/>
              <w:t>Telephone: (512)-499-3600</w:t>
              <w:br/>
              <w:t>Facsimile: (512) 499-3660</w:t>
            </w:r>
          </w:p>
        </w:tc>
      </w:tr>
      <w:tr>
        <w:trPr/>
        <w:tc>
          <w:tcPr>
            <w:tcW w:w="4845" w:type="dxa"/>
            <w:tcBorders/>
            <w:shd w:fill="auto" w:val="clear"/>
          </w:tcPr>
          <w:p>
            <w:pPr>
              <w:pStyle w:val="TableContents"/>
              <w:spacing w:before="0" w:after="283"/>
              <w:jc w:val="center"/>
              <w:rPr/>
            </w:pPr>
            <w:r>
              <w:rPr/>
              <w:t xml:space="preserve">Name, address, including zip code, and telephone </w:t>
              <w:br/>
              <w:t>number, including area code, of agent for service</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 dates of commencement of proposed sale to public: From time to time after this registration statement becomes effective.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only securities being registered on this Form are being offered pursuant to dividend or interest reinvestment plans, please check the following box: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000" w:type="pct"/>
        <w:jc w:val="left"/>
        <w:tblInd w:w="0" w:type="dxa"/>
        <w:tblCellMar>
          <w:top w:w="28" w:type="dxa"/>
          <w:left w:w="28" w:type="dxa"/>
          <w:bottom w:w="28" w:type="dxa"/>
          <w:right w:w="28" w:type="dxa"/>
        </w:tblCellMar>
      </w:tblPr>
      <w:tblGrid>
        <w:gridCol w:w="2118"/>
        <w:gridCol w:w="1806"/>
        <w:gridCol w:w="3772"/>
        <w:gridCol w:w="2509"/>
      </w:tblGrid>
      <w:tr>
        <w:trPr/>
        <w:tc>
          <w:tcPr>
            <w:tcW w:w="2118" w:type="dxa"/>
            <w:tcBorders/>
            <w:shd w:fill="auto" w:val="clear"/>
            <w:vAlign w:val="center"/>
          </w:tcPr>
          <w:p>
            <w:pPr>
              <w:pStyle w:val="TableContents"/>
              <w:spacing w:before="0" w:after="283"/>
              <w:rPr/>
            </w:pPr>
            <w:r>
              <w:rPr/>
              <w:t>Large accelerated filer </w:t>
            </w:r>
            <w:r>
              <w:rPr>
                <w:rFonts w:ascii="Wingdings" w:hAnsi="Wingdings"/>
              </w:rPr>
              <w:t>o</w:t>
            </w:r>
          </w:p>
        </w:tc>
        <w:tc>
          <w:tcPr>
            <w:tcW w:w="1806" w:type="dxa"/>
            <w:tcBorders/>
            <w:shd w:fill="auto" w:val="clear"/>
            <w:vAlign w:val="center"/>
          </w:tcPr>
          <w:p>
            <w:pPr>
              <w:pStyle w:val="TableContents"/>
              <w:spacing w:before="0" w:after="283"/>
              <w:jc w:val="center"/>
              <w:rPr/>
            </w:pPr>
            <w:r>
              <w:rPr/>
              <w:t>Accelerated filer ☑ </w:t>
            </w:r>
          </w:p>
        </w:tc>
        <w:tc>
          <w:tcPr>
            <w:tcW w:w="3772" w:type="dxa"/>
            <w:tcBorders/>
            <w:shd w:fill="auto" w:val="clear"/>
            <w:vAlign w:val="center"/>
          </w:tcPr>
          <w:p>
            <w:pPr>
              <w:pStyle w:val="TableContents"/>
              <w:spacing w:before="0" w:after="283"/>
              <w:jc w:val="center"/>
              <w:rPr/>
            </w:pPr>
            <w:r>
              <w:rPr/>
              <w:t>Non-accelerated filer </w:t>
            </w:r>
            <w:r>
              <w:rPr>
                <w:rFonts w:ascii="Wingdings" w:hAnsi="Wingdings"/>
              </w:rPr>
              <w:t>o</w:t>
            </w:r>
            <w:r>
              <w:rPr/>
              <w:br/>
              <w:t>(Do not check if a smaller reporting company)</w:t>
            </w:r>
          </w:p>
        </w:tc>
        <w:tc>
          <w:tcPr>
            <w:tcW w:w="2509" w:type="dxa"/>
            <w:tcBorders/>
            <w:shd w:fill="auto" w:val="clear"/>
            <w:vAlign w:val="center"/>
          </w:tcPr>
          <w:p>
            <w:pPr>
              <w:pStyle w:val="TableContents"/>
              <w:spacing w:before="0" w:after="283"/>
              <w:jc w:val="right"/>
              <w:rPr/>
            </w:pPr>
            <w:r>
              <w:rPr/>
              <w:t>Smaller reporting company </w:t>
            </w:r>
            <w:r>
              <w:rPr>
                <w:rFonts w:ascii="Wingdings" w:hAnsi="Wingdings"/>
              </w:rPr>
              <w:t>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CALCULATION OF REGISTRATION FEE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5"/>
        <w:gridCol w:w="2599"/>
        <w:gridCol w:w="92"/>
        <w:gridCol w:w="92"/>
        <w:gridCol w:w="121"/>
        <w:gridCol w:w="1185"/>
        <w:gridCol w:w="122"/>
        <w:gridCol w:w="92"/>
        <w:gridCol w:w="92"/>
        <w:gridCol w:w="281"/>
        <w:gridCol w:w="942"/>
        <w:gridCol w:w="530"/>
        <w:gridCol w:w="92"/>
        <w:gridCol w:w="92"/>
        <w:gridCol w:w="215"/>
        <w:gridCol w:w="1671"/>
        <w:gridCol w:w="121"/>
        <w:gridCol w:w="92"/>
        <w:gridCol w:w="92"/>
        <w:gridCol w:w="270"/>
        <w:gridCol w:w="1098"/>
        <w:gridCol w:w="148"/>
        <w:gridCol w:w="91"/>
      </w:tblGrid>
      <w:tr>
        <w:trPr/>
        <w:tc>
          <w:tcPr>
            <w:tcW w:w="75" w:type="dxa"/>
            <w:tcBorders/>
            <w:shd w:fill="auto" w:val="clear"/>
            <w:vAlign w:val="bottom"/>
          </w:tcPr>
          <w:p>
            <w:pPr>
              <w:pStyle w:val="TableContents"/>
              <w:spacing w:before="0" w:after="283"/>
              <w:rPr/>
            </w:pPr>
            <w:r>
              <w:rPr/>
              <w:t> </w:t>
            </w:r>
          </w:p>
        </w:tc>
        <w:tc>
          <w:tcPr>
            <w:tcW w:w="259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10205" w:type="dxa"/>
            <w:gridSpan w:val="23"/>
            <w:tcBorders>
              <w:bottom w:val="double" w:sz="4" w:space="0" w:color="000000"/>
            </w:tcBorders>
            <w:shd w:fill="auto" w:val="clear"/>
            <w:tcMar>
              <w:bottom w:w="28" w:type="dxa"/>
            </w:tcMar>
            <w:vAlign w:val="bottom"/>
          </w:tcPr>
          <w:p>
            <w:pPr>
              <w:pStyle w:val="TableContents"/>
              <w:spacing w:before="0" w:after="283"/>
              <w:jc w:val="left"/>
              <w:rPr/>
            </w:pPr>
            <w:r>
              <w:rPr/>
              <w:t> </w:t>
            </w:r>
          </w:p>
        </w:tc>
      </w:tr>
      <w:tr>
        <w:trPr/>
        <w:tc>
          <w:tcPr>
            <w:tcW w:w="75" w:type="dxa"/>
            <w:tcBorders/>
            <w:shd w:fill="auto" w:val="clear"/>
            <w:vAlign w:val="bottom"/>
          </w:tcPr>
          <w:p>
            <w:pPr>
              <w:pStyle w:val="TableContents"/>
              <w:spacing w:before="0" w:after="283"/>
              <w:rPr/>
            </w:pPr>
            <w:r>
              <w:rPr/>
              <w:t> </w:t>
            </w:r>
          </w:p>
        </w:tc>
        <w:tc>
          <w:tcPr>
            <w:tcW w:w="2599" w:type="dxa"/>
            <w:tcBorders/>
            <w:shd w:fill="auto" w:val="clear"/>
            <w:vAlign w:val="bottom"/>
          </w:tcPr>
          <w:p>
            <w:pPr>
              <w:pStyle w:val="TableContents"/>
              <w:spacing w:before="0" w:after="283"/>
              <w:rPr/>
            </w:pPr>
            <w:r>
              <w:rPr/>
              <w:t> </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53" w:type="dxa"/>
            <w:gridSpan w:val="3"/>
            <w:tcBorders/>
            <w:shd w:fill="auto" w:val="clear"/>
            <w:vAlign w:val="bottom"/>
          </w:tcPr>
          <w:p>
            <w:pPr>
              <w:pStyle w:val="TableContents"/>
              <w:spacing w:before="0" w:after="283"/>
              <w:jc w:val="center"/>
              <w:rPr/>
            </w:pPr>
            <w:r>
              <w:rPr/>
              <w:t>Proposed</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007" w:type="dxa"/>
            <w:gridSpan w:val="3"/>
            <w:tcBorders/>
            <w:shd w:fill="auto" w:val="clear"/>
            <w:vAlign w:val="bottom"/>
          </w:tcPr>
          <w:p>
            <w:pPr>
              <w:pStyle w:val="TableContents"/>
              <w:spacing w:before="0" w:after="283"/>
              <w:jc w:val="center"/>
              <w:rPr/>
            </w:pPr>
            <w:r>
              <w:rPr/>
              <w:t> </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rPr/>
            </w:pPr>
            <w:r>
              <w:rPr/>
              <w:t> </w:t>
            </w:r>
          </w:p>
        </w:tc>
      </w:tr>
      <w:tr>
        <w:trPr/>
        <w:tc>
          <w:tcPr>
            <w:tcW w:w="75" w:type="dxa"/>
            <w:tcBorders/>
            <w:shd w:fill="auto" w:val="clear"/>
            <w:vAlign w:val="bottom"/>
          </w:tcPr>
          <w:p>
            <w:pPr>
              <w:pStyle w:val="TableContents"/>
              <w:spacing w:before="0" w:after="283"/>
              <w:rPr/>
            </w:pPr>
            <w:r>
              <w:rPr/>
              <w:t> </w:t>
            </w:r>
          </w:p>
        </w:tc>
        <w:tc>
          <w:tcPr>
            <w:tcW w:w="2599" w:type="dxa"/>
            <w:tcBorders/>
            <w:shd w:fill="auto" w:val="clear"/>
            <w:vAlign w:val="bottom"/>
          </w:tcPr>
          <w:p>
            <w:pPr>
              <w:pStyle w:val="TableContents"/>
              <w:spacing w:before="0" w:after="283"/>
              <w:jc w:val="center"/>
              <w:rPr/>
            </w:pPr>
            <w:r>
              <w:rPr/>
              <w:t>Title of each class</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53" w:type="dxa"/>
            <w:gridSpan w:val="3"/>
            <w:tcBorders/>
            <w:shd w:fill="auto" w:val="clear"/>
            <w:vAlign w:val="bottom"/>
          </w:tcPr>
          <w:p>
            <w:pPr>
              <w:pStyle w:val="TableContents"/>
              <w:spacing w:before="0" w:after="283"/>
              <w:jc w:val="center"/>
              <w:rPr/>
            </w:pPr>
            <w:r>
              <w:rPr/>
              <w:t>maximum</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007" w:type="dxa"/>
            <w:gridSpan w:val="3"/>
            <w:tcBorders/>
            <w:shd w:fill="auto" w:val="clear"/>
            <w:vAlign w:val="bottom"/>
          </w:tcPr>
          <w:p>
            <w:pPr>
              <w:pStyle w:val="TableContents"/>
              <w:spacing w:before="0" w:after="283"/>
              <w:jc w:val="center"/>
              <w:rPr/>
            </w:pPr>
            <w:r>
              <w:rPr/>
              <w:t>Proposed maximum</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rPr/>
            </w:pPr>
            <w:r>
              <w:rPr/>
              <w:t> </w:t>
            </w:r>
          </w:p>
        </w:tc>
      </w:tr>
      <w:tr>
        <w:trPr/>
        <w:tc>
          <w:tcPr>
            <w:tcW w:w="75" w:type="dxa"/>
            <w:tcBorders/>
            <w:shd w:fill="auto" w:val="clear"/>
            <w:vAlign w:val="bottom"/>
          </w:tcPr>
          <w:p>
            <w:pPr>
              <w:pStyle w:val="TableContents"/>
              <w:spacing w:before="0" w:after="283"/>
              <w:rPr/>
            </w:pPr>
            <w:r>
              <w:rPr/>
              <w:t> </w:t>
            </w:r>
          </w:p>
        </w:tc>
        <w:tc>
          <w:tcPr>
            <w:tcW w:w="2599" w:type="dxa"/>
            <w:tcBorders/>
            <w:shd w:fill="auto" w:val="clear"/>
            <w:vAlign w:val="bottom"/>
          </w:tcPr>
          <w:p>
            <w:pPr>
              <w:pStyle w:val="TableContents"/>
              <w:spacing w:before="0" w:after="283"/>
              <w:jc w:val="center"/>
              <w:rPr/>
            </w:pPr>
            <w:r>
              <w:rPr/>
              <w:t>of securities</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Amount to be</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53" w:type="dxa"/>
            <w:gridSpan w:val="3"/>
            <w:tcBorders/>
            <w:shd w:fill="auto" w:val="clear"/>
            <w:vAlign w:val="bottom"/>
          </w:tcPr>
          <w:p>
            <w:pPr>
              <w:pStyle w:val="TableContents"/>
              <w:spacing w:before="0" w:after="283"/>
              <w:jc w:val="center"/>
              <w:rPr/>
            </w:pPr>
            <w:r>
              <w:rPr/>
              <w:t>offering price per</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007" w:type="dxa"/>
            <w:gridSpan w:val="3"/>
            <w:tcBorders/>
            <w:shd w:fill="auto" w:val="clear"/>
            <w:vAlign w:val="bottom"/>
          </w:tcPr>
          <w:p>
            <w:pPr>
              <w:pStyle w:val="TableContents"/>
              <w:spacing w:before="0" w:after="283"/>
              <w:jc w:val="center"/>
              <w:rPr/>
            </w:pPr>
            <w:r>
              <w:rPr/>
              <w:t>aggregate offering</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spacing w:before="0" w:after="283"/>
              <w:jc w:val="center"/>
              <w:rPr/>
            </w:pPr>
            <w:r>
              <w:rPr/>
              <w:t>Amount of</w:t>
            </w:r>
          </w:p>
        </w:tc>
        <w:tc>
          <w:tcPr>
            <w:tcW w:w="91" w:type="dxa"/>
            <w:tcBorders/>
            <w:shd w:fill="auto" w:val="clear"/>
            <w:vAlign w:val="bottom"/>
          </w:tcPr>
          <w:p>
            <w:pPr>
              <w:pStyle w:val="TableContents"/>
              <w:spacing w:before="0" w:after="283"/>
              <w:rPr/>
            </w:pPr>
            <w:r>
              <w:rPr/>
              <w:t> </w:t>
            </w:r>
          </w:p>
        </w:tc>
      </w:tr>
      <w:tr>
        <w:trPr/>
        <w:tc>
          <w:tcPr>
            <w:tcW w:w="75" w:type="dxa"/>
            <w:tcBorders/>
            <w:shd w:fill="auto" w:val="clear"/>
            <w:vAlign w:val="bottom"/>
          </w:tcPr>
          <w:p>
            <w:pPr>
              <w:pStyle w:val="TableContents"/>
              <w:spacing w:before="0" w:after="283"/>
              <w:rPr/>
            </w:pPr>
            <w:r>
              <w:rPr/>
              <w:t> </w:t>
            </w:r>
          </w:p>
        </w:tc>
        <w:tc>
          <w:tcPr>
            <w:tcW w:w="2599" w:type="dxa"/>
            <w:tcBorders/>
            <w:shd w:fill="auto" w:val="clear"/>
            <w:vAlign w:val="bottom"/>
          </w:tcPr>
          <w:p>
            <w:pPr>
              <w:pStyle w:val="TableContents"/>
              <w:spacing w:before="0" w:after="283"/>
              <w:jc w:val="center"/>
              <w:rPr/>
            </w:pPr>
            <w:r>
              <w:rPr/>
              <w:t>to be registered</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registered (1)</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53" w:type="dxa"/>
            <w:gridSpan w:val="3"/>
            <w:tcBorders/>
            <w:shd w:fill="auto" w:val="clear"/>
            <w:vAlign w:val="bottom"/>
          </w:tcPr>
          <w:p>
            <w:pPr>
              <w:pStyle w:val="TableContents"/>
              <w:spacing w:before="0" w:after="283"/>
              <w:jc w:val="center"/>
              <w:rPr/>
            </w:pPr>
            <w:r>
              <w:rPr/>
              <w:t>unit</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007" w:type="dxa"/>
            <w:gridSpan w:val="3"/>
            <w:tcBorders/>
            <w:shd w:fill="auto" w:val="clear"/>
            <w:vAlign w:val="bottom"/>
          </w:tcPr>
          <w:p>
            <w:pPr>
              <w:pStyle w:val="TableContents"/>
              <w:spacing w:before="0" w:after="283"/>
              <w:jc w:val="center"/>
              <w:rPr/>
            </w:pPr>
            <w:r>
              <w:rPr/>
              <w:t>price</w:t>
            </w:r>
          </w:p>
        </w:tc>
        <w:tc>
          <w:tcPr>
            <w:tcW w:w="92" w:type="dxa"/>
            <w:tcBorders>
              <w:right w:val="single" w:sz="2" w:space="0" w:color="000000"/>
            </w:tcBorders>
            <w:shd w:fill="auto" w:val="clear"/>
            <w:tcMar>
              <w:right w:w="28" w:type="dxa"/>
            </w:tcM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spacing w:before="0" w:after="283"/>
              <w:jc w:val="center"/>
              <w:rPr/>
            </w:pPr>
            <w:r>
              <w:rPr/>
              <w:t>registration fee</w:t>
            </w:r>
          </w:p>
        </w:tc>
        <w:tc>
          <w:tcPr>
            <w:tcW w:w="91" w:type="dxa"/>
            <w:tcBorders/>
            <w:shd w:fill="auto" w:val="clear"/>
            <w:vAlign w:val="bottom"/>
          </w:tcPr>
          <w:p>
            <w:pPr>
              <w:pStyle w:val="TableContents"/>
              <w:spacing w:before="0" w:after="283"/>
              <w:rPr/>
            </w:pPr>
            <w:r>
              <w:rPr/>
              <w:t> </w:t>
            </w:r>
          </w:p>
        </w:tc>
      </w:tr>
      <w:tr>
        <w:trPr/>
        <w:tc>
          <w:tcPr>
            <w:tcW w:w="75" w:type="dxa"/>
            <w:tcBorders>
              <w:top w:val="single" w:sz="2" w:space="0" w:color="000000"/>
            </w:tcBorders>
            <w:shd w:fill="auto" w:val="clear"/>
            <w:tcMar>
              <w:top w:w="28" w:type="dxa"/>
            </w:tcMar>
            <w:vAlign w:val="bottom"/>
          </w:tcPr>
          <w:p>
            <w:pPr>
              <w:pStyle w:val="TableContents"/>
              <w:spacing w:before="0" w:after="283"/>
              <w:rPr/>
            </w:pPr>
            <w:r>
              <w:rPr/>
              <w:t> </w:t>
            </w:r>
          </w:p>
        </w:tc>
        <w:tc>
          <w:tcPr>
            <w:tcW w:w="2599" w:type="dxa"/>
            <w:tcBorders>
              <w:top w:val="single" w:sz="2" w:space="0" w:color="000000"/>
            </w:tcBorders>
            <w:shd w:fill="auto" w:val="clear"/>
            <w:tcMar>
              <w:top w:w="28" w:type="dxa"/>
            </w:tcMar>
            <w:vAlign w:val="bottom"/>
          </w:tcPr>
          <w:p>
            <w:pPr>
              <w:pStyle w:val="TableContents"/>
              <w:spacing w:before="0" w:after="0"/>
              <w:ind w:left="225" w:right="0" w:hanging="225"/>
              <w:rPr/>
            </w:pPr>
            <w:r>
              <w:rPr/>
              <w:t>Class A Non-Voting Common Stock</w:t>
            </w:r>
          </w:p>
        </w:tc>
        <w:tc>
          <w:tcPr>
            <w:tcW w:w="92"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92" w:type="dxa"/>
            <w:tcBorders>
              <w:top w:val="single" w:sz="2" w:space="0" w:color="000000"/>
            </w:tcBorders>
            <w:shd w:fill="auto" w:val="clear"/>
            <w:tcMar>
              <w:top w:w="28" w:type="dxa"/>
            </w:tcMar>
            <w:vAlign w:val="bottom"/>
          </w:tcPr>
          <w:p>
            <w:pPr>
              <w:pStyle w:val="TableContents"/>
              <w:spacing w:before="0" w:after="283"/>
              <w:rPr/>
            </w:pPr>
            <w:r>
              <w:rPr/>
              <w:t> </w:t>
            </w:r>
          </w:p>
        </w:tc>
        <w:tc>
          <w:tcPr>
            <w:tcW w:w="121" w:type="dxa"/>
            <w:tcBorders>
              <w:top w:val="single" w:sz="2" w:space="0" w:color="000000"/>
            </w:tcBorders>
            <w:shd w:fill="auto" w:val="clear"/>
            <w:tcMar>
              <w:top w:w="28" w:type="dxa"/>
            </w:tcMar>
            <w:vAlign w:val="bottom"/>
          </w:tcPr>
          <w:p>
            <w:pPr>
              <w:pStyle w:val="TableContents"/>
              <w:spacing w:before="0" w:after="283"/>
              <w:rPr/>
            </w:pPr>
            <w:r>
              <w:rPr/>
              <w:t> </w:t>
            </w:r>
          </w:p>
        </w:tc>
        <w:tc>
          <w:tcPr>
            <w:tcW w:w="1185" w:type="dxa"/>
            <w:tcBorders>
              <w:top w:val="single" w:sz="2" w:space="0" w:color="000000"/>
            </w:tcBorders>
            <w:shd w:fill="auto" w:val="clear"/>
            <w:tcMar>
              <w:top w:w="28" w:type="dxa"/>
            </w:tcMar>
            <w:vAlign w:val="bottom"/>
          </w:tcPr>
          <w:p>
            <w:pPr>
              <w:pStyle w:val="TableContents"/>
              <w:spacing w:before="0" w:after="283"/>
              <w:jc w:val="right"/>
              <w:rPr/>
            </w:pPr>
            <w:r>
              <w:rPr/>
              <w:t>1,625,015</w:t>
            </w:r>
          </w:p>
        </w:tc>
        <w:tc>
          <w:tcPr>
            <w:tcW w:w="122" w:type="dxa"/>
            <w:tcBorders>
              <w:top w:val="single" w:sz="2" w:space="0" w:color="000000"/>
            </w:tcBorders>
            <w:shd w:fill="auto" w:val="clear"/>
            <w:tcMar>
              <w:top w:w="28" w:type="dxa"/>
            </w:tcMar>
            <w:vAlign w:val="bottom"/>
          </w:tcPr>
          <w:p>
            <w:pPr>
              <w:pStyle w:val="TableContents"/>
              <w:spacing w:before="0" w:after="283"/>
              <w:rPr/>
            </w:pPr>
            <w:r>
              <w:rPr/>
              <w:t> </w:t>
            </w:r>
          </w:p>
        </w:tc>
        <w:tc>
          <w:tcPr>
            <w:tcW w:w="92"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92" w:type="dxa"/>
            <w:tcBorders>
              <w:top w:val="single" w:sz="2" w:space="0" w:color="000000"/>
            </w:tcBorders>
            <w:shd w:fill="auto" w:val="clear"/>
            <w:tcMar>
              <w:top w:w="28" w:type="dxa"/>
            </w:tcMar>
            <w:vAlign w:val="bottom"/>
          </w:tcPr>
          <w:p>
            <w:pPr>
              <w:pStyle w:val="TableContents"/>
              <w:spacing w:before="0" w:after="283"/>
              <w:rPr/>
            </w:pPr>
            <w:r>
              <w:rPr/>
              <w:t> </w:t>
            </w:r>
          </w:p>
        </w:tc>
        <w:tc>
          <w:tcPr>
            <w:tcW w:w="281" w:type="dxa"/>
            <w:tcBorders>
              <w:top w:val="single" w:sz="2" w:space="0" w:color="000000"/>
            </w:tcBorders>
            <w:shd w:fill="auto" w:val="clear"/>
            <w:tcMar>
              <w:top w:w="28" w:type="dxa"/>
            </w:tcMar>
            <w:vAlign w:val="bottom"/>
          </w:tcPr>
          <w:p>
            <w:pPr>
              <w:pStyle w:val="TableContents"/>
              <w:spacing w:before="0" w:after="283"/>
              <w:jc w:val="right"/>
              <w:rPr/>
            </w:pPr>
            <w:r>
              <w:rPr/>
              <w:t>$</w:t>
            </w:r>
          </w:p>
        </w:tc>
        <w:tc>
          <w:tcPr>
            <w:tcW w:w="942" w:type="dxa"/>
            <w:tcBorders>
              <w:top w:val="single" w:sz="2" w:space="0" w:color="000000"/>
            </w:tcBorders>
            <w:shd w:fill="auto" w:val="clear"/>
            <w:tcMar>
              <w:top w:w="28" w:type="dxa"/>
            </w:tcMar>
            <w:vAlign w:val="bottom"/>
          </w:tcPr>
          <w:p>
            <w:pPr>
              <w:pStyle w:val="TableContents"/>
              <w:spacing w:before="0" w:after="283"/>
              <w:jc w:val="right"/>
              <w:rPr/>
            </w:pPr>
            <w:r>
              <w:rPr/>
              <w:t xml:space="preserve">13.59 </w:t>
            </w:r>
          </w:p>
        </w:tc>
        <w:tc>
          <w:tcPr>
            <w:tcW w:w="530" w:type="dxa"/>
            <w:tcBorders>
              <w:top w:val="single" w:sz="2" w:space="0" w:color="000000"/>
            </w:tcBorders>
            <w:shd w:fill="auto" w:val="clear"/>
            <w:tcMar>
              <w:top w:w="28" w:type="dxa"/>
            </w:tcMar>
            <w:vAlign w:val="bottom"/>
          </w:tcPr>
          <w:p>
            <w:pPr>
              <w:pStyle w:val="TableContents"/>
              <w:spacing w:before="0" w:after="283"/>
              <w:rPr/>
            </w:pPr>
            <w:r>
              <w:rPr/>
              <w:t>(2)</w:t>
            </w:r>
          </w:p>
        </w:tc>
        <w:tc>
          <w:tcPr>
            <w:tcW w:w="92"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92" w:type="dxa"/>
            <w:tcBorders>
              <w:top w:val="single" w:sz="2" w:space="0" w:color="000000"/>
            </w:tcBorders>
            <w:shd w:fill="auto" w:val="clear"/>
            <w:tcMar>
              <w:top w:w="28" w:type="dxa"/>
            </w:tcMar>
            <w:vAlign w:val="bottom"/>
          </w:tcPr>
          <w:p>
            <w:pPr>
              <w:pStyle w:val="TableContents"/>
              <w:spacing w:before="0" w:after="283"/>
              <w:rPr/>
            </w:pPr>
            <w:r>
              <w:rPr/>
              <w:t> </w:t>
            </w:r>
          </w:p>
        </w:tc>
        <w:tc>
          <w:tcPr>
            <w:tcW w:w="215" w:type="dxa"/>
            <w:tcBorders>
              <w:top w:val="single" w:sz="2" w:space="0" w:color="000000"/>
            </w:tcBorders>
            <w:shd w:fill="auto" w:val="clear"/>
            <w:tcMar>
              <w:top w:w="28" w:type="dxa"/>
            </w:tcMar>
            <w:vAlign w:val="bottom"/>
          </w:tcPr>
          <w:p>
            <w:pPr>
              <w:pStyle w:val="TableContents"/>
              <w:spacing w:before="0" w:after="283"/>
              <w:jc w:val="right"/>
              <w:rPr/>
            </w:pPr>
            <w:r>
              <w:rPr/>
              <w:t>$</w:t>
            </w:r>
          </w:p>
        </w:tc>
        <w:tc>
          <w:tcPr>
            <w:tcW w:w="1671" w:type="dxa"/>
            <w:tcBorders>
              <w:top w:val="single" w:sz="2" w:space="0" w:color="000000"/>
            </w:tcBorders>
            <w:shd w:fill="auto" w:val="clear"/>
            <w:tcMar>
              <w:top w:w="28" w:type="dxa"/>
            </w:tcMar>
            <w:vAlign w:val="bottom"/>
          </w:tcPr>
          <w:p>
            <w:pPr>
              <w:pStyle w:val="TableContents"/>
              <w:spacing w:before="0" w:after="283"/>
              <w:jc w:val="right"/>
              <w:rPr/>
            </w:pPr>
            <w:r>
              <w:rPr/>
              <w:t>22,083,953.85</w:t>
            </w:r>
          </w:p>
        </w:tc>
        <w:tc>
          <w:tcPr>
            <w:tcW w:w="121" w:type="dxa"/>
            <w:tcBorders>
              <w:top w:val="single" w:sz="2" w:space="0" w:color="000000"/>
            </w:tcBorders>
            <w:shd w:fill="auto" w:val="clear"/>
            <w:tcMar>
              <w:top w:w="28" w:type="dxa"/>
            </w:tcMar>
            <w:vAlign w:val="bottom"/>
          </w:tcPr>
          <w:p>
            <w:pPr>
              <w:pStyle w:val="TableContents"/>
              <w:spacing w:before="0" w:after="283"/>
              <w:rPr/>
            </w:pPr>
            <w:r>
              <w:rPr/>
              <w:t> </w:t>
            </w:r>
          </w:p>
        </w:tc>
        <w:tc>
          <w:tcPr>
            <w:tcW w:w="92"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92" w:type="dxa"/>
            <w:tcBorders>
              <w:top w:val="single" w:sz="2" w:space="0" w:color="000000"/>
            </w:tcBorders>
            <w:shd w:fill="auto" w:val="clear"/>
            <w:tcMar>
              <w:top w:w="28" w:type="dxa"/>
            </w:tcMar>
            <w:vAlign w:val="bottom"/>
          </w:tcPr>
          <w:p>
            <w:pPr>
              <w:pStyle w:val="TableContents"/>
              <w:spacing w:before="0" w:after="283"/>
              <w:rPr/>
            </w:pPr>
            <w:r>
              <w:rPr/>
              <w:t> </w:t>
            </w:r>
          </w:p>
        </w:tc>
        <w:tc>
          <w:tcPr>
            <w:tcW w:w="270" w:type="dxa"/>
            <w:tcBorders>
              <w:top w:val="single" w:sz="2" w:space="0" w:color="000000"/>
            </w:tcBorders>
            <w:shd w:fill="auto" w:val="clear"/>
            <w:tcMar>
              <w:top w:w="28" w:type="dxa"/>
            </w:tcMar>
            <w:vAlign w:val="bottom"/>
          </w:tcPr>
          <w:p>
            <w:pPr>
              <w:pStyle w:val="TableContents"/>
              <w:spacing w:before="0" w:after="283"/>
              <w:jc w:val="right"/>
              <w:rPr/>
            </w:pPr>
            <w:r>
              <w:rPr/>
              <w:t>$</w:t>
            </w:r>
          </w:p>
        </w:tc>
        <w:tc>
          <w:tcPr>
            <w:tcW w:w="1098" w:type="dxa"/>
            <w:tcBorders>
              <w:top w:val="single" w:sz="2" w:space="0" w:color="000000"/>
            </w:tcBorders>
            <w:shd w:fill="auto" w:val="clear"/>
            <w:tcMar>
              <w:top w:w="28" w:type="dxa"/>
            </w:tcMar>
            <w:vAlign w:val="bottom"/>
          </w:tcPr>
          <w:p>
            <w:pPr>
              <w:pStyle w:val="TableContents"/>
              <w:spacing w:before="0" w:after="283"/>
              <w:jc w:val="right"/>
              <w:rPr/>
            </w:pPr>
            <w:r>
              <w:rPr/>
              <w:t>867.90</w:t>
            </w:r>
          </w:p>
        </w:tc>
        <w:tc>
          <w:tcPr>
            <w:tcW w:w="148" w:type="dxa"/>
            <w:tcBorders>
              <w:top w:val="single" w:sz="2" w:space="0" w:color="000000"/>
            </w:tcBorders>
            <w:shd w:fill="auto" w:val="clear"/>
            <w:tcMar>
              <w:top w:w="28" w:type="dxa"/>
            </w:tcMar>
            <w:vAlign w:val="bottom"/>
          </w:tcPr>
          <w:p>
            <w:pPr>
              <w:pStyle w:val="TableContents"/>
              <w:spacing w:before="0" w:after="283"/>
              <w:rPr/>
            </w:pPr>
            <w:r>
              <w:rPr/>
              <w:t> </w:t>
            </w:r>
          </w:p>
        </w:tc>
        <w:tc>
          <w:tcPr>
            <w:tcW w:w="9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23"/>
            <w:tcBorders>
              <w:top w:val="double" w:sz="4" w:space="0" w:color="000000"/>
            </w:tcBorders>
            <w:shd w:fill="auto" w:val="clear"/>
            <w:tcMar>
              <w:top w:w="28" w:type="dxa"/>
            </w:tcMar>
            <w:vAlign w:val="bottom"/>
          </w:tcPr>
          <w:p>
            <w:pPr>
              <w:pStyle w:val="TableContents"/>
              <w:spacing w:before="0" w:after="283"/>
              <w:jc w:val="left"/>
              <w:rPr/>
            </w:pPr>
            <w:r>
              <w:rPr/>
              <w:t> </w:t>
            </w:r>
          </w:p>
        </w:tc>
      </w:tr>
    </w:tbl>
    <w:p>
      <w:pPr>
        <w:pStyle w:val="TextBody"/>
        <w:spacing w:before="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7"/>
        <w:gridCol w:w="2212"/>
        <w:gridCol w:w="1356"/>
      </w:tblGrid>
      <w:tr>
        <w:trPr/>
        <w:tc>
          <w:tcPr>
            <w:tcW w:w="6637"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(1)</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Pursuant to Rule 416 under the Securities Act of 1933 (the Securities Act), this registration statement shall be deemed to cover or to proportionally increase or reduce, as applicable, an indeterminate number of shares of Class A Non-voting Common Stock of the Registrant issuable in the event the number of shares of the Registrant is increased, or reduced, as applicable, by reason of any stock split, reverse stock split, stock dividend or other similar transaction.</w:t>
            </w:r>
          </w:p>
        </w:tc>
      </w:tr>
      <w:tr>
        <w:trPr/>
        <w:tc>
          <w:tcPr>
            <w:tcW w:w="6637" w:type="dxa"/>
            <w:tcBorders/>
            <w:shd w:fill="auto" w:val="clear"/>
            <w:vAlign w:val="center"/>
          </w:tcPr>
          <w:p>
            <w:pPr>
              <w:pStyle w:val="TableContents"/>
              <w:spacing w:before="0" w:after="283"/>
              <w:rPr/>
            </w:pPr>
            <w:r>
              <w:rPr/>
              <w:t> </w:t>
            </w:r>
          </w:p>
        </w:tc>
        <w:tc>
          <w:tcPr>
            <w:tcW w:w="3568" w:type="dxa"/>
            <w:gridSpan w:val="2"/>
            <w:tcBorders/>
            <w:shd w:fill="auto" w:val="clea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(2)</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Estimated solely for the purpose of calculating the registration fee in accordance with Rule 457(c) promulgated under the Securities Act, on the basis of the average of the high and low prices of the Registrants common stock as reported by the NASDAQ Global Select Market on June 18, 2008.</w:t>
            </w:r>
          </w:p>
        </w:tc>
      </w:tr>
    </w:tbl>
    <w:p>
      <w:pPr>
        <w:pStyle w:val="TextBody"/>
        <w:spacing w:before="120" w:after="283"/>
        <w:jc w:val="left"/>
        <w:rPr>
          <w:rFonts w:ascii="Times New Roman;Times;serif" w:hAnsi="Times New Roman;Times;serif"/>
          <w:sz w:val="17"/>
        </w:rPr>
      </w:pPr>
      <w:r>
        <w:rPr>
          <w:rFonts w:ascii="Times New Roman;Times;serif" w:hAnsi="Times New Roman;Times;serif"/>
          <w:b/>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sz w:val="17"/>
        </w:rPr>
        <w:t xml:space="preserv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pBdr>
          <w:top w:val="double" w:sz="6" w:space="3" w:color="000000"/>
          <w:left w:val="double" w:sz="6" w:space="3" w:color="000000"/>
          <w:bottom w:val="double" w:sz="6" w:space="3" w:color="000000"/>
          <w:right w:val="double" w:sz="6" w:space="3" w:color="000000"/>
        </w:pBdr>
        <w:spacing w:before="0" w:after="0"/>
        <w:rPr>
          <w:rFonts w:ascii="Times New Roman;Times;serif" w:hAnsi="Times New Roman;Times;serif"/>
          <w:color w:val="FF0000"/>
          <w:sz w:val="17"/>
        </w:rPr>
      </w:pPr>
      <w:r>
        <w:rPr>
          <w:rFonts w:ascii="Times New Roman;Times;serif" w:hAnsi="Times New Roman;Times;serif"/>
          <w:color w:val="FF0000"/>
          <w:sz w:val="17"/>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an offer or sale is not permitted. </w:t>
      </w:r>
    </w:p>
    <w:p>
      <w:pPr>
        <w:pStyle w:val="TextBody"/>
        <w:spacing w:before="360" w:after="283"/>
        <w:jc w:val="center"/>
        <w:rPr>
          <w:rFonts w:ascii="Times New Roman;Times;serif" w:hAnsi="Times New Roman;Times;serif"/>
          <w:color w:val="FF0000"/>
          <w:sz w:val="17"/>
        </w:rPr>
      </w:pPr>
      <w:r>
        <w:rPr>
          <w:rFonts w:ascii="Times New Roman;Times;serif" w:hAnsi="Times New Roman;Times;serif"/>
          <w:color w:val="FF0000"/>
          <w:sz w:val="17"/>
        </w:rPr>
        <w:t xml:space="preserve">SUBJECT TO COMPLETION, DATED JUNE 23, 2008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PROSPECTUS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1,625,015 Shares of Class A Non-Voting Common Stock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prospectus relates to 1,625,015 shares of Class A Non-voting Common Stock of EZCORP, Inc., a Delaware corporation (EZCORP), that may be offered and sold from time to time by the several selling stockholders. The selling stockholders will receive the Class A Non-voting Common Stock in the merger of Value Merger Sub, Inc., a Florida corporation and wholly owned subsidiary of EZCORP (Merger Sub), with and into Value Financial Services, Inc., a Florida corporation (VFS). See The Merger and Merger Agreement for a description of the merger.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registration of the shares does not necessarily mean that any of the shares will be offered or sold by any of the selling stockholders. EZCORP will receive no proceeds of any sale of shares, but will incur expenses in connection with the registration of these shares.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EZCORPs Class A Non-voting Common Stock is listed on the NASDAQ Global Select Market (NASDAQ) under the symbol EZPW. On June 18, 2008, the closing sale price of the Class A Non-voting Common Stock was $13.53 per share.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Risk Factors beginning on page 8 of this Prospectus for a description of risk factors that should be considered by purchasers of our Class A Non-voting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date of this Prospectus is June 23, 2008 </w:t>
      </w:r>
    </w:p>
    <w:p>
      <w:pPr>
        <w:pStyle w:val="TextBody"/>
        <w:jc w:val="center"/>
        <w:rPr>
          <w:rFonts w:ascii="Times New Roman;Times;serif" w:hAnsi="Times New Roman;Times;serif"/>
          <w:sz w:val="17"/>
        </w:rPr>
      </w:pPr>
      <w:r>
        <w:rPr>
          <w:rFonts w:ascii="Times New Roman;Times;serif" w:hAnsi="Times New Roman;Times;serif"/>
          <w:sz w:val="17"/>
        </w:rPr>
        <w:t xml:space="preserve">i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sz w:val="17"/>
        </w:rPr>
        <w:t xml:space="preserve">TABLE OF CONTENTS </w:t>
      </w:r>
    </w:p>
    <w:tbl>
      <w:tblPr>
        <w:tblW w:w="5000" w:type="pct"/>
        <w:jc w:val="center"/>
        <w:tblInd w:w="0" w:type="dxa"/>
        <w:tblCellMar>
          <w:top w:w="0" w:type="dxa"/>
          <w:left w:w="0" w:type="dxa"/>
          <w:bottom w:w="0" w:type="dxa"/>
          <w:right w:w="0" w:type="dxa"/>
        </w:tblCellMar>
      </w:tblPr>
      <w:tblGrid>
        <w:gridCol w:w="9571"/>
        <w:gridCol w:w="102"/>
        <w:gridCol w:w="508"/>
        <w:gridCol w:w="24"/>
      </w:tblGrid>
      <w:tr>
        <w:trPr/>
        <w:tc>
          <w:tcPr>
            <w:tcW w:w="95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1">
              <w:r>
                <w:rPr>
                  <w:rStyle w:val="InternetLink"/>
                </w:rPr>
                <w:t>1. About this Prospectus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2">
              <w:r>
                <w:rPr>
                  <w:rStyle w:val="InternetLink"/>
                </w:rPr>
                <w:t>2. Summary</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3">
              <w:r>
                <w:rPr>
                  <w:rStyle w:val="InternetLink"/>
                </w:rPr>
                <w:t>3. EZCORP</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4">
              <w:r>
                <w:rPr>
                  <w:rStyle w:val="InternetLink"/>
                </w:rPr>
                <w:t>4. The Merger and Merger Agreement</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2</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5">
              <w:r>
                <w:rPr>
                  <w:rStyle w:val="InternetLink"/>
                </w:rPr>
                <w:t>5. The Credit Facility</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6</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6">
              <w:r>
                <w:rPr>
                  <w:rStyle w:val="InternetLink"/>
                </w:rPr>
                <w:t>6. Value Financial Services, Inc.</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7</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7">
              <w:r>
                <w:rPr>
                  <w:rStyle w:val="InternetLink"/>
                </w:rPr>
                <w:t>7. Risk Factors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8</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8">
              <w:r>
                <w:rPr>
                  <w:rStyle w:val="InternetLink"/>
                </w:rPr>
                <w:t>8. Use of Proceeds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11</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09">
              <w:r>
                <w:rPr>
                  <w:rStyle w:val="InternetLink"/>
                </w:rPr>
                <w:t>9. Selling Stockholders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11</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0">
              <w:r>
                <w:rPr>
                  <w:rStyle w:val="InternetLink"/>
                </w:rPr>
                <w:t>10. Plan Of Distribution</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12</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1">
              <w:r>
                <w:rPr>
                  <w:rStyle w:val="InternetLink"/>
                </w:rPr>
                <w:t>11. Experts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14</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2">
              <w:r>
                <w:rPr>
                  <w:rStyle w:val="InternetLink"/>
                </w:rPr>
                <w:t>12. Information Incorporated By Reference</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15</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3">
              <w:r>
                <w:rPr>
                  <w:rStyle w:val="InternetLink"/>
                </w:rPr>
                <w:t>13. Disclosure Of Commission Position On Indemnification</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16</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4">
              <w:r>
                <w:rPr>
                  <w:rStyle w:val="InternetLink"/>
                </w:rPr>
                <w:t>14. Recent Litigation Developments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17</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5">
              <w:r>
                <w:rPr>
                  <w:rStyle w:val="InternetLink"/>
                </w:rPr>
                <w:t>15. VFS Consolidated Financial Statements</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19</w:t>
            </w:r>
          </w:p>
        </w:tc>
        <w:tc>
          <w:tcPr>
            <w:tcW w:w="24" w:type="dxa"/>
            <w:tcBorders/>
            <w:shd w:fill="auto" w:val="clear"/>
          </w:tcPr>
          <w:p>
            <w:pPr>
              <w:pStyle w:val="TableContents"/>
              <w:spacing w:before="0" w:after="283"/>
              <w:rPr>
                <w:sz w:val="4"/>
                <w:szCs w:val="4"/>
              </w:rPr>
            </w:pPr>
            <w:r>
              <w:rPr>
                <w:sz w:val="4"/>
                <w:szCs w:val="4"/>
              </w:rPr>
            </w:r>
          </w:p>
        </w:tc>
      </w:tr>
      <w:tr>
        <w:trPr/>
        <w:tc>
          <w:tcPr>
            <w:tcW w:w="9571" w:type="dxa"/>
            <w:tcBorders/>
            <w:shd w:fill="auto" w:val="clear"/>
            <w:vAlign w:val="bottom"/>
          </w:tcPr>
          <w:p>
            <w:pPr>
              <w:pStyle w:val="TableContents"/>
              <w:spacing w:before="0" w:after="0"/>
              <w:ind w:left="225" w:right="0" w:hanging="225"/>
              <w:rPr/>
            </w:pPr>
            <w:hyperlink w:anchor="116">
              <w:r>
                <w:rPr>
                  <w:rStyle w:val="InternetLink"/>
                </w:rPr>
                <w:t>16. Pro Forma Financial Information</w:t>
              </w:r>
            </w:hyperlink>
          </w:p>
        </w:tc>
        <w:tc>
          <w:tcPr>
            <w:tcW w:w="102" w:type="dxa"/>
            <w:tcBorders/>
            <w:shd w:fill="auto" w:val="clear"/>
            <w:vAlign w:val="bottom"/>
          </w:tcPr>
          <w:p>
            <w:pPr>
              <w:pStyle w:val="TableContents"/>
              <w:spacing w:before="0" w:after="283"/>
              <w:rPr/>
            </w:pPr>
            <w:r>
              <w:rPr/>
              <w:t> </w:t>
            </w:r>
          </w:p>
        </w:tc>
        <w:tc>
          <w:tcPr>
            <w:tcW w:w="508" w:type="dxa"/>
            <w:tcBorders/>
            <w:shd w:fill="auto" w:val="clear"/>
          </w:tcPr>
          <w:p>
            <w:pPr>
              <w:pStyle w:val="TableContents"/>
              <w:spacing w:before="0" w:after="283"/>
              <w:jc w:val="center"/>
              <w:rPr/>
            </w:pPr>
            <w:r>
              <w:rPr/>
              <w:t>51</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hyperlink w:anchor="d57914exv5w1.htm">
              <w:r>
                <w:rPr>
                  <w:rStyle w:val="InternetLink"/>
                  <w:sz w:val="20"/>
                </w:rPr>
                <w:t>Opinion of Strasburger &amp; Price, L.L.P.</w:t>
              </w:r>
            </w:hyperlink>
          </w:p>
        </w:tc>
      </w:tr>
      <w:tr>
        <w:trPr/>
        <w:tc>
          <w:tcPr>
            <w:tcW w:w="10205" w:type="dxa"/>
            <w:gridSpan w:val="4"/>
            <w:tcBorders/>
            <w:shd w:fill="auto" w:val="clear"/>
            <w:vAlign w:val="center"/>
          </w:tcPr>
          <w:p>
            <w:pPr>
              <w:pStyle w:val="TableContents"/>
              <w:spacing w:before="0" w:after="283"/>
              <w:rPr/>
            </w:pPr>
            <w:r>
              <w:rPr/>
              <w:t> </w:t>
            </w:r>
            <w:hyperlink w:anchor="d57914exv23w1.htm">
              <w:r>
                <w:rPr>
                  <w:rStyle w:val="InternetLink"/>
                  <w:sz w:val="20"/>
                </w:rPr>
                <w:t>Consent of BDO Seidman, LLP</w:t>
              </w:r>
            </w:hyperlink>
          </w:p>
        </w:tc>
      </w:tr>
      <w:tr>
        <w:trPr/>
        <w:tc>
          <w:tcPr>
            <w:tcW w:w="10205" w:type="dxa"/>
            <w:gridSpan w:val="4"/>
            <w:tcBorders/>
            <w:shd w:fill="auto" w:val="clear"/>
            <w:vAlign w:val="center"/>
          </w:tcPr>
          <w:p>
            <w:pPr>
              <w:pStyle w:val="TableContents"/>
              <w:spacing w:before="0" w:after="283"/>
              <w:rPr/>
            </w:pPr>
            <w:r>
              <w:rPr/>
              <w:t> </w:t>
            </w:r>
            <w:hyperlink w:anchor="d57914exv23w2.htm">
              <w:r>
                <w:rPr>
                  <w:rStyle w:val="InternetLink"/>
                  <w:sz w:val="20"/>
                </w:rPr>
                <w:t>Consent of McGladrey &amp; Pullen, LLP</w:t>
              </w:r>
            </w:hyperlink>
          </w:p>
        </w:tc>
      </w:tr>
      <w:tr>
        <w:trPr/>
        <w:tc>
          <w:tcPr>
            <w:tcW w:w="10205" w:type="dxa"/>
            <w:gridSpan w:val="4"/>
            <w:tcBorders/>
            <w:shd w:fill="auto" w:val="clear"/>
            <w:vAlign w:val="center"/>
          </w:tcPr>
          <w:p>
            <w:pPr>
              <w:pStyle w:val="TableContents"/>
              <w:spacing w:before="0" w:after="283"/>
              <w:rPr/>
            </w:pPr>
            <w:r>
              <w:rPr/>
              <w:t> </w:t>
            </w:r>
            <w:hyperlink w:anchor="d57914exv23w3.htm">
              <w:r>
                <w:rPr>
                  <w:rStyle w:val="InternetLink"/>
                  <w:sz w:val="20"/>
                </w:rPr>
                <w:t>Consent of Tedder, James, Worden, &amp; Associates, P.A.</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ii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1901 Capital Parkway</w:t>
        <w:br/>
        <w:t>Austin, Texas 78746</w:t>
        <w:br/>
        <w:t>(512) 314-3400</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1. ABOUT THIS PROSPECTUS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summary highlights information contained in this prospectus or incorporated by reference. While we have included what we believe to be the most important information about us and this offering, the following summary may not contain all the information that may be important to you. For a complete understanding of our business, the Merger and this offering, you should read this entire prospectus carefully and the information to which we refer you and the information incorporated into this prospectus by reference. Unless the context requires otherwise, in this prospectus the terms EZCORP, we, us and our refer to EZCORP, Inc., a Delaware corporation. References to selling stockholders refers to those stockholders listed herein under the heading Selling Stockholders on page 11, who may sell shares from time to time as described in this prospectus.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2. SUMMARY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June 5, 2008, we entered into a definitive merger agreement with Value Financial Services, Inc. (VFS). In the merger, which is scheduled to close on or about July 15, 2008, we expect to pay total consideration of approximately $109.5 million, comprised of consideration to acquire all of the outstanding capital stock of VFS, assumption of debt and payment of certain expenses associated with the merger. We will merge our newly formed subsidiary, Value Merger Sub, Inc., (Merger Sub) into VFS, and VFS will continue its operations as our wholly owned subsidiary. As part of the merger consideration we will issue up to 1,625,015 shares of our Class A Non-voting Common Stock (the Merger Shares) to fifteen (15) shareholders of VFS who are accredited investors, in a privately negotiated transaction under Regulation D of the Securities and Exchange Commission (SEC), and we will pay cash to the remaining VFS shareholders for their shares. The value of the Merger Shares would have been approximately $21,986,000 on June 18, 2008, based on that days closing price of our stock on the NASDAQ Global Select Stock Market.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agreed to register the Merger Shares with the SEC for resale by the VFS shareholders. This prospectus describes the merger and the proposed resale by the selling shareholders. </w:t>
      </w:r>
    </w:p>
    <w:p>
      <w:pPr>
        <w:pStyle w:val="TextBody"/>
        <w:spacing w:before="240" w:after="283"/>
        <w:jc w:val="left"/>
        <w:rPr>
          <w:rFonts w:ascii="Times New Roman;Times;serif" w:hAnsi="Times New Roman;Times;serif"/>
          <w:sz w:val="17"/>
        </w:rPr>
      </w:pPr>
      <w:bookmarkStart w:id="5" w:name="103"/>
      <w:bookmarkEnd w:id="5"/>
      <w:r>
        <w:rPr>
          <w:rFonts w:ascii="Times New Roman;Times;serif" w:hAnsi="Times New Roman;Times;serif"/>
          <w:b/>
          <w:sz w:val="17"/>
        </w:rPr>
        <w:t>3. EZCORP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lend or provide credit services to individuals who do not have cash resources or access to credit to meet their short-term cash needs. Our services include pawn loans and short-term non-collateralized loans, often called payday loans or fee-based credit services to customers seeking loans (collectively, signature 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Form 10-Q and other reports which are incorporated by reference into this prospectus. The merger agreement is attached to our report on Form 8-K dated June 5, 2008 as Exhibit 10.2. </w:t>
      </w:r>
      <w:r>
        <w:rPr>
          <w:rFonts w:ascii="Times New Roman;Times;serif" w:hAnsi="Times New Roman;Times;serif"/>
          <w:i/>
          <w:sz w:val="17"/>
        </w:rPr>
        <w:t>See Information Incorporated by Reference, page 15.</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principal executive offices are located at 1901 Capital Parkway, Austin, Texas 78746. Our telephone number is (512) 314-3400. </w:t>
      </w:r>
    </w:p>
    <w:p>
      <w:pPr>
        <w:pStyle w:val="TextBody"/>
        <w:spacing w:before="240" w:after="283"/>
        <w:jc w:val="left"/>
        <w:rPr>
          <w:rFonts w:ascii="Times New Roman;Times;serif" w:hAnsi="Times New Roman;Times;serif"/>
          <w:sz w:val="17"/>
        </w:rPr>
      </w:pPr>
      <w:bookmarkStart w:id="6" w:name="104"/>
      <w:bookmarkEnd w:id="6"/>
      <w:r>
        <w:rPr>
          <w:rFonts w:ascii="Times New Roman;Times;serif" w:hAnsi="Times New Roman;Times;serif"/>
          <w:b/>
          <w:sz w:val="17"/>
        </w:rPr>
        <w:t>4. THE MERGER AND MERGER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March 14, 2008, we agreed to purchase all of the outstanding capital stock of VFS for cash. After performing a due diligence review and conducting further negotiations, on June 5, 2008, the parties agreed to merge VFS into a newly formed subsidiary of EZCORP in a reverse merger, in which VFS would continue operations as the surviving entity. We have agreed to pay approximately $109.5 million to acquire VFS, consisting of assumption of outstanding debt of approximately $35.0 million, exchange of cash and our Class A Non-voting Common Stock equal to approximately $73.1 million for the outstanding VFS stock, and estimated transaction costs of about $1.4 million. Through the merger, we also will receive a net operating loss carry-forward, which we expect over the next two years will reduce our cash paid for taxes by approximately $3.3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merger agreement contains several conditions that must be satisfied prior to closing by each party, such as: </w:t>
      </w:r>
    </w:p>
    <w:tbl>
      <w:tblPr>
        <w:tblW w:w="5000" w:type="pct"/>
        <w:jc w:val="left"/>
        <w:tblInd w:w="0" w:type="dxa"/>
        <w:tblCellMar>
          <w:top w:w="0" w:type="dxa"/>
          <w:left w:w="0" w:type="dxa"/>
          <w:bottom w:w="0" w:type="dxa"/>
          <w:right w:w="0" w:type="dxa"/>
        </w:tblCellMar>
      </w:tblPr>
      <w:tblGrid>
        <w:gridCol w:w="200"/>
        <w:gridCol w:w="123"/>
        <w:gridCol w:w="9882"/>
      </w:tblGrid>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Converting all of the VFS participating stock to common stock;</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Approving the merger agreement by the voting shareholders of each party;</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Satisfying any Hart-Scott-Rodino Act anti-trust review waiting periods;</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Obtaining any required contractual consents and governmental licenses or approvals;</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Issuing a fairness opinion to the VFS board by an independent third party; and</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t>Satisfying each partys contractual conditions and obligations contained in the merger agreement.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such conditions have been or will be satisfied or waived before the merger is consummated and the stock to be issued to the selling shareholders and sold in this offering is issued. The Merger Shares will be validly issued, fully paid and non-assessable when issued to the selling shareholders.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Reason for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Both EZCORP and VFS are in the pawn business. As part of EZCORPs business plan it seeks to grow its pawn business and the number of pawn shops it operates through acquisition of other pawn businesses, as well as by opening new stores. EZCORP has a small presence in Florida where it operates 18 EZPAWN pawn stores. VFS operates 65 pawn shops in Florida, Georgia and Tennessee and owns the second largest number of pawn shops in Florida. EZCORP and VFS believe that their businesses are complementary and can be integrated with one another to achieve economies of scale and increase overall profitability.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i/>
          <w:sz w:val="17"/>
        </w:rPr>
        <w:t>Fairness Opinion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understand that VFS intends to obtain a fairness opinion from the investment banking firm of Stephens, Inc.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Source of Funds for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expect the total consideration for the transaction to be approximately $109.5 million consisting of a combination of the Merger Shares, our cash on hand, and borrowings, as follows: </w:t>
      </w:r>
    </w:p>
    <w:tbl>
      <w:tblPr>
        <w:tblW w:w="5000" w:type="pct"/>
        <w:jc w:val="left"/>
        <w:tblInd w:w="0" w:type="dxa"/>
        <w:tblCellMar>
          <w:top w:w="0" w:type="dxa"/>
          <w:left w:w="0" w:type="dxa"/>
          <w:bottom w:w="0" w:type="dxa"/>
          <w:right w:w="0" w:type="dxa"/>
        </w:tblCellMar>
      </w:tblPr>
      <w:tblGrid>
        <w:gridCol w:w="200"/>
        <w:gridCol w:w="125"/>
        <w:gridCol w:w="9880"/>
      </w:tblGrid>
      <w:tr>
        <w:trPr/>
        <w:tc>
          <w:tcPr>
            <w:tcW w:w="200"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The Merger Shares, consisting of 1,625,015 shares of our Class A Non-voting Common Stock. Based on the closing price of our stock on NASDAQ on June 18, 2008 of $13.53 per share, the Merger shares would have a value of approximately $22.0 million.</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Cash from our cash reserves of approximately $20.0 million.</w:t>
            </w:r>
          </w:p>
        </w:tc>
      </w:tr>
      <w:tr>
        <w:trPr/>
        <w:tc>
          <w:tcPr>
            <w:tcW w:w="200" w:type="dxa"/>
            <w:tcBorders/>
            <w:shd w:fill="auto" w:val="clear"/>
            <w:vAlign w:val="center"/>
          </w:tcPr>
          <w:p>
            <w:pPr>
              <w:pStyle w:val="TableContents"/>
              <w:spacing w:before="0" w:after="283"/>
              <w:rPr/>
            </w:pPr>
            <w:r>
              <w:rPr/>
              <w:t> </w:t>
            </w:r>
          </w:p>
        </w:tc>
        <w:tc>
          <w:tcPr>
            <w:tcW w:w="10005"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 xml:space="preserve">Borrowings from our credit facility with Wells Fargo, as amended, N.A., of approximately $67.5 million. </w:t>
            </w:r>
            <w:r>
              <w:rPr>
                <w:i/>
              </w:rPr>
              <w:t>See The Credit Facility, page 6.</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Structure of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effect the merger, we formed Merger Sub as a wholly owned subsidiary. At the effective time of the merger, Merger Sub will merge with and into VFS in accordance with the provisions of Florida law, with VFS continuing as the surviving entity. As a result of the merger, VFS will become our wholly-owned subsidiary.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Approval of the Merger by EZCORP and VFS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EZCORP</w:t>
      </w:r>
      <w:r>
        <w:rPr>
          <w:rFonts w:ascii="Times New Roman;Times;serif" w:hAnsi="Times New Roman;Times;serif"/>
          <w:sz w:val="17"/>
        </w:rPr>
        <w:t xml:space="preserve">. The merger has been recommended by our board of directors and the board of directors of Merger Sub. It must be approved by the holder of our Class B Voting Common Stock and by EZCORP as Merger Subs sole shareholder. The owner of all of our Class B Voting Common Stock has indicated that it intends to approve the merger, and EZCORP will approve it as Merger Subs shareholder.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VFS</w:t>
      </w:r>
      <w:r>
        <w:rPr>
          <w:rFonts w:ascii="Times New Roman;Times;serif" w:hAnsi="Times New Roman;Times;serif"/>
          <w:sz w:val="17"/>
        </w:rPr>
        <w:t xml:space="preserve">. The merger was recommended by the board of directors of VFS. It must be approved by the holders of a majority of the outstanding shares of each class of VFS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VFS has four classes of stock authorized: common stock and three series of participating stock, designated Series A-1, A-2 and B. Shares of the Series A-1, A-2 and B participating stock are currently issued and outstanding. No shares of common stock are currently issued and outstanding. As a condition to EZCORPs obligation to close, the merger agreement requires that the three series of participating stock convert to common stock under the provisions in the VFS amended and restated articles of incorporation designating and governing the participating stock. To accomplish this, VFS expects to call a shareholders meeting prior to closing at which holders of each series of participating stock will be asked to vote as a class to convert their participating stock to common stock. The provisions designating each series of stock in the VFS amended and restated articles of incorporation provide that, for each series, if a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majority of the outstanding shares of the series of participating stock elect to convert their stock to common, VFS may cause a mandatory conversion of the remaining shares of that series to common stock. If a majority of the shareholders of each series of participating stock vote to convert their shares, VFS will cause the mandatory conversion of any shares that did not vote in favor of conversion. The holders of each series of participating stock have no right to appraisal of their shares or other right to object, in the event of a mandatory conversion to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VFS series A-2 participating stock is entitled to dividends of 16.54% of the face amount ($10.00) per share per annum. Any accrued, unpaid dividends on the A-2 shares accumulate and compound annually, but are not recorded as a liability or a reduction of equity until declared by VFSs board of directors. As of December 31, 2007, the accrued, unpaid dividends on the A-2 participating stock totaled approximately $1.24 million. We expect that, on the expected closing date, the accrued dividends on the A-2 participating stock will equal approximately $2.5 million. The accrued unpaid dividend must be paid at the time of conversion of the A-2 participating stock to common stock. The conversion will occur immediately prior to closing of the merger, and thus will result in either a reduction of the cash reserves of VFS or an increase in their debt obligations incurred to pay the dividend. EZCORP will bear the cost of the payment of this dividend, in that the payment will either reduce the assets or increase the outstanding debt of VFS immediately prior to the merger. We have included the anticipated dividend payment in the assumed total purchase price of $109.5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VFS will also submit the merger to a vote of its shareholders at the same shareholders meeting. A majority of the common shareholders must then approve the merger in order to complete it.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Conversion of Outstanding Common Stock of VFS in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the effective time of the merger, the outstanding shares of common stock of VFS will convert into the right to receive a payment equal to $11.00 per share. The form of the payment varies among the VFS shareholders as follows: </w:t>
      </w:r>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holders of common stock of VFS, other than the selling stockholders, will receive $11.00 cash for each share of VFS common stock that they own prior to the merger;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Each selling stockholder will receive the number of Merger Shares listed next to their name under the section Selling Stockholders below and a cash payment equal to $11.00 per share times the number of VFS common shares they own, minus the value of the Merger Shares they receive. The value per share of the Merger Shares will equal the closing stock price of EZCORP Class A Non-voting Common Stock on the NASDAQ Global Select Stock Market on the day immediately prior to closing of the merger. The selling stockholders are all accredited investors. The Merger Shares they receive are exempt from registration under the Securities Act of 1933 pursuant to Regulation D, and will be restricted securities unless and until the registration statement of which this prospectus is a part becomes effective.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i/>
          <w:sz w:val="17"/>
        </w:rPr>
        <w:t>Fractional Shares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fractional shares of our stock will be issued to selling stockholders in the merger. Instead, all holders of VFS common stock who would be entitled to receive a fractional share of our stock will have the number of shares to which they are entitled rounded up to the next whole number of shares.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Listing of Merger Shares on NASDAQ</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will apply to have the Merger Shares listed on the NASDAQ Global Select Stock Market where shares of our Class A Non-voting Common Stock are currently traded.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Registration Rights and Guaranteed Stock Price for Certain Shares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merger agreement, we agreed to register the Merger Shares issued to the selling stockholders and also agreed to guarantee the price of 401,489 shares of the Merger Shares to be sold by the selling stockholders under this prospectus. We agreed that if the selling stockholders sold 401,489 of the Merger Shares within five days after closing for a price per share less than the market price of our Class A Non-voting Common Stock on the day prior to the closing of the merger, then we would pay to the selling stockholders any difference. </w:t>
      </w:r>
      <w:r>
        <w:rPr>
          <w:rFonts w:ascii="Times New Roman;Times;serif" w:hAnsi="Times New Roman;Times;serif"/>
          <w:i/>
          <w:sz w:val="17"/>
        </w:rPr>
        <w:t>See Section 10  Plan of Distribution, page 12.</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Effective Time of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merger will become effective on the date the articles of merger are filed with the Secretary of State of the State of Florida. We expect to close and consummate the merger on or about July 15, 2008.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Appraisal Rights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Florida law, if a majority of the VFS shareholders approve the merger and the merger is consummated, shareholders of VFS who do not vote in favor of the merger will have the right to demand that they be paid the fair value of their shares under the Florida Business Corporation Act. VFS expects to notify its shareholders in writing of the proposed merger and seek their approval either by vote at a shareholders meeting called for that purpose or by written consent. Any shareholders who want to exercise their statutory appraisal rights must deliver to VFS before a vote on the merger is taken, or within 20 days after receiving the notice of the action approving the merger if the action is taken without a shareholders meeting, of the shareholders intent to demand payment if the transaction is effectuated. Any shareholders seeking payment under the statute must not vote their shares in favor of the merger.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Within 10 days after the merger is completed, VFS, as the surviving corporation in the merger, must notify shareholders who have demanded payment of the completion of the merger. Shareholders who seek appraisal and payment must notify VFS in writing within 40 days thereafter that they seek appraisal or forfeit their right to seek appraisal. VFS will make an offer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purchase the shares for cash at an estimated fair value and, if the offer is not accepted, file an action for appraisal and payment for the shares in a state court in Orlando, Florida.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merger agreement provides that EZCORP may terminate the merger agreement if holders of more than 10% of the outstanding VFS capital stock deliver valid and enforceable notices of their intent to demand payment under the Florida appraisal statute.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Accounting Treatment of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merger will be accounted for as a purchase business combination in accordance with Statement of Financial Accounting Standards No. 141, Business Combinations. Upon acquisition, we will assess the value of assets and liabilities acquired, and record those in our balance sheet through a purchase price allocation. After the merger, Value Financial Services, Inc.s financial position and results will be consolidated with those of EZCORP, Inc. as a wholly-owned subsidiary. </w:t>
      </w:r>
    </w:p>
    <w:p>
      <w:pPr>
        <w:pStyle w:val="TextBody"/>
        <w:spacing w:before="240" w:after="283"/>
        <w:jc w:val="left"/>
        <w:rPr>
          <w:rFonts w:ascii="Times New Roman;Times;serif" w:hAnsi="Times New Roman;Times;serif"/>
          <w:sz w:val="17"/>
        </w:rPr>
      </w:pPr>
      <w:bookmarkStart w:id="7" w:name="105"/>
      <w:bookmarkEnd w:id="7"/>
      <w:r>
        <w:rPr>
          <w:rFonts w:ascii="Times New Roman;Times;serif" w:hAnsi="Times New Roman;Times;serif"/>
          <w:b/>
          <w:sz w:val="17"/>
        </w:rPr>
        <w:t>5. The Credit Facility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maintained a $40 million credit facility, but during 2008 through the date of this prospectus, we have had no outstanding borrowings on the credit facility. Prior to closing we will execute a Fifth Amended and Restated Credit Agreement (the Agreement) among EZCORP, Inc., Wells Fargo Bank, N.A., as Agent and Issuing Bank, and various other banks and lending institutions. The Agreement and the related loan documents will be placed in escrow pending the closing of the merger agreement with Value Financial Services, Inc. The Agreement is contingent upon the closing of the merger agreement with Value Financial Services, Inc. on or before September 30,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merger agreement with Value Financial Services, Inc. is closed on or before September 30, 2008, the Agreement will become effective and will provide for, among other things, (i) an $80 million revolving credit facility that EZCORP, Inc. may request to be increased to a total of $110 million (the Revolving Credit Facility) and (ii) a $40 million term loan (the Term Loan). If the Agreement becomes effective, it will extend the maturity date of the Revolving Credit Facility to the date that is three years from the closing of the merger agreement with Value Financial Services, Inc. The maturity date of the Term Loan is four years from the closing of the merger agreement with Value Financial Services,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Agreement, EZCORP, Inc. may choose either a Eurodollar rate or the base rate. Interest accrues at the Eurodollar rate plus 175 to 250 basis points or the base rate plus 0 to 50 basis points, depending upon the leverage ratio computed at the end of each calendar quarter. Terms of the Agreement require, among other things, that EZCORP, Inc. meet certain financial covenants that EZCORP, Inc. believes will be achieved based upon its current and anticipated performance. In addition, payment of dividends is prohibited and additional debt is restricted.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8" w:name="106"/>
      <w:bookmarkEnd w:id="8"/>
      <w:r>
        <w:rPr>
          <w:rFonts w:ascii="Times New Roman;Times;serif" w:hAnsi="Times New Roman;Times;serif"/>
          <w:b/>
          <w:sz w:val="17"/>
        </w:rPr>
        <w:t>6. Value Financial Services, Inc.</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VFS is one of the largest providers of small, secured, non-recourse consumer loans, commonly known as pawn loans, and related services in the United States, based on the number of pawnshops operated. VFS was founded in 1994 by John Thedford, its president, chief executive officer and chairman of the board, and now has 65 stores in three statesFlorida (58 stores), Tennessee (four stores) and Georgia (three stores). VFS lends money on a short-term basis against pledged tangible personal property such as jewelry, electronic equipment, tools, sporting goods, musical instruments and other items of value, and also sells merchandise, including forfeited collateral from pawn loans. VFSs customers typically require pawn loans for their immediate cash needs, and often use VFSs services for reasons of convenience and/or lack of credit alternatives.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Pawn loans are typically small, though the amount can vary considerably based on VFSs customers particular needs. The terms of VFSs pawn loans require that they be redeemed within 30 days, subject to an automatic extension period of 30 days unless paid or renewed earlier, and may be extended for additional 30-day periods upon the payment of accrued pawn service charges. In 2005, 2006 and 2007, approximately 78.8%, 77.8% and 77.7%, respectively, of the pawn loans made by VFS were redeemed in full or were renewed or extended through the payment of accrued pawn service charges. VFS operates under long-established regulatory guidelines that permit pawn service charges ranging from 12.5% to 25.0% per month, depending on the state of origination, loan term and size. A majority of VFSs pawn loans have pawn service charges of 25.0% per month as a result of its store concentration in Florida, where VFS operates 58 out of its 65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VFS sells a wide range of merchandise in its stores, including merchandise that has been forfeited to VFS when a pawn loan is not redeemed, as well as used goods purchased from the general public and some new merchandise. For 2005, 2006 and 2007, VFS experienced profit margins on sales of merchandise of 38.2%, 36.9% and 37.5%, respectively. During 2007, approximately 72.8% of the merchandise VFS acquired was through loan forfeitures, 23.6% was through purchases from VFSs customers, and the remaining 3.6% was through purchases from vendors. During the two-year period from 2005 to 2007, same-store merchandise sales increased by approximately 22.9%, from $663,345 per store in 2005 to $815,356 per store in 2007. During that same period, VFSs average retail merchandise sale increased approximately 15%, from $90 in 2004 to $104 in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VFS opened its first store in Florida in 1994 and, as of March 31, 2008, operated 65 pawn and jewelry stores, under the trade names Value Pawn and Jewelry in Florida and Georgia and Check Jewelry &amp; Loan in Tennessee. To date, VFS has opened all of its stores in three Southeastern states due in part to favorable demographics and regulatory environments. For 2007 and the three months ended March 31, 2008, VFS generated an average of approximately $1.7 million and $1.2 million, respectively, in revenues per store, resulting in average store-level operating margins of 21.4% and 21.2%, respectively. As of March 31, 2008, VFS had 614 employees. At March 31, 2008, VFS had approximately 94,433 outstanding pawn loans totaling $15 million, with an average balance of approximately $159 per loan. You should review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15  VFS Consolidated Financial Statements, beginning on page 19, for more complete financial data regarding VFS. </w:t>
      </w:r>
    </w:p>
    <w:p>
      <w:pPr>
        <w:pStyle w:val="TextBody"/>
        <w:spacing w:before="240" w:after="283"/>
        <w:jc w:val="left"/>
        <w:rPr>
          <w:rFonts w:ascii="Times New Roman;Times;serif" w:hAnsi="Times New Roman;Times;serif"/>
          <w:sz w:val="17"/>
        </w:rPr>
      </w:pPr>
      <w:bookmarkStart w:id="9" w:name="107"/>
      <w:bookmarkEnd w:id="9"/>
      <w:r>
        <w:rPr>
          <w:rFonts w:ascii="Times New Roman;Times;serif" w:hAnsi="Times New Roman;Times;serif"/>
          <w:b/>
          <w:sz w:val="17"/>
        </w:rPr>
        <w:t>7.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Investment in our Class A Non-voting Common Stock, as with any investment in a security, involves a degree of risk. Important risk factors that could cause results or events to differ from current expectations are described in Part I, Item IA, Risk Factors of our Annual Report on Form 10-K for the year ended September 30, 2007, and Part II, Item IA, Risk Factors of our Quarterly Report on Form 10-Q for the quarter ended March 31, 2008. These factors are supplemented by those discussed under Quantitative and Qualitative Disclosures about Market Risk in Part II, Item 7A of our Annual Report on Form 10-K for the year ended September 30, 2007 and Part I, Item 3 of our Quarterly Report on Form 10-Q for the quarter ended March 31, 2008. Each of the foregoing sections of our Annual Report on Form 10-K for the year ended September 30, 2007 and our Quarterly Report on Form 10-Q for the quarter ended March 31, 2008 is incorporated herein by reference. Following is an additional item that could cause results or events to differ from current expectations: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The integration of VFS with our business after the merger may not be successful or anticipated benefits from the merger may not be realized.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completion of the merger, we will have significantly larger operations than we did prior to the merger. Our ability to realize the benefits of the merger will depend in part on the timely integration of VFSs organization, operations, procedures, policies and technologies with ours, as well as the harmonization of differences in VFSs business culture and practices with ours. Our management will be required to devote a significant amount of time and attention to integrating VFSs business with ours. There is a significant degree of difficulty and management involvement inherent in that process. These difficulties include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integrating the operations of VFSs business with our business while carrying on the ongoing operations of each business;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diversion of managements attention from the management of daily operations to the integration of VFS with us;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managing a significantly larger company than before completion of the merger;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realizing economies of scale and eliminating duplicative overheads;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possibility of faulty assumptions underlying our expectations regarding the integration process;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coordinating businesses located in different geographic regions;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integrating VFSs business culture and practices with ours, which may prove to be incompatible;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attracting and retaining the personnel associated with VFSs business following the merger;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creating and instituting uniform standards, controls, procedures, policies and information systems and minimizing the costs associated with such matters; and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integrating information, purchasing, accounting, finance, sales, billing, payroll and regulatory compliance systems.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is no assurance that VFS will be successfully or cost-effectively integrated into us. The process of integrating VFS into our operations may cause an interruption of, or loss of momentum in, the activities of our business. If our management is not able to effectively manage the integration process, or if any significant business activities are interrupted as a result of the integration process, our business could suffer and the results of our operations and financial condition may be harmed.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of the risks associated with the integration process could be exacerbated by the fact that we may not have a sufficient number of employees with the requisite expertise to integrate the businesses or to operate the combined business after the merger. If we do not hire or retain employees with the requisite skills and knowledge to run our businessincluding the acquired VFS businessafter the merger, it may have a material adverse effect on 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assure you that we will realize the anticipated benefits and value of the merger or successfully integrate VFS with our existing operations. Even if we are able to successfully combine VFSs business operations with ours, it may not be possible to realize the full benefits and value that are currently expected to result from the merger, or realize these benefits and value within the time frame that is currently expected. For example, the elimination of duplicative costs may not be possible or may take longer than anticipated, or the benefits and value gained from the merger may be offset by costs incurred or delays in integrating the companies. If we fail to realize anticipated cost savings, synergies or revenue enhancements we anticipate from the merger, our financial results and results of operations may be adversely affected.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A change in the business climate may cause the actual benefits and value of the merger to differ from the anticipated benefits and value of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change in the business climate surrounding our business after the merger may affect our customers activities and actions. This could cause our financial results and results of operations to be adversely affected. This may also cause the actual benefits and value of the merger to differ from the benefits and value we anticipate from the merger.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We will incur significant costs and expenses associated with the merger.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expect to incur significant costs and expenses associated with the merger, which include but are not limited to transaction fees, professional service fees and regulatory filing fees. We also believe we may incur charges to operations, which are not currently reasonably estimable, in the quarter in which the merger is completed or the following quarters, to reflect costs associated with integrating VFS into us. There can be no assurance that we will not incur additional material charges in subsequent quarters to reflect additional costs associated with the merger and the integration of VFS into us.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The Florida Business Corporation Act gives shareholders the right to have the value of their stock appraised by a Florida court, which could raise the cost of acquiring the VFS stock.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Florida Business Corporation Act provides that shareholders who do not vote in favor of the merger, assert their right to be paid fair value for their shares and do not accept our estimate of the fair value of VFS shares after the merger, can seek to have a Florida state court review the transaction and award them fair value for their shares. If a significant number of minority shareholders assert these appraisal rights, a Florida court might disagree with our valuation and award the shareholder a significantly higher price than the $11.00 per share we intend to pay. </w:t>
      </w:r>
      <w:r>
        <w:rPr>
          <w:rFonts w:ascii="Times New Roman;Times;serif" w:hAnsi="Times New Roman;Times;serif"/>
          <w:i/>
          <w:sz w:val="17"/>
        </w:rPr>
        <w:t>See Section 4  The Merger and Merger Agreement  Appraisal Rights, page 5.</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VFS, as our subsidiary, might be responsible for debts we do not know about.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the merger VFS will continue to be responsible for all of its liabilities, and as our wholly owned subsidiary, its liabilities will be consolidated with ours for financial reporting purposes. Prior to signing the merger agreement we conducted a due diligence review of VFS; however, we cannot be sure that we discovered all liabilities that VFS has or may incur prior to the merger. If VFS has substantial liabilities that are not disclosed to us, VFS will nevertheless be required to pay them, and that could significantly reduce the value of VFS and increase our consolidated liabilities. We have not obtained agreements from any VFS directors, officers or shareholders to indemnify us for undisclosed liabilities. </w:t>
      </w:r>
    </w:p>
    <w:p>
      <w:pPr>
        <w:pStyle w:val="TextBody"/>
        <w:spacing w:before="360" w:after="283"/>
        <w:jc w:val="center"/>
        <w:rPr>
          <w:rFonts w:ascii="Times New Roman;Times;serif" w:hAnsi="Times New Roman;Times;serif"/>
          <w:sz w:val="17"/>
        </w:rPr>
      </w:pPr>
      <w:r>
        <w:rPr>
          <w:rFonts w:ascii="Times New Roman;Times;serif" w:hAnsi="Times New Roman;Times;serif"/>
          <w:i/>
          <w:sz w:val="17"/>
        </w:rPr>
        <w:t xml:space="preserve">CAUTIONARY STATEMENT REGARDING RISKS AND UNCERTAINTIES THAT MAY </w:t>
        <w:br/>
        <w:t>AFFECT FUTURE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prospectus and the documents incorporated herein by reference include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Actual results could differ materially from those expressed in the forward-looking statements, and you should not regard them as a representation that the expected results will be achieved. Important risk factors that could cause results or events to differ from current expectations are described in this prospectus under the heading Risk Factors and in the sections entitled Risk Factors in our Annual Report on Form 10-K for the year ended September 30, 2007 and our Quarterly Report for the quarter ended March 31, 2008. These factors are not intended to be an all-encompassing list of risks and uncertainties that may affect our operations, performance, development and results. You are cautioned not to overly rely on these forward-looking statements, which are current only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the date hereof.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 </w:t>
      </w:r>
    </w:p>
    <w:p>
      <w:pPr>
        <w:pStyle w:val="TextBody"/>
        <w:spacing w:before="240" w:after="283"/>
        <w:jc w:val="left"/>
        <w:rPr>
          <w:rFonts w:ascii="Times New Roman;Times;serif" w:hAnsi="Times New Roman;Times;serif"/>
          <w:sz w:val="17"/>
        </w:rPr>
      </w:pPr>
      <w:bookmarkStart w:id="10" w:name="108"/>
      <w:bookmarkEnd w:id="10"/>
      <w:r>
        <w:rPr>
          <w:rFonts w:ascii="Times New Roman;Times;serif" w:hAnsi="Times New Roman;Times;serif"/>
          <w:b/>
          <w:sz w:val="17"/>
        </w:rPr>
        <w:t>8. USE OF PROCEEDS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will not receive any proceeds from the sale of the Merger Shares by the selling stockholders. We have agreed to bear certain expenses in connection with the registration of the shares being offered and sold by the selling stockholders. </w:t>
      </w:r>
    </w:p>
    <w:p>
      <w:pPr>
        <w:pStyle w:val="TextBody"/>
        <w:spacing w:before="240" w:after="283"/>
        <w:jc w:val="left"/>
        <w:rPr>
          <w:rFonts w:ascii="Times New Roman;Times;serif" w:hAnsi="Times New Roman;Times;serif"/>
          <w:sz w:val="17"/>
        </w:rPr>
      </w:pPr>
      <w:bookmarkStart w:id="11" w:name="109"/>
      <w:bookmarkEnd w:id="11"/>
      <w:r>
        <w:rPr>
          <w:rFonts w:ascii="Times New Roman;Times;serif" w:hAnsi="Times New Roman;Times;serif"/>
          <w:b/>
          <w:sz w:val="17"/>
        </w:rPr>
        <w:t>9. SELLING STOCKHOLDERS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selling stockholders or their permitted pledges, donees, transferees or other successors in interest who we collectively refer to in this prospectus as selling stockholders, may from time to time offer and sell any and all of the Merger Shares offered under this prospectus. This prospectus generally covers the resale of 1,625,015 shares of Class A Non-voting Common received by the selling stockholders in conjunction with the merger.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names certain stockholders who may sell shares pursuant to this prospectus and presents certain information with respect to beneficial ownership of our shares. We do not know which (if any) of the stockholders named below actually will offer to sell shares pursuant to this prospectus, or the number of shares that each of them will offer.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Beneficial ownership is determined in accordance with Rule 13d-3 of the Exchange Act. A person is deemed to be the beneficial owner of any shares of Class A Non-voting Common Stock if that person has or shares voting power or investment power with respect to those shares, or has the right to acquire beneficial ownership at any time within 60 days of the date of the table. As used herein, voting power is the power to vote or direct the voting of shares and investment power is the power to dispose or direct the disposition of the shares.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the selling stockholders may offer all, some or none of the shares of the Merger Shares pursuant to this prospectus and because there currently are no agreements, arrangements or understandings with respect to the sale of any of these shares, no definitive estimate can be given as to the amount of shares that will be held by the selling stockholders after completion of the offering to which this prospectus relates. The following table has been prepared assuming that the selling stockholders sell all of the Merger Shares beneficially owned by them that have been registered by us and do not acquire any additional shares of stock. We cannot advise you as to whether the selling stockholders will in fact sell any or all of their Merger Shares. In addition, the selling stockholders may sell, transfer or otherwise dispose of, at any time and from time to time, the Merger Shares in transactions exempt from the registration requirements of the Securities Act after the date on which they provided the information set forth in the table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Information concerning the selling stockholders may change from time to time, and any changed information will be set forth in prospectus supplements or post-effective amendments, as may be appropriate.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11910" w:type="dxa"/>
        <w:jc w:val="center"/>
        <w:tblInd w:w="0" w:type="dxa"/>
        <w:tblCellMar>
          <w:top w:w="0" w:type="dxa"/>
          <w:left w:w="0" w:type="dxa"/>
          <w:bottom w:w="0" w:type="dxa"/>
          <w:right w:w="0" w:type="dxa"/>
        </w:tblCellMar>
      </w:tblPr>
      <w:tblGrid>
        <w:gridCol w:w="1250"/>
        <w:gridCol w:w="60"/>
        <w:gridCol w:w="107"/>
        <w:gridCol w:w="1767"/>
        <w:gridCol w:w="111"/>
        <w:gridCol w:w="60"/>
        <w:gridCol w:w="149"/>
        <w:gridCol w:w="1396"/>
        <w:gridCol w:w="650"/>
        <w:gridCol w:w="60"/>
        <w:gridCol w:w="115"/>
        <w:gridCol w:w="1888"/>
        <w:gridCol w:w="117"/>
        <w:gridCol w:w="60"/>
        <w:gridCol w:w="430"/>
        <w:gridCol w:w="1004"/>
        <w:gridCol w:w="431"/>
        <w:gridCol w:w="60"/>
        <w:gridCol w:w="286"/>
        <w:gridCol w:w="668"/>
        <w:gridCol w:w="1241"/>
      </w:tblGrid>
      <w:tr>
        <w:trPr/>
        <w:tc>
          <w:tcPr>
            <w:tcW w:w="1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5" w:type="dxa"/>
            <w:gridSpan w:val="3"/>
            <w:tcBorders/>
            <w:shd w:fill="auto" w:val="clear"/>
            <w:vAlign w:val="bottom"/>
          </w:tcPr>
          <w:p>
            <w:pPr>
              <w:pStyle w:val="TableContents"/>
              <w:spacing w:before="0" w:after="283"/>
              <w:jc w:val="center"/>
              <w:rPr>
                <w:b/>
              </w:rPr>
            </w:pPr>
            <w:r>
              <w:rPr>
                <w:b/>
              </w:rPr>
              <w:t>Amount of Shares</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20" w:type="dxa"/>
            <w:gridSpan w:val="3"/>
            <w:tcBorders/>
            <w:shd w:fill="auto" w:val="clear"/>
            <w:vAlign w:val="bottom"/>
          </w:tcPr>
          <w:p>
            <w:pPr>
              <w:pStyle w:val="TableContents"/>
              <w:spacing w:before="0" w:after="283"/>
              <w:jc w:val="center"/>
              <w:rPr>
                <w:b/>
              </w:rPr>
            </w:pPr>
            <w:r>
              <w:rPr>
                <w:b/>
              </w:rPr>
              <w:t>Amount of Shares to</w:t>
            </w:r>
          </w:p>
        </w:tc>
        <w:tc>
          <w:tcPr>
            <w:tcW w:w="60" w:type="dxa"/>
            <w:tcBorders/>
            <w:shd w:fill="auto" w:val="clear"/>
            <w:vAlign w:val="bottom"/>
          </w:tcPr>
          <w:p>
            <w:pPr>
              <w:pStyle w:val="TableContents"/>
              <w:spacing w:before="0" w:after="283"/>
              <w:rPr/>
            </w:pPr>
            <w:r>
              <w:rPr/>
              <w:t> </w:t>
            </w:r>
          </w:p>
        </w:tc>
        <w:tc>
          <w:tcPr>
            <w:tcW w:w="1865" w:type="dxa"/>
            <w:gridSpan w:val="3"/>
            <w:tcBorders/>
            <w:shd w:fill="auto" w:val="clear"/>
            <w:vAlign w:val="bottom"/>
          </w:tcPr>
          <w:p>
            <w:pPr>
              <w:pStyle w:val="TableContents"/>
              <w:spacing w:before="0" w:after="283"/>
              <w:jc w:val="center"/>
              <w:rPr>
                <w:b/>
              </w:rPr>
            </w:pPr>
            <w:r>
              <w:rPr>
                <w:b/>
              </w:rPr>
              <w:t>Amount of Shares</w:t>
            </w:r>
          </w:p>
        </w:tc>
        <w:tc>
          <w:tcPr>
            <w:tcW w:w="60"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pPr>
            <w:r>
              <w:rPr/>
              <w:t> </w:t>
            </w:r>
          </w:p>
        </w:tc>
      </w:tr>
      <w:tr>
        <w:trPr/>
        <w:tc>
          <w:tcPr>
            <w:tcW w:w="1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5" w:type="dxa"/>
            <w:gridSpan w:val="3"/>
            <w:tcBorders/>
            <w:shd w:fill="auto" w:val="clear"/>
            <w:vAlign w:val="bottom"/>
          </w:tcPr>
          <w:p>
            <w:pPr>
              <w:pStyle w:val="TableContents"/>
              <w:spacing w:before="0" w:after="283"/>
              <w:jc w:val="center"/>
              <w:rPr>
                <w:b/>
              </w:rPr>
            </w:pPr>
            <w:r>
              <w:rPr>
                <w:b/>
              </w:rPr>
              <w:t>Owned Prior to the</w:t>
            </w:r>
          </w:p>
        </w:tc>
        <w:tc>
          <w:tcPr>
            <w:tcW w:w="60"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b/>
              </w:rPr>
            </w:pPr>
            <w:r>
              <w:rPr>
                <w:b/>
              </w:rPr>
              <w:t>Percent Owned Prior</w:t>
            </w:r>
          </w:p>
        </w:tc>
        <w:tc>
          <w:tcPr>
            <w:tcW w:w="60" w:type="dxa"/>
            <w:tcBorders/>
            <w:shd w:fill="auto" w:val="clear"/>
            <w:vAlign w:val="bottom"/>
          </w:tcPr>
          <w:p>
            <w:pPr>
              <w:pStyle w:val="TableContents"/>
              <w:spacing w:before="0" w:after="283"/>
              <w:rPr/>
            </w:pPr>
            <w:r>
              <w:rPr/>
              <w:t> </w:t>
            </w:r>
          </w:p>
        </w:tc>
        <w:tc>
          <w:tcPr>
            <w:tcW w:w="2120" w:type="dxa"/>
            <w:gridSpan w:val="3"/>
            <w:tcBorders/>
            <w:shd w:fill="auto" w:val="clear"/>
            <w:vAlign w:val="bottom"/>
          </w:tcPr>
          <w:p>
            <w:pPr>
              <w:pStyle w:val="TableContents"/>
              <w:spacing w:before="0" w:after="283"/>
              <w:jc w:val="center"/>
              <w:rPr>
                <w:b/>
              </w:rPr>
            </w:pPr>
            <w:r>
              <w:rPr>
                <w:b/>
              </w:rPr>
              <w:t>Be Offered in the</w:t>
            </w:r>
          </w:p>
        </w:tc>
        <w:tc>
          <w:tcPr>
            <w:tcW w:w="60" w:type="dxa"/>
            <w:tcBorders/>
            <w:shd w:fill="auto" w:val="clear"/>
            <w:vAlign w:val="bottom"/>
          </w:tcPr>
          <w:p>
            <w:pPr>
              <w:pStyle w:val="TableContents"/>
              <w:spacing w:before="0" w:after="283"/>
              <w:rPr/>
            </w:pPr>
            <w:r>
              <w:rPr/>
              <w:t> </w:t>
            </w:r>
          </w:p>
        </w:tc>
        <w:tc>
          <w:tcPr>
            <w:tcW w:w="1865" w:type="dxa"/>
            <w:gridSpan w:val="3"/>
            <w:tcBorders/>
            <w:shd w:fill="auto" w:val="clear"/>
            <w:vAlign w:val="bottom"/>
          </w:tcPr>
          <w:p>
            <w:pPr>
              <w:pStyle w:val="TableContents"/>
              <w:spacing w:before="0" w:after="283"/>
              <w:jc w:val="center"/>
              <w:rPr>
                <w:b/>
              </w:rPr>
            </w:pPr>
            <w:r>
              <w:rPr>
                <w:b/>
              </w:rPr>
              <w:t>Owned After the</w:t>
            </w:r>
          </w:p>
        </w:tc>
        <w:tc>
          <w:tcPr>
            <w:tcW w:w="60"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b/>
              </w:rPr>
            </w:pPr>
            <w:r>
              <w:rPr>
                <w:b/>
              </w:rPr>
              <w:t>Percent Owned After</w:t>
            </w:r>
          </w:p>
        </w:tc>
      </w:tr>
      <w:tr>
        <w:trPr/>
        <w:tc>
          <w:tcPr>
            <w:tcW w:w="1250" w:type="dxa"/>
            <w:tcBorders>
              <w:bottom w:val="single" w:sz="2" w:space="0" w:color="000000"/>
            </w:tcBorders>
            <w:shd w:fill="auto" w:val="clear"/>
            <w:tcMar>
              <w:bottom w:w="28" w:type="dxa"/>
            </w:tcMar>
            <w:vAlign w:val="bottom"/>
          </w:tcPr>
          <w:p>
            <w:pPr>
              <w:pStyle w:val="TableContents"/>
              <w:spacing w:before="0" w:after="283"/>
              <w:jc w:val="center"/>
              <w:rPr>
                <w:b/>
              </w:rPr>
            </w:pPr>
            <w:r>
              <w:rPr>
                <w:b/>
              </w:rPr>
              <w:t>Stockholder</w:t>
            </w:r>
          </w:p>
        </w:tc>
        <w:tc>
          <w:tcPr>
            <w:tcW w:w="60" w:type="dxa"/>
            <w:tcBorders/>
            <w:shd w:fill="auto" w:val="clear"/>
            <w:vAlign w:val="bottom"/>
          </w:tcPr>
          <w:p>
            <w:pPr>
              <w:pStyle w:val="TableContents"/>
              <w:spacing w:before="0" w:after="283"/>
              <w:rPr/>
            </w:pPr>
            <w:r>
              <w:rPr/>
              <w:t> </w:t>
            </w:r>
          </w:p>
        </w:tc>
        <w:tc>
          <w:tcPr>
            <w:tcW w:w="198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Offering</w:t>
            </w:r>
          </w:p>
        </w:tc>
        <w:tc>
          <w:tcPr>
            <w:tcW w:w="60" w:type="dxa"/>
            <w:tcBorders/>
            <w:shd w:fill="auto" w:val="clear"/>
            <w:vAlign w:val="bottom"/>
          </w:tcPr>
          <w:p>
            <w:pPr>
              <w:pStyle w:val="TableContents"/>
              <w:spacing w:before="0" w:after="283"/>
              <w:rPr/>
            </w:pPr>
            <w:r>
              <w:rPr/>
              <w:t> </w:t>
            </w:r>
          </w:p>
        </w:tc>
        <w:tc>
          <w:tcPr>
            <w:tcW w:w="219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to the Offering</w:t>
            </w:r>
          </w:p>
        </w:tc>
        <w:tc>
          <w:tcPr>
            <w:tcW w:w="60" w:type="dxa"/>
            <w:tcBorders/>
            <w:shd w:fill="auto" w:val="clear"/>
            <w:vAlign w:val="bottom"/>
          </w:tcPr>
          <w:p>
            <w:pPr>
              <w:pStyle w:val="TableContents"/>
              <w:spacing w:before="0" w:after="283"/>
              <w:rPr/>
            </w:pPr>
            <w:r>
              <w:rPr/>
              <w:t> </w:t>
            </w:r>
          </w:p>
        </w:tc>
        <w:tc>
          <w:tcPr>
            <w:tcW w:w="212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Offering</w:t>
            </w:r>
          </w:p>
        </w:tc>
        <w:tc>
          <w:tcPr>
            <w:tcW w:w="60" w:type="dxa"/>
            <w:tcBorders/>
            <w:shd w:fill="auto" w:val="clear"/>
            <w:vAlign w:val="bottom"/>
          </w:tcPr>
          <w:p>
            <w:pPr>
              <w:pStyle w:val="TableContents"/>
              <w:spacing w:before="0" w:after="283"/>
              <w:rPr/>
            </w:pPr>
            <w:r>
              <w:rPr/>
              <w:t> </w:t>
            </w:r>
          </w:p>
        </w:tc>
        <w:tc>
          <w:tcPr>
            <w:tcW w:w="186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Offering</w:t>
            </w:r>
          </w:p>
        </w:tc>
        <w:tc>
          <w:tcPr>
            <w:tcW w:w="60" w:type="dxa"/>
            <w:tcBorders/>
            <w:shd w:fill="auto" w:val="clear"/>
            <w:vAlign w:val="bottom"/>
          </w:tcPr>
          <w:p>
            <w:pPr>
              <w:pStyle w:val="TableContents"/>
              <w:spacing w:before="0" w:after="283"/>
              <w:rPr/>
            </w:pPr>
            <w:r>
              <w:rPr/>
              <w:t> </w:t>
            </w:r>
          </w:p>
        </w:tc>
        <w:tc>
          <w:tcPr>
            <w:tcW w:w="219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the Offering</w:t>
            </w:r>
          </w:p>
        </w:tc>
      </w:tr>
      <w:tr>
        <w:trPr/>
        <w:tc>
          <w:tcPr>
            <w:tcW w:w="1250" w:type="dxa"/>
            <w:tcBorders/>
            <w:shd w:fill="CCEEFF" w:val="clear"/>
            <w:vAlign w:val="bottom"/>
          </w:tcPr>
          <w:p>
            <w:pPr>
              <w:pStyle w:val="TableContents"/>
              <w:spacing w:before="0" w:after="0"/>
              <w:ind w:left="225" w:right="0" w:hanging="225"/>
              <w:rPr/>
            </w:pPr>
            <w:r>
              <w:rPr/>
              <w:t>Charles Slatery(1)</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405,967</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24.98</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405,967</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Kevin Hyneman(1)</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272,871</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16.79</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272,871</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Joe Nicosia(2)</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149,814</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9.22</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149,814</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James Lackie(2)</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129,338</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7.96</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129,338</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William Haslam(2)</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95,524</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5.88</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95,524</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James Haslam</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95,389</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5.87</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95,389</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Gordon Brothers</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81,532</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5.02</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81,532</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Phillco Partnership</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69,417</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4.27</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69,417</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Rick Olswanger</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64,484</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3.97</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64,484</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F. William Hackmeyer</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60,673</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3.73</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60,673</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Louis Baioni</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46,820</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2.88</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46,820</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Everett Hailey</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46,134</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2.84</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46,134</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Ray Cahnman</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40,766</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2.51</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40,766</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bottom"/>
          </w:tcPr>
          <w:p>
            <w:pPr>
              <w:pStyle w:val="TableContents"/>
              <w:spacing w:before="0" w:after="0"/>
              <w:ind w:left="225" w:right="0" w:hanging="225"/>
              <w:rPr/>
            </w:pPr>
            <w:r>
              <w:rPr/>
              <w:t>Berten, LLC</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pPr>
            <w:r>
              <w:rPr/>
              <w:t>36,760</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2.26</w:t>
            </w:r>
          </w:p>
        </w:tc>
        <w:tc>
          <w:tcPr>
            <w:tcW w:w="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pPr>
            <w:r>
              <w:rPr/>
              <w:t>36,760</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0</w:t>
            </w:r>
          </w:p>
        </w:tc>
        <w:tc>
          <w:tcPr>
            <w:tcW w:w="1241" w:type="dxa"/>
            <w:tcBorders/>
            <w:shd w:fill="auto" w:val="clear"/>
            <w:vAlign w:val="bottom"/>
          </w:tcPr>
          <w:p>
            <w:pPr>
              <w:pStyle w:val="TableContents"/>
              <w:spacing w:before="0" w:after="283"/>
              <w:rPr/>
            </w:pPr>
            <w:r>
              <w:rPr/>
              <w:t> </w:t>
            </w:r>
          </w:p>
        </w:tc>
      </w:tr>
      <w:tr>
        <w:trPr/>
        <w:tc>
          <w:tcPr>
            <w:tcW w:w="1250" w:type="dxa"/>
            <w:tcBorders/>
            <w:shd w:fill="CCEEFF" w:val="clear"/>
            <w:vAlign w:val="bottom"/>
          </w:tcPr>
          <w:p>
            <w:pPr>
              <w:pStyle w:val="TableContents"/>
              <w:spacing w:before="0" w:after="0"/>
              <w:ind w:left="225" w:right="0" w:hanging="225"/>
              <w:rPr/>
            </w:pPr>
            <w:r>
              <w:rPr/>
              <w:t>Charlie Trammell</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29,526</w:t>
            </w:r>
          </w:p>
        </w:tc>
        <w:tc>
          <w:tcPr>
            <w:tcW w:w="1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1.82</w:t>
            </w:r>
          </w:p>
        </w:tc>
        <w:tc>
          <w:tcPr>
            <w:tcW w:w="6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88" w:type="dxa"/>
            <w:tcBorders/>
            <w:shd w:fill="CCEEFF" w:val="clear"/>
            <w:vAlign w:val="bottom"/>
          </w:tcPr>
          <w:p>
            <w:pPr>
              <w:pStyle w:val="TableContents"/>
              <w:spacing w:before="0" w:after="283"/>
              <w:jc w:val="right"/>
              <w:rPr/>
            </w:pPr>
            <w:r>
              <w:rPr/>
              <w:t>29,526</w:t>
            </w:r>
          </w:p>
        </w:tc>
        <w:tc>
          <w:tcPr>
            <w:tcW w:w="11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0</w:t>
            </w:r>
          </w:p>
        </w:tc>
        <w:tc>
          <w:tcPr>
            <w:tcW w:w="4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0</w:t>
            </w:r>
          </w:p>
        </w:tc>
        <w:tc>
          <w:tcPr>
            <w:tcW w:w="1241" w:type="dxa"/>
            <w:tcBorders/>
            <w:shd w:fill="CCEEFF" w:val="clear"/>
            <w:vAlign w:val="bottom"/>
          </w:tcPr>
          <w:p>
            <w:pPr>
              <w:pStyle w:val="TableContents"/>
              <w:spacing w:before="0" w:after="283"/>
              <w:rPr/>
            </w:pPr>
            <w:r>
              <w:rPr/>
              <w:t> </w:t>
            </w:r>
          </w:p>
        </w:tc>
      </w:tr>
      <w:tr>
        <w:trPr/>
        <w:tc>
          <w:tcPr>
            <w:tcW w:w="125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767"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4"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66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241" w:type="dxa"/>
            <w:tcBorders/>
            <w:shd w:fill="auto" w:val="clear"/>
            <w:vAlign w:val="center"/>
          </w:tcPr>
          <w:p>
            <w:pPr>
              <w:pStyle w:val="TableContents"/>
              <w:spacing w:before="0" w:after="283"/>
              <w:rPr/>
            </w:pPr>
            <w:r>
              <w:rPr/>
              <w:t> </w:t>
            </w:r>
          </w:p>
        </w:tc>
      </w:tr>
      <w:tr>
        <w:trPr/>
        <w:tc>
          <w:tcPr>
            <w:tcW w:w="1250" w:type="dxa"/>
            <w:tcBorders/>
            <w:shd w:fill="auto" w:val="clear"/>
            <w:vAlign w:val="bottom"/>
          </w:tcPr>
          <w:p>
            <w:pPr>
              <w:pStyle w:val="TableContents"/>
              <w:spacing w:before="0" w:after="0"/>
              <w:ind w:left="450" w:right="0" w:hanging="225"/>
              <w:rPr>
                <w:b/>
              </w:rPr>
            </w:pPr>
            <w:r>
              <w:rPr>
                <w:b/>
              </w:rPr>
              <w:t>Total</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67" w:type="dxa"/>
            <w:tcBorders/>
            <w:shd w:fill="auto" w:val="clear"/>
            <w:vAlign w:val="bottom"/>
          </w:tcPr>
          <w:p>
            <w:pPr>
              <w:pStyle w:val="TableContents"/>
              <w:spacing w:before="0" w:after="283"/>
              <w:jc w:val="right"/>
              <w:rPr>
                <w:b/>
              </w:rPr>
            </w:pPr>
            <w:r>
              <w:rPr>
                <w:b/>
              </w:rPr>
              <w:t>1,625,015</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right"/>
              <w:rPr/>
            </w:pPr>
            <w:r>
              <w:rPr/>
              <w:t> </w:t>
            </w:r>
          </w:p>
        </w:tc>
        <w:tc>
          <w:tcPr>
            <w:tcW w:w="1396" w:type="dxa"/>
            <w:tcBorders/>
            <w:shd w:fill="auto" w:val="clear"/>
            <w:vAlign w:val="bottom"/>
          </w:tcPr>
          <w:p>
            <w:pPr>
              <w:pStyle w:val="TableContents"/>
              <w:spacing w:before="0" w:after="283"/>
              <w:jc w:val="right"/>
              <w:rPr>
                <w:b/>
              </w:rPr>
            </w:pPr>
            <w:r>
              <w:rPr>
                <w:b/>
              </w:rPr>
              <w:t>100</w:t>
            </w:r>
          </w:p>
        </w:tc>
        <w:tc>
          <w:tcPr>
            <w:tcW w:w="650"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88" w:type="dxa"/>
            <w:tcBorders/>
            <w:shd w:fill="auto" w:val="clear"/>
            <w:vAlign w:val="bottom"/>
          </w:tcPr>
          <w:p>
            <w:pPr>
              <w:pStyle w:val="TableContents"/>
              <w:spacing w:before="0" w:after="283"/>
              <w:jc w:val="right"/>
              <w:rPr>
                <w:b/>
              </w:rPr>
            </w:pPr>
            <w:r>
              <w:rPr>
                <w:b/>
              </w:rPr>
              <w:t>1,625,015</w:t>
            </w:r>
          </w:p>
        </w:tc>
        <w:tc>
          <w:tcPr>
            <w:tcW w:w="11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b/>
              </w:rPr>
            </w:pPr>
            <w:r>
              <w:rPr>
                <w:b/>
              </w:rPr>
              <w:t>0</w:t>
            </w:r>
          </w:p>
        </w:tc>
        <w:tc>
          <w:tcPr>
            <w:tcW w:w="4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right"/>
              <w:rPr/>
            </w:pPr>
            <w:r>
              <w:rPr/>
              <w:t> </w:t>
            </w:r>
          </w:p>
        </w:tc>
        <w:tc>
          <w:tcPr>
            <w:tcW w:w="668" w:type="dxa"/>
            <w:tcBorders/>
            <w:shd w:fill="auto" w:val="clear"/>
            <w:vAlign w:val="bottom"/>
          </w:tcPr>
          <w:p>
            <w:pPr>
              <w:pStyle w:val="TableContents"/>
              <w:spacing w:before="0" w:after="283"/>
              <w:jc w:val="right"/>
              <w:rPr>
                <w:b/>
              </w:rPr>
            </w:pPr>
            <w:r>
              <w:rPr>
                <w:b/>
              </w:rPr>
              <w:t>0</w:t>
            </w:r>
          </w:p>
        </w:tc>
        <w:tc>
          <w:tcPr>
            <w:tcW w:w="1241" w:type="dxa"/>
            <w:tcBorders/>
            <w:shd w:fill="auto" w:val="clear"/>
            <w:vAlign w:val="bottom"/>
          </w:tcPr>
          <w:p>
            <w:pPr>
              <w:pStyle w:val="TableContents"/>
              <w:spacing w:before="0" w:after="283"/>
              <w:rPr>
                <w:b/>
              </w:rPr>
            </w:pPr>
            <w:r>
              <w:rPr>
                <w:b/>
              </w:rPr>
              <w:t>%</w:t>
            </w:r>
          </w:p>
        </w:tc>
      </w:tr>
      <w:tr>
        <w:trPr/>
        <w:tc>
          <w:tcPr>
            <w:tcW w:w="125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76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4"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4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66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124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90"/>
        <w:gridCol w:w="2149"/>
        <w:gridCol w:w="1566"/>
      </w:tblGrid>
      <w:tr>
        <w:trPr/>
        <w:tc>
          <w:tcPr>
            <w:tcW w:w="6490"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(1)</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Member of the Board of Value Financial Services, Inc. until the effective date of the merger.</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(2)</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Member of the Board of Value Financial Services, Inc. until September 2005.</w:t>
            </w:r>
          </w:p>
        </w:tc>
      </w:tr>
    </w:tbl>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10. PLAN OF DISTRIBUTION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registering the Merger Shares to permit the resale of these shares of Class A Non-voting Common Stock by the selling stockholders from time to time after the date of this prospectus. We will not receive any of the proceeds from the sale by the selling stockholders of the shares of Class A Non-voting Common Stock. We will bear all fees and expenses incident to our obligation to register the shares of Class A Non-voting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selling stockholders may sell all or a portion of the shares of Class A Non-voting Common Stock beneficially owned by them and offered hereby from time to time directly or through one or more underwriters, broker-dealers or agents. If the shares of Class A Non-voting Common Stock are sold through underwriters or broker-dealers, the selling stockholders will be responsible for underwriting discounts or commissions or agents commissions. The shares of Class A Non-voting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900" w:type="pct"/>
        <w:jc w:val="left"/>
        <w:tblInd w:w="0" w:type="dxa"/>
        <w:tblCellMar>
          <w:top w:w="0" w:type="dxa"/>
          <w:left w:w="0" w:type="dxa"/>
          <w:bottom w:w="0" w:type="dxa"/>
          <w:right w:w="0" w:type="dxa"/>
        </w:tblCellMar>
      </w:tblPr>
      <w:tblGrid>
        <w:gridCol w:w="200"/>
        <w:gridCol w:w="123"/>
        <w:gridCol w:w="9677"/>
      </w:tblGrid>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on any national securities exchange or quotation service on which the securities may be listed or quoted at the time of sale;</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in the over-the-counter market;</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in transactions otherwise than on these exchanges or systems or in the over-the-counter market;</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the writing of options, whether such options are listed on an options exchange or otherwise;</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ordinary brokerage transactions and transactions in which the broker-dealer solicits purchasers;</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block trades in which the broker-dealer will attempt to sell the shares as agent but may position and resell a portion of the block as principal to facilitate the transaction;</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purchases by a broker-dealer as principal and resale by the broker-dealer for its account;</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in an exchange distribution in accordance with the rules of the applicable exchange;</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privately negotiated transactions;</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short sales;</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through sales pursuant to Rule 144;</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in which broker-dealers agree with the selling stockholders to sell a specified number of such shares at a stipulated price per share;</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by means of a combination of any such methods of sale; and</w:t>
            </w:r>
          </w:p>
        </w:tc>
      </w:tr>
      <w:tr>
        <w:trPr/>
        <w:tc>
          <w:tcPr>
            <w:tcW w:w="200"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200"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677" w:type="dxa"/>
            <w:tcBorders/>
            <w:shd w:fill="auto" w:val="clear"/>
          </w:tcPr>
          <w:p>
            <w:pPr>
              <w:pStyle w:val="TableContents"/>
              <w:spacing w:before="0" w:after="283"/>
              <w:rPr/>
            </w:pPr>
            <w:r>
              <w:rPr/>
              <w:t>by any other method permitted pursuant to applicable law.</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selling stockholders effect such transactions by selling shares of Class A Non-voting Common Stock to or through underwriters, broker-dealers or agents, such underwriters, broker-dealers or agents may receive commissions in the form of discounts, concessions or commissions from the selling stockholders or commissions from purchasers of the shares of Class A Non-voting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Class A Non-voting Common Stock or otherwise, the selling stockholders may enter into hedging transactions with broker-dealers, which may in turn engage in short sales of the shares of Class A Non-voting Common Stock in the course of hedging in positions they assume. The selling stockholders may also sell shares of Class A Non-voting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Common Stock short and deliver shares of Class A Non-voting Common Stock covered by this prospectus to close out short positions and to return borrowed shares in connection with such short sales. The selling stockholders may also loan or pledge shares of Class A Non-voting Common Stock to broker-dealers that in turn may sell such shares.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selling stockholders may pledge or grant a security interest in some or all of the shares of Class A Non-voting Common Stock owned by them and, if they default in the performance of their secured obligations, the pledgees or secured parties may offer and sell the shares of Class A Non-voting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Class A Non-voting Common Stock in other circumstances in which case the transferees, donees, pledgees or other successors in interest will be the selling beneficial owners for purposes of this prospectus.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respect to 401,489 of the Merger Shares, we have agreed to pay any difference between the price received by the selling stockholder for the stock and the market price of our Class A Non-voting Common Stock, as listed on NASDAQ, on the day preceding the closing of the merger. To receive this payment, the merger agreement requires that the selling stockholders deposit their shares with Stephens, Inc., as soon as practicable after the closing of the merger. Stephens, Inc. or another broker designated by VFS (the Designated Broker) will then sell the shares within five business days of the effectiveness of the registration statement related to the Merger Shares. If the Merger Shares are sold by the Designated Broker at an average price per share less than the market price of our Class A Non-voting Common Stock, as listed on NASDAQ, on the day preceding the closing of the merger, we are obligated to pay such difference per share to the selling stockholders for each of the first 401,489 shares that were tendered to the Designated Broker. We do not know of any other arrangements made by the selling stockholders for the sale of any shares of Class A Non-voting Common Stock. The selling stockholders are not obligated to sell any of the shares being registered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selling stockholders and any agents or broker-dealers that participate with the selling stockholders in the distribution of any of the Merger Shares may be deemed to be underwriters within the meaning of the Securities Act, and any discount or commission received by them and any profit on the resale of the Merger Shares purchased by them may be deemed to be underwriting discounts or commissions under the Securities Act. </w:t>
      </w:r>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11. EXPERTS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Accounting Matters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financial statements and effectiveness of internal control over financial reporting, incorporated by reference in this 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financial statements of VFS as of December 31, 2007, 2006 and 2005 and for the years then ended are included in this prospectus. The financial statements for the year ended December 31, 2007, have been audited by McGladrey &amp; Pullen, LLP, independent accountants, as indicated in their reports with respect thereto contained in this prospectus. The financial statements for the years ended December 31, 2006 and 2005 were audited by Tedder, James, Worden, &amp; Associates, P.A., independent accountants, certain of whose partners merged with McGladrey &amp; Pullen, LLP effective June 1, 2007. These financial statements for the fiscal years 2007, 2006 and 2005 are included in the prospectus in reliance upon the authority of McGladrey &amp; Pullen, LLP and Tedder, James, Worden, &amp; Associates, P.A., as experts in accounting and auditing in giving their reports.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Legal Matters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validity of our Class A Non-voting Common Stock offered pursuant to this prospectus will be passed on by Strasburger &amp; Price, L.L.P., Austin, Texas. </w:t>
      </w:r>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12. INFORMATION INCORPORATED BY REFERENCE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Prospectus are sold or until this offering is otherwise completed: </w:t>
      </w:r>
    </w:p>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Our Annual Report on Form 10-K for the year ended September 30, 2007, filed with the SEC on December 14, 2007.</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Our Quarterly Reports on Form 10-Q for the periods ended December 31, 2007 and March 31, 2008, filed with the SEC on February 5, 2008 and May 6, 2008.</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Our Current Reports on Form 8-K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and June 17, 2008 (filed June 17, 2008).</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The description of EZCORPs Common Stock and Common Stock Rights as set forth in EZCORPs Form 8-A Registration Statement filed with the Commission on July 24, 1991, including any amendment or report filed for the purpose of updating such description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You may request free copies of these filings by writing or telephoning us at the following address: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EZCORP, Inc.</w:t>
        <w:br/>
        <w:t>Attention: Investor Relations Department</w:t>
        <w:br/>
        <w:t>1901 Capital Parkway</w:t>
        <w:br/>
        <w:t>Austin, Texas 78746</w:t>
        <w:br/>
        <w:t xml:space="preserve">(512) 314-3400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file annual, quarterly and periodic reports and other information with the Securities and Exchange Commission using the SECs EDGAR system. You can find our SEC filings on the SECs web site, </w:t>
      </w:r>
      <w:r>
        <w:rPr>
          <w:rFonts w:ascii="Times New Roman;Times;serif" w:hAnsi="Times New Roman;Times;serif"/>
          <w:sz w:val="17"/>
          <w:u w:val="single"/>
        </w:rPr>
        <w:t>www.sec.gov.</w:t>
      </w:r>
      <w:r>
        <w:rPr>
          <w:rFonts w:ascii="Times New Roman;Times;serif" w:hAnsi="Times New Roman;Times;serif"/>
          <w:sz w:val="17"/>
        </w:rPr>
        <w:t xml:space="preserve"> You may read and copy any materials that we file with the SEC at its Public Reference Room at 100 F. Street, N.E., Washington, D.C. 20549. Our Class A Non-voting Common Stock is listed on NASDAQ, under the symbol EZPW, and all reports and other information that we file with NASDAQ may be inspected at its offices at 1735 K Street N.W., Washington, D.C. 20006.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furnish our stockholders with an annual report, which contains audited financial statements, and such other reports as we, from time to time, deem appropriate or as may be required by law. Our fiscal year runs from October 1 through September 30.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Any statement contained in a document incorporated or deemed to be incorporated herein shall be deemed modified or superseded for purposes of this 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prospectus is not an offer to sell these securities in any state where the offer or sale of these securities is not permitted. The information in this prospectus is current as of the date it is mailed to security holders, and not necessarily as of any later date. If any material change occurs during the period that this prospectus is required to be delivered, this prospectus will be supplemented or amended. </w:t>
      </w:r>
    </w:p>
    <w:p>
      <w:pPr>
        <w:pStyle w:val="TextBody"/>
        <w:spacing w:before="240" w:after="283"/>
        <w:jc w:val="left"/>
        <w:rPr>
          <w:rFonts w:ascii="Times New Roman;Times;serif" w:hAnsi="Times New Roman;Times;serif"/>
          <w:sz w:val="17"/>
        </w:rPr>
      </w:pPr>
      <w:bookmarkStart w:id="15" w:name="113"/>
      <w:bookmarkEnd w:id="15"/>
      <w:r>
        <w:rPr>
          <w:rFonts w:ascii="Times New Roman;Times;serif" w:hAnsi="Times New Roman;Times;serif"/>
          <w:b/>
          <w:sz w:val="17"/>
        </w:rPr>
        <w:t>13. DISCLOSURE OF COMMISSION POSITION ON INDEMNIFICATION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Restated Certificate of Incorporation provides that no director will be personally liable to us or any of our stockholders for monetary damages arising from the directors breach of a fiduciary duty as a director, with certain limited exceptions.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the extent any of the persons referred to in the two immediately preceding paragraphs is successful in the defense of the actions referred to therein, such person is entitled, pursuant to Section 145, to indemnification as described above.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Restated Certificate of Incorporation and Amended and Restated Bylaws specifically provide for indemnification of officers and directors to the fullest extent permitted by the Delaware General Corporation Law.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 </w:t>
      </w:r>
    </w:p>
    <w:p>
      <w:pPr>
        <w:pStyle w:val="TextBody"/>
        <w:spacing w:before="240" w:after="283"/>
        <w:jc w:val="left"/>
        <w:rPr>
          <w:rFonts w:ascii="Times New Roman;Times;serif" w:hAnsi="Times New Roman;Times;serif"/>
          <w:sz w:val="17"/>
        </w:rPr>
      </w:pPr>
      <w:bookmarkStart w:id="16" w:name="114"/>
      <w:bookmarkEnd w:id="16"/>
      <w:r>
        <w:rPr>
          <w:rFonts w:ascii="Times New Roman;Times;serif" w:hAnsi="Times New Roman;Times;serif"/>
          <w:b/>
          <w:sz w:val="17"/>
        </w:rPr>
        <w:t>14. RECENT LITIGATION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May 2007, the State of Texas filed suit against EZCORP, Inc. and our Texas affiliates, TEXAS EZPAWN L.P., TEXAS EZMONEY L.P., Payday Loan Management, Inc., and Texas EZPAWN Management, Inc., in state district court in Bexar County alleging violations of the Texas Identity Theft statute, Deceptive Trade Practices Act, and a provision of the Business and Commerce Code by allegedly failing to safeguard and properly dispose of customers sensitive personal information. Despite the Texas Attorney Generals allegations, we have no knowledge that any customer was harmed. After an extended period of factual and legal debate and negotiation, we settled this matter with the Texas Attorney General by agreeing to a permanent injunction against TEXAS EZPAWN L.P. and Texas EZMONEY, L.P. and making a payment of $600,000. The settlement includes the dismissal with prejudice of all claims against EZCORP, Inc., Payday Loan Management, Inc. and Texas EZPAWN Management, Inc. The settlement is subject to final approval of the court.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Florida Office of Financial Regulation has filed an administrative action against us alleging that our Florida credit service organization business model used in eleven stores adjoining EZPAWN locations violates state usury law. On March 25, 2008, an administrative law judge issued a Recommended Order finding against us and recommending that the Florida Office of Financial Regulation issue a cease and desist order against our credit services operations in Florida. On June 12, 2008, the Florida Office of Financial Regulation issued a cease and desist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order as recommended by the administrative law judge. On June 13, 2008, we filed a Notice of Appeal of the decision and a Motion for Stay Pending Appeal with the First District Court of Appeal of Florida. On June 16, 2008, the Motion for Stay Pending Appeal was denied. As a result of the denial we closed our 11 EZMONEY credit service organization stores in Florida pending the outcome of the appeal process. We cannot give any assurance as to the ultimate outcome of this matter.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7" w:name="115"/>
      <w:bookmarkEnd w:id="17"/>
      <w:r>
        <w:rPr>
          <w:rFonts w:ascii="Times New Roman;Times;serif" w:hAnsi="Times New Roman;Times;serif"/>
          <w:b/>
          <w:sz w:val="17"/>
        </w:rPr>
        <w:t>15. VFS CONSOLIDATED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Consolidated Financial Statements of VFS for the years ended December 31, 2005, 2006 and 2007 are set forth below. Any person who is considering an investment in our Class A Non-voting Common Stock should review the Consolidated Financial Statements of VFS to consider how our operations and finances will be affected by the merger.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94"/>
        <w:gridCol w:w="482"/>
        <w:gridCol w:w="251"/>
        <w:gridCol w:w="423"/>
        <w:gridCol w:w="255"/>
      </w:tblGrid>
      <w:tr>
        <w:trPr/>
        <w:tc>
          <w:tcPr>
            <w:tcW w:w="879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929" w:type="dxa"/>
            <w:gridSpan w:val="3"/>
            <w:tcBorders/>
            <w:shd w:fill="auto" w:val="clear"/>
            <w:vAlign w:val="bottom"/>
          </w:tcPr>
          <w:p>
            <w:pPr>
              <w:pStyle w:val="TableContents"/>
              <w:spacing w:before="0" w:after="283"/>
              <w:jc w:val="center"/>
              <w:rPr>
                <w:b/>
              </w:rPr>
            </w:pPr>
            <w:r>
              <w:rPr>
                <w:b/>
              </w:rPr>
              <w:t>Pages</w:t>
            </w:r>
          </w:p>
        </w:tc>
      </w:tr>
      <w:tr>
        <w:trPr/>
        <w:tc>
          <w:tcPr>
            <w:tcW w:w="10205" w:type="dxa"/>
            <w:gridSpan w:val="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8794" w:type="dxa"/>
            <w:tcBorders/>
            <w:shd w:fill="auto" w:val="clear"/>
            <w:vAlign w:val="bottom"/>
          </w:tcPr>
          <w:p>
            <w:pPr>
              <w:pStyle w:val="TableContents"/>
              <w:spacing w:before="0" w:after="0"/>
              <w:ind w:left="225" w:right="0" w:hanging="225"/>
              <w:rPr/>
            </w:pPr>
            <w:hyperlink w:anchor="300">
              <w:r>
                <w:rPr>
                  <w:rStyle w:val="InternetLink"/>
                </w:rPr>
                <w:t>Independent Auditors Reports on the Financial Statements</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20</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Financial Statements</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450" w:right="0" w:hanging="225"/>
              <w:rPr/>
            </w:pPr>
            <w:hyperlink w:anchor="301">
              <w:r>
                <w:rPr>
                  <w:rStyle w:val="InternetLink"/>
                </w:rPr>
                <w:t>Consolidated Balance Sheets as of December 31, 2005, 2006 and 2007</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22</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450" w:right="0" w:hanging="225"/>
              <w:rPr/>
            </w:pPr>
            <w:hyperlink w:anchor="302">
              <w:r>
                <w:rPr>
                  <w:rStyle w:val="InternetLink"/>
                </w:rPr>
                <w:t>Consolidated Statements of Operations for the Years Ended December 31, 2005, 2006 and 2007</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23</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450" w:right="0" w:hanging="225"/>
              <w:rPr/>
            </w:pPr>
            <w:hyperlink w:anchor="303">
              <w:r>
                <w:rPr>
                  <w:rStyle w:val="InternetLink"/>
                </w:rPr>
                <w:t>Consolidated Statements of Shareholders Equity for the Years Ended December 31, 2005, 2006 and 2007</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24</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450" w:right="0" w:hanging="225"/>
              <w:rPr/>
            </w:pPr>
            <w:hyperlink w:anchor="304">
              <w:r>
                <w:rPr>
                  <w:rStyle w:val="InternetLink"/>
                </w:rPr>
                <w:t>Consolidated Statements of Cash Flows for the Years Ended December 31, 2005, 2006 and 2007</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25</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8794" w:type="dxa"/>
            <w:tcBorders/>
            <w:shd w:fill="auto" w:val="clear"/>
            <w:vAlign w:val="bottom"/>
          </w:tcPr>
          <w:p>
            <w:pPr>
              <w:pStyle w:val="TableContents"/>
              <w:spacing w:before="0" w:after="0"/>
              <w:ind w:left="450" w:right="0" w:hanging="225"/>
              <w:rPr/>
            </w:pPr>
            <w:hyperlink w:anchor="305">
              <w:r>
                <w:rPr>
                  <w:rStyle w:val="InternetLink"/>
                </w:rPr>
                <w:t>Notes to Consolidated Financial Statements</w:t>
              </w:r>
            </w:hyperlink>
          </w:p>
        </w:tc>
        <w:tc>
          <w:tcPr>
            <w:tcW w:w="48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jc w:val="right"/>
              <w:rPr/>
            </w:pPr>
            <w:r>
              <w:rPr/>
              <w:t>27</w:t>
            </w:r>
          </w:p>
        </w:tc>
        <w:tc>
          <w:tcPr>
            <w:tcW w:w="255"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pPr>
      <w:r>
        <w:rPr/>
        <w:drawing>
          <wp:inline distT="0" distB="0" distL="0" distR="0">
            <wp:extent cx="18669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23875"/>
                    </a:xfrm>
                    <a:prstGeom prst="rect">
                      <a:avLst/>
                    </a:prstGeom>
                  </pic:spPr>
                </pic:pic>
              </a:graphicData>
            </a:graphic>
          </wp:inline>
        </w:drawing>
      </w:r>
      <w:r>
        <w:rPr/>
        <w:t xml:space="preserve"> </w:t>
      </w:r>
    </w:p>
    <w:p>
      <w:pPr>
        <w:pStyle w:val="TextBody"/>
        <w:spacing w:before="240" w:after="283"/>
        <w:jc w:val="left"/>
        <w:rPr>
          <w:rFonts w:ascii="Times New Roman;Times;serif" w:hAnsi="Times New Roman;Times;serif"/>
          <w:sz w:val="17"/>
        </w:rPr>
      </w:pPr>
      <w:bookmarkStart w:id="18" w:name="300"/>
      <w:bookmarkEnd w:id="18"/>
      <w:r>
        <w:rPr>
          <w:rFonts w:ascii="Times New Roman;Times;serif" w:hAnsi="Times New Roman;Times;serif"/>
          <w:b/>
          <w:sz w:val="17"/>
        </w:rPr>
        <w:t>Independent Auditors Report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To the Board of Directors and Shareholders</w:t>
        <w:br/>
        <w:t>Value Financial Services, Inc.</w:t>
        <w:br/>
        <w:t xml:space="preserve">Maitland, Florida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 of Value Financial Services, Inc. and Subsidiary as of December 31, 2007,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financial position of Value Financial Services, Inc. and Subsidiary as of December 31, 2007, and the results of their operations and their cash flows for the year then ended in conformity with accounting principles generally accepted in the United States of America.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McGladrey &amp; Pullen,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Orlando, Florida</w:t>
        <w:br/>
        <w:t xml:space="preserve">June 2, 2008 </w:t>
      </w:r>
    </w:p>
    <w:p>
      <w:pPr>
        <w:pStyle w:val="TextBody"/>
        <w:spacing w:before="240" w:after="283"/>
        <w:jc w:val="left"/>
        <w:rPr>
          <w:rFonts w:ascii="Times New Roman;Times;serif" w:hAnsi="Times New Roman;Times;serif"/>
          <w:sz w:val="17"/>
        </w:rPr>
      </w:pPr>
      <w:r>
        <w:rPr>
          <w:rFonts w:ascii="Times New Roman;Times;serif" w:hAnsi="Times New Roman;Times;serif"/>
          <w:sz w:val="17"/>
        </w:rPr>
        <w:t>McGladrey &amp; Pullen, LLP is a member firm of RSM International,</w:t>
        <w:br/>
        <w:t xml:space="preserve">an affiliation of separate and independent legal entities.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INDEPENDENT AUDITORS REPORT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To the Board of Directors and Shareholders</w:t>
        <w:br/>
        <w:t>Value Financial Services, Inc.</w:t>
        <w:br/>
        <w:t xml:space="preserve">Maitland, Florida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sheets of Value Financial Services, Inc. and Subsidiary as of December 31, 2005 and 2006,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financial position of Value Financial Services, Inc. and Subsidiary as of December 31, 2005 and 2006, and the results of their operations and their cash flows for the years then ended in conformity with accounting principles generally accepted in the United States of America.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discussed in Note 1(a) to the consolidated financial statements, the consolidated financial statements have been restated.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Tedder, James, Worden &amp; Associates, P.A. </w:t>
      </w:r>
    </w:p>
    <w:p>
      <w:pPr>
        <w:pStyle w:val="TextBody"/>
        <w:spacing w:before="120" w:after="283"/>
        <w:jc w:val="left"/>
        <w:rPr>
          <w:rFonts w:ascii="Times New Roman;Times;serif" w:hAnsi="Times New Roman;Times;serif"/>
          <w:sz w:val="17"/>
        </w:rPr>
      </w:pPr>
      <w:r>
        <w:rPr>
          <w:rFonts w:ascii="Times New Roman;Times;serif" w:hAnsi="Times New Roman;Times;serif"/>
          <w:sz w:val="17"/>
        </w:rPr>
        <w:t>Orlando, Florida</w:t>
        <w:br/>
        <w:t xml:space="preserve">August 13, 2007, except for the effects </w:t>
      </w:r>
    </w:p>
    <w:p>
      <w:pPr>
        <w:pStyle w:val="TextBody"/>
        <w:spacing w:before="0" w:after="283"/>
        <w:jc w:val="left"/>
        <w:rPr>
          <w:rFonts w:ascii="Times New Roman;Times;serif" w:hAnsi="Times New Roman;Times;serif"/>
          <w:sz w:val="17"/>
        </w:rPr>
      </w:pPr>
      <w:r>
        <w:rPr>
          <w:rFonts w:ascii="Times New Roman;Times;serif" w:hAnsi="Times New Roman;Times;serif"/>
          <w:sz w:val="17"/>
        </w:rPr>
        <w:t>of the restatements to the consolidated</w:t>
        <w:br/>
        <w:t>statements of operations and cash flows</w:t>
        <w:br/>
        <w:t>and as described in Note 1(a), as to which the</w:t>
        <w:br/>
        <w:t xml:space="preserve">date is November 8, 2007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9" w:name="301"/>
      <w:bookmarkEnd w:id="19"/>
      <w:r>
        <w:rPr>
          <w:rFonts w:ascii="Times New Roman;Times;serif" w:hAnsi="Times New Roman;Times;serif"/>
          <w:sz w:val="17"/>
        </w:rPr>
        <w:t xml:space="preserve">VALUE FINANCIAL SERVICES, INC. AND SUBSIDIARY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Balance Sheets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center"/>
        <w:tblInd w:w="0" w:type="dxa"/>
        <w:tblCellMar>
          <w:top w:w="0" w:type="dxa"/>
          <w:left w:w="0" w:type="dxa"/>
          <w:bottom w:w="0" w:type="dxa"/>
          <w:right w:w="0" w:type="dxa"/>
        </w:tblCellMar>
      </w:tblPr>
      <w:tblGrid>
        <w:gridCol w:w="4764"/>
        <w:gridCol w:w="339"/>
        <w:gridCol w:w="164"/>
        <w:gridCol w:w="1179"/>
        <w:gridCol w:w="130"/>
        <w:gridCol w:w="339"/>
        <w:gridCol w:w="164"/>
        <w:gridCol w:w="1179"/>
        <w:gridCol w:w="130"/>
        <w:gridCol w:w="339"/>
        <w:gridCol w:w="164"/>
        <w:gridCol w:w="1179"/>
        <w:gridCol w:w="135"/>
      </w:tblGrid>
      <w:tr>
        <w:trPr/>
        <w:tc>
          <w:tcPr>
            <w:tcW w:w="476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jc w:val="center"/>
              <w:rPr>
                <w:b/>
              </w:rPr>
            </w:pPr>
            <w:r>
              <w:rPr>
                <w:b/>
              </w:rPr>
              <w:t>Assets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Current assets: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Cash</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1,646,001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759,674</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795,055</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Loans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11,598,110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14,528,302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16,759,212</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Inventories, net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10,330,348</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11,979,081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13,404,735</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Service charges receivable, net of allowance for doubtful service charges of approximately $1,468,000, $1,758,000, and $2,048,000 in 2005, 2006 and 2007, respectively</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2,261,928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2,832,862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3,274,926</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Deferred tax assets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3,275,000</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3,120,000</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4,042,186</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Income tax receivable</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28,700</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Advances to officers and directors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503,259</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384,881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Advances to team members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20,160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108,132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101,114</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Prepaid expenses and other</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1,678,715</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1,385,166</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1,383,229</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675" w:right="0" w:hanging="225"/>
              <w:rPr/>
            </w:pPr>
            <w:r>
              <w:rPr/>
              <w:t>Total current assets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31,313,521</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35,098,098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39,789,157</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rPr/>
            </w:pPr>
            <w:r>
              <w:rPr/>
              <w:t>Property and Equipment, net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7,126,160</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6,625,497</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7,529,734</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Goodwill</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4,874,082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4,874,082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4,874,082</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rPr/>
            </w:pPr>
            <w:r>
              <w:rPr/>
              <w:t>Deferred Tax Assets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8,131,922</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5,031,326</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4,645,523</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Other Assets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217,247</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220,225</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336,095</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675" w:right="0" w:hanging="225"/>
              <w:rPr/>
            </w:pPr>
            <w:r>
              <w:rPr/>
              <w:t>Total assets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51,662,932</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51,849,228</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57,174,591</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jc w:val="center"/>
              <w:rPr>
                <w:b/>
              </w:rPr>
            </w:pPr>
            <w:r>
              <w:rPr>
                <w:b/>
              </w:rPr>
              <w:t>Liabilities and Shareholders Equity</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rPr/>
            </w:pPr>
            <w:r>
              <w:rPr/>
              <w:t>Current liabilities: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Accounts payable</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560,255</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488,900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468,749</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Accrued expenses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1,815,138</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2,237,069</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5,258,222</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Customer layaway deposits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598,769</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741,724</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767,830</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Deferred rent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317,501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360,095</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357,206</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Income taxes payable</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22,278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50,323</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Current maturities of long-term debt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4,000,000</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Current maturities of convertible subordinated debentures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58,881</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3,926,802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66,736</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675" w:right="0" w:hanging="225"/>
              <w:rPr/>
            </w:pPr>
            <w:r>
              <w:rPr/>
              <w:t>Total current liabilities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3,372,822</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7,804,913</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10,918,743</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Long-Term Debt</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13,125,867</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7,380,721</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26,784,307</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rPr/>
            </w:pPr>
            <w:r>
              <w:rPr/>
              <w:t>Interest Rate Swap Liability</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552,748</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Convertible Subordinated Debentures, less current maturities</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4,331,972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403,425</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336,924</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675" w:right="0" w:hanging="225"/>
              <w:rPr/>
            </w:pPr>
            <w:r>
              <w:rPr/>
              <w:t>Total liabilities</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20,830,661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15,589,059</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38,592,722</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Commitments and Contingencies (Note 10)</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225" w:right="0" w:hanging="225"/>
              <w:rPr/>
            </w:pPr>
            <w:r>
              <w:rPr/>
              <w:t>Shareholders equity:</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Series A-1 participating stock, $0.01 par value; 3,622,598, 3,622,598 and 3,756,496 shares authorized in 2005, 2006 and 2007, respectively; 3,270,773, 3,270,773 and 3,756,496 shares issued and outstanding in 2005, 2006 and 2007, respectively; convertible to common stock at a ratio of 1 to 1</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32,708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32,708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37,565</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Series A-2 participating stock, $0.01 par value; 2,500,000 shares authorized; 1,516,590 shares issued and outstanding in 2005, 2006 and 2007; convertible to common stock at a ratio of 1 to 1</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15,166</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15,166</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15,166</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Series B participating stock, $0.01 par value; 682,038 shares authorized; 614,988 shares issued and outstanding in 2005, 2006 and 2007; convertible to common stock at a ratio of 1 to 1</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6,150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6,150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6,150</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Common stock, $0.01 par value; 35,000,000 shares authorized; none issued and outstanding in 2005, 2006 and 2007</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Additional paid-in capital</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52,671,080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52,671,080</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55,580,562</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450" w:right="0" w:hanging="225"/>
              <w:rPr/>
            </w:pPr>
            <w:r>
              <w:rPr/>
              <w:t>Receivable from shareholder</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(1,706,211</w:t>
            </w:r>
          </w:p>
        </w:tc>
        <w:tc>
          <w:tcPr>
            <w:tcW w:w="130"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(1,708,445</w:t>
            </w:r>
          </w:p>
        </w:tc>
        <w:tc>
          <w:tcPr>
            <w:tcW w:w="130"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450" w:right="0" w:hanging="225"/>
              <w:rPr/>
            </w:pPr>
            <w:r>
              <w:rPr/>
              <w:t>Accumulated deficit</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(20,186,622</w:t>
            </w:r>
          </w:p>
        </w:tc>
        <w:tc>
          <w:tcPr>
            <w:tcW w:w="130" w:type="dxa"/>
            <w:tcBorders/>
            <w:shd w:fill="auto" w:val="clear"/>
            <w:vAlign w:val="bottom"/>
          </w:tcPr>
          <w:p>
            <w:pPr>
              <w:pStyle w:val="TableContents"/>
              <w:spacing w:before="0" w:after="283"/>
              <w:rPr/>
            </w:pPr>
            <w:r>
              <w:rPr/>
              <w:t>)</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(14,756,490</w:t>
            </w:r>
          </w:p>
        </w:tc>
        <w:tc>
          <w:tcPr>
            <w:tcW w:w="130" w:type="dxa"/>
            <w:tcBorders/>
            <w:shd w:fill="auto" w:val="clear"/>
            <w:vAlign w:val="bottom"/>
          </w:tcPr>
          <w:p>
            <w:pPr>
              <w:pStyle w:val="TableContents"/>
              <w:spacing w:before="0" w:after="283"/>
              <w:rPr/>
            </w:pPr>
            <w:r>
              <w:rPr/>
              <w:t>)</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(37,057,574</w:t>
            </w:r>
          </w:p>
        </w:tc>
        <w:tc>
          <w:tcPr>
            <w:tcW w:w="135" w:type="dxa"/>
            <w:tcBorders/>
            <w:shd w:fill="auto" w:val="clear"/>
            <w:vAlign w:val="bottom"/>
          </w:tcPr>
          <w:p>
            <w:pPr>
              <w:pStyle w:val="TableContents"/>
              <w:spacing w:before="0" w:after="283"/>
              <w:rPr/>
            </w:pPr>
            <w:r>
              <w:rPr/>
              <w:t>)</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CCEEFF" w:val="clear"/>
            <w:vAlign w:val="bottom"/>
          </w:tcPr>
          <w:p>
            <w:pPr>
              <w:pStyle w:val="TableContents"/>
              <w:spacing w:before="0" w:after="0"/>
              <w:ind w:left="675" w:right="0" w:hanging="225"/>
              <w:rPr/>
            </w:pPr>
            <w:r>
              <w:rPr/>
              <w:t>Total shareholders equity</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30,832,271</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36,260,169</w:t>
            </w:r>
          </w:p>
        </w:tc>
        <w:tc>
          <w:tcPr>
            <w:tcW w:w="13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18,581,869</w:t>
            </w:r>
          </w:p>
        </w:tc>
        <w:tc>
          <w:tcPr>
            <w:tcW w:w="135" w:type="dxa"/>
            <w:tcBorders/>
            <w:shd w:fill="CCEEFF"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764"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bottom"/>
          </w:tcPr>
          <w:p>
            <w:pPr>
              <w:pStyle w:val="TableContents"/>
              <w:spacing w:before="0" w:after="0"/>
              <w:ind w:left="675" w:right="0" w:hanging="225"/>
              <w:rPr/>
            </w:pPr>
            <w:r>
              <w:rPr/>
              <w:t>Total liabilities and shareholders equity</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51,662,932</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51,849,228</w:t>
            </w:r>
          </w:p>
        </w:tc>
        <w:tc>
          <w:tcPr>
            <w:tcW w:w="13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57,174,591</w:t>
            </w:r>
          </w:p>
        </w:tc>
        <w:tc>
          <w:tcPr>
            <w:tcW w:w="135" w:type="dxa"/>
            <w:tcBorders/>
            <w:shd w:fill="auto" w:val="clear"/>
            <w:vAlign w:val="bottom"/>
          </w:tcPr>
          <w:p>
            <w:pPr>
              <w:pStyle w:val="TableContents"/>
              <w:spacing w:before="0" w:after="283"/>
              <w:rPr/>
            </w:pPr>
            <w:r>
              <w:rPr/>
              <w:t> </w:t>
            </w:r>
          </w:p>
        </w:tc>
      </w:tr>
      <w:tr>
        <w:trPr/>
        <w:tc>
          <w:tcPr>
            <w:tcW w:w="4764" w:type="dxa"/>
            <w:tcBorders/>
            <w:shd w:fill="auto" w:val="clear"/>
            <w:vAlign w:val="center"/>
          </w:tcPr>
          <w:p>
            <w:pPr>
              <w:pStyle w:val="TableContents"/>
              <w:spacing w:before="0" w:after="0"/>
              <w:ind w:left="450" w:right="0" w:hanging="225"/>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3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the accompanying notes to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0" w:name="302"/>
      <w:bookmarkEnd w:id="20"/>
      <w:r>
        <w:rPr>
          <w:rFonts w:ascii="Times New Roman;Times;serif" w:hAnsi="Times New Roman;Times;serif"/>
          <w:sz w:val="17"/>
        </w:rPr>
        <w:t xml:space="preserve">VALUE FINANCIAL SERVICES, INC. AND SUBSIDIARY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Operations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center"/>
        <w:tblInd w:w="0" w:type="dxa"/>
        <w:tblCellMar>
          <w:top w:w="0" w:type="dxa"/>
          <w:left w:w="0" w:type="dxa"/>
          <w:bottom w:w="0" w:type="dxa"/>
          <w:right w:w="0" w:type="dxa"/>
        </w:tblCellMar>
      </w:tblPr>
      <w:tblGrid>
        <w:gridCol w:w="4693"/>
        <w:gridCol w:w="340"/>
        <w:gridCol w:w="165"/>
        <w:gridCol w:w="1188"/>
        <w:gridCol w:w="131"/>
        <w:gridCol w:w="340"/>
        <w:gridCol w:w="165"/>
        <w:gridCol w:w="1188"/>
        <w:gridCol w:w="131"/>
        <w:gridCol w:w="340"/>
        <w:gridCol w:w="165"/>
        <w:gridCol w:w="1222"/>
        <w:gridCol w:w="137"/>
      </w:tblGrid>
      <w:tr>
        <w:trPr/>
        <w:tc>
          <w:tcPr>
            <w:tcW w:w="4693"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7" w:type="dxa"/>
            <w:tcBorders/>
            <w:shd w:fill="auto" w:val="clear"/>
            <w:vAlign w:val="bottom"/>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225" w:right="0" w:hanging="225"/>
              <w:rPr/>
            </w:pPr>
            <w:r>
              <w:rPr/>
              <w:t>Revenues: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450" w:right="0" w:hanging="225"/>
              <w:rPr/>
            </w:pPr>
            <w:r>
              <w:rPr/>
              <w:t>Merchandise sales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47,378,531</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62,348,048</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222" w:type="dxa"/>
            <w:tcBorders/>
            <w:shd w:fill="auto" w:val="clear"/>
            <w:vAlign w:val="bottom"/>
          </w:tcPr>
          <w:p>
            <w:pPr>
              <w:pStyle w:val="TableContents"/>
              <w:spacing w:before="0" w:after="283"/>
              <w:jc w:val="right"/>
              <w:rPr/>
            </w:pPr>
            <w:r>
              <w:rPr/>
              <w:t>76,514,562</w:t>
            </w:r>
          </w:p>
        </w:tc>
        <w:tc>
          <w:tcPr>
            <w:tcW w:w="137" w:type="dxa"/>
            <w:tcBorders/>
            <w:shd w:fill="auto" w:val="clear"/>
            <w:vAlign w:val="bottom"/>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450" w:right="0" w:hanging="225"/>
              <w:rPr/>
            </w:pPr>
            <w:r>
              <w:rPr/>
              <w:t>Service charge revenues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20,785,777</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24,090,466</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jc w:val="right"/>
              <w:rPr/>
            </w:pPr>
            <w:r>
              <w:rPr/>
              <w:t>28,394,105</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450" w:right="0" w:hanging="225"/>
              <w:rPr/>
            </w:pPr>
            <w:r>
              <w:rPr/>
              <w:t>Other revenues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1,085,035</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1,376,117</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jc w:val="right"/>
              <w:rPr/>
            </w:pPr>
            <w:r>
              <w:rPr/>
              <w:t>1,565,905</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Total revenues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69,249,343</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87,814,631</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jc w:val="right"/>
              <w:rPr/>
            </w:pPr>
            <w:r>
              <w:rPr/>
              <w:t>106,474,572</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Cost of merchandise sales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(29,288,787</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(39,339,401</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222" w:type="dxa"/>
            <w:tcBorders/>
            <w:shd w:fill="auto" w:val="clear"/>
            <w:vAlign w:val="bottom"/>
          </w:tcPr>
          <w:p>
            <w:pPr>
              <w:pStyle w:val="TableContents"/>
              <w:spacing w:before="0" w:after="283"/>
              <w:jc w:val="right"/>
              <w:rPr/>
            </w:pPr>
            <w:r>
              <w:rPr/>
              <w:t>(47,834,046</w:t>
            </w:r>
          </w:p>
        </w:tc>
        <w:tc>
          <w:tcPr>
            <w:tcW w:w="137" w:type="dxa"/>
            <w:tcBorders/>
            <w:shd w:fill="auto"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Net revenues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39,960,556</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48,475,230</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jc w:val="right"/>
              <w:rPr/>
            </w:pPr>
            <w:r>
              <w:rPr/>
              <w:t>58,640,526</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450" w:right="0" w:hanging="225"/>
              <w:rPr/>
            </w:pPr>
            <w:r>
              <w:rPr/>
              <w:t>Total store operating expenses (including non-cash depreciation expense)</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(25,092,771</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(30,365,220</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222" w:type="dxa"/>
            <w:tcBorders/>
            <w:shd w:fill="auto" w:val="clear"/>
            <w:vAlign w:val="bottom"/>
          </w:tcPr>
          <w:p>
            <w:pPr>
              <w:pStyle w:val="TableContents"/>
              <w:spacing w:before="0" w:after="283"/>
              <w:jc w:val="right"/>
              <w:rPr/>
            </w:pPr>
            <w:r>
              <w:rPr/>
              <w:t>(35,877,495</w:t>
            </w:r>
          </w:p>
        </w:tc>
        <w:tc>
          <w:tcPr>
            <w:tcW w:w="137" w:type="dxa"/>
            <w:tcBorders/>
            <w:shd w:fill="auto"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Store operating income</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14,867,785</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18,110,010</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jc w:val="right"/>
              <w:rPr/>
            </w:pPr>
            <w:r>
              <w:rPr/>
              <w:t>22,763,031</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General and administrative expenses: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450" w:right="0" w:hanging="225"/>
              <w:rPr/>
            </w:pPr>
            <w:r>
              <w:rPr/>
              <w:t>Administration</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(6,499,566</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(7,815,293</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pPr>
            <w:r>
              <w:rPr/>
              <w:t>(21,126,934</w:t>
            </w:r>
          </w:p>
        </w:tc>
        <w:tc>
          <w:tcPr>
            <w:tcW w:w="137" w:type="dxa"/>
            <w:tcBorders/>
            <w:shd w:fill="CCEEFF" w:val="clear"/>
            <w:vAlign w:val="bottom"/>
          </w:tcPr>
          <w:p>
            <w:pPr>
              <w:pStyle w:val="TableContents"/>
              <w:spacing w:before="0" w:after="283"/>
              <w:rPr/>
            </w:pPr>
            <w:r>
              <w:rPr/>
              <w:t>)</w:t>
            </w:r>
          </w:p>
        </w:tc>
      </w:tr>
      <w:tr>
        <w:trPr/>
        <w:tc>
          <w:tcPr>
            <w:tcW w:w="4693" w:type="dxa"/>
            <w:tcBorders/>
            <w:shd w:fill="auto" w:val="clear"/>
            <w:vAlign w:val="bottom"/>
          </w:tcPr>
          <w:p>
            <w:pPr>
              <w:pStyle w:val="TableContents"/>
              <w:spacing w:before="0" w:after="0"/>
              <w:ind w:left="450" w:right="0" w:hanging="225"/>
              <w:rPr/>
            </w:pPr>
            <w:r>
              <w:rPr/>
              <w:t>Depreciation</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(164,081</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(173,102</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222" w:type="dxa"/>
            <w:tcBorders/>
            <w:shd w:fill="auto" w:val="clear"/>
            <w:vAlign w:val="bottom"/>
          </w:tcPr>
          <w:p>
            <w:pPr>
              <w:pStyle w:val="TableContents"/>
              <w:spacing w:before="0" w:after="283"/>
              <w:jc w:val="right"/>
              <w:rPr/>
            </w:pPr>
            <w:r>
              <w:rPr/>
              <w:t>(203,559</w:t>
            </w:r>
          </w:p>
        </w:tc>
        <w:tc>
          <w:tcPr>
            <w:tcW w:w="137" w:type="dxa"/>
            <w:tcBorders/>
            <w:shd w:fill="auto" w:val="clear"/>
            <w:vAlign w:val="bottom"/>
          </w:tcPr>
          <w:p>
            <w:pPr>
              <w:pStyle w:val="TableContents"/>
              <w:spacing w:before="0" w:after="283"/>
              <w:rPr/>
            </w:pPr>
            <w:r>
              <w:rPr/>
              <w:t>)</w:t>
            </w:r>
          </w:p>
        </w:tc>
      </w:tr>
      <w:tr>
        <w:trPr/>
        <w:tc>
          <w:tcPr>
            <w:tcW w:w="4693" w:type="dxa"/>
            <w:tcBorders/>
            <w:shd w:fill="CCEEFF" w:val="clear"/>
            <w:vAlign w:val="bottom"/>
          </w:tcPr>
          <w:p>
            <w:pPr>
              <w:pStyle w:val="TableContents"/>
              <w:spacing w:before="0" w:after="0"/>
              <w:ind w:left="450" w:right="0" w:hanging="225"/>
              <w:rPr/>
            </w:pPr>
            <w:r>
              <w:rPr/>
              <w:t>Loss on disposal of equipment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(59,895</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(108,426</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pPr>
            <w:r>
              <w:rPr/>
              <w:t>(247,978</w:t>
            </w:r>
          </w:p>
        </w:tc>
        <w:tc>
          <w:tcPr>
            <w:tcW w:w="137" w:type="dxa"/>
            <w:tcBorders/>
            <w:shd w:fill="CCEEFF" w:val="clear"/>
            <w:vAlign w:val="bottom"/>
          </w:tcPr>
          <w:p>
            <w:pPr>
              <w:pStyle w:val="TableContents"/>
              <w:spacing w:before="0" w:after="283"/>
              <w:rPr/>
            </w:pPr>
            <w:r>
              <w:rPr/>
              <w:t>)</w:t>
            </w:r>
          </w:p>
        </w:tc>
      </w:tr>
      <w:tr>
        <w:trPr/>
        <w:tc>
          <w:tcPr>
            <w:tcW w:w="4693" w:type="dxa"/>
            <w:tcBorders/>
            <w:shd w:fill="auto" w:val="clear"/>
            <w:vAlign w:val="bottom"/>
          </w:tcPr>
          <w:p>
            <w:pPr>
              <w:pStyle w:val="TableContents"/>
              <w:spacing w:before="0" w:after="0"/>
              <w:ind w:left="450" w:right="0" w:hanging="225"/>
              <w:rPr/>
            </w:pPr>
            <w:r>
              <w:rPr/>
              <w:t>Start-up expenses for Mexico operations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222" w:type="dxa"/>
            <w:tcBorders/>
            <w:shd w:fill="auto" w:val="clear"/>
            <w:vAlign w:val="bottom"/>
          </w:tcPr>
          <w:p>
            <w:pPr>
              <w:pStyle w:val="TableContents"/>
              <w:spacing w:before="0" w:after="283"/>
              <w:jc w:val="right"/>
              <w:rPr/>
            </w:pPr>
            <w:r>
              <w:rPr/>
              <w:t>(107,296</w:t>
            </w:r>
          </w:p>
        </w:tc>
        <w:tc>
          <w:tcPr>
            <w:tcW w:w="137" w:type="dxa"/>
            <w:tcBorders/>
            <w:shd w:fill="auto"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Total general and administrative expenses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(6,723,542</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jc w:val="right"/>
              <w:rPr/>
            </w:pPr>
            <w:r>
              <w:rPr/>
              <w:t>(8,096,821</w:t>
            </w:r>
          </w:p>
        </w:tc>
        <w:tc>
          <w:tcPr>
            <w:tcW w:w="131"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pPr>
            <w:r>
              <w:rPr/>
              <w:t>(21,685,767</w:t>
            </w:r>
          </w:p>
        </w:tc>
        <w:tc>
          <w:tcPr>
            <w:tcW w:w="137" w:type="dxa"/>
            <w:tcBorders/>
            <w:shd w:fill="CCEEFF"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auto" w:val="clear"/>
            <w:vAlign w:val="bottom"/>
          </w:tcPr>
          <w:p>
            <w:pPr>
              <w:pStyle w:val="TableContents"/>
              <w:spacing w:before="0" w:after="0"/>
              <w:ind w:left="675" w:right="0" w:hanging="225"/>
              <w:rPr/>
            </w:pPr>
            <w:r>
              <w:rPr/>
              <w:t>Income from operations</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8,144,243</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10,013,189</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jc w:val="right"/>
              <w:rPr/>
            </w:pPr>
            <w:r>
              <w:rPr/>
              <w:t>1,077,264</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225" w:right="0" w:hanging="225"/>
              <w:rPr/>
            </w:pPr>
            <w:r>
              <w:rPr/>
              <w:t>Non-operating expenses: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22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450" w:right="0" w:hanging="225"/>
              <w:rPr/>
            </w:pPr>
            <w:r>
              <w:rPr/>
              <w:t>Interest expense</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(1,297,285</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(1,135,401</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222" w:type="dxa"/>
            <w:tcBorders/>
            <w:shd w:fill="auto" w:val="clear"/>
            <w:vAlign w:val="bottom"/>
          </w:tcPr>
          <w:p>
            <w:pPr>
              <w:pStyle w:val="TableContents"/>
              <w:spacing w:before="0" w:after="283"/>
              <w:jc w:val="right"/>
              <w:rPr/>
            </w:pPr>
            <w:r>
              <w:rPr/>
              <w:t>(2,544,181</w:t>
            </w:r>
          </w:p>
        </w:tc>
        <w:tc>
          <w:tcPr>
            <w:tcW w:w="137" w:type="dxa"/>
            <w:tcBorders/>
            <w:shd w:fill="auto"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Net income (loss) before income tax benefit (expense)</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6,846,958</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8,877,788</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pPr>
            <w:r>
              <w:rPr/>
              <w:t>(1,466,917</w:t>
            </w:r>
          </w:p>
        </w:tc>
        <w:tc>
          <w:tcPr>
            <w:tcW w:w="137" w:type="dxa"/>
            <w:tcBorders/>
            <w:shd w:fill="CCEEFF" w:val="clear"/>
            <w:vAlign w:val="bottom"/>
          </w:tcPr>
          <w:p>
            <w:pPr>
              <w:pStyle w:val="TableContents"/>
              <w:spacing w:before="0" w:after="283"/>
              <w:rPr/>
            </w:pPr>
            <w:r>
              <w:rPr/>
              <w:t>)</w:t>
            </w:r>
          </w:p>
        </w:tc>
      </w:tr>
      <w:tr>
        <w:trPr/>
        <w:tc>
          <w:tcPr>
            <w:tcW w:w="4693" w:type="dxa"/>
            <w:tcBorders/>
            <w:shd w:fill="auto" w:val="clear"/>
            <w:vAlign w:val="bottom"/>
          </w:tcPr>
          <w:p>
            <w:pPr>
              <w:pStyle w:val="TableContents"/>
              <w:spacing w:before="0" w:after="0"/>
              <w:ind w:left="225" w:right="0" w:hanging="225"/>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bottom"/>
          </w:tcPr>
          <w:p>
            <w:pPr>
              <w:pStyle w:val="TableContents"/>
              <w:spacing w:before="0" w:after="0"/>
              <w:ind w:left="225" w:right="0" w:hanging="225"/>
              <w:rPr/>
            </w:pPr>
            <w:r>
              <w:rPr/>
              <w:t>Income tax benefit (expense)</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(2,593,194</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(3,447,656</w:t>
            </w:r>
          </w:p>
        </w:tc>
        <w:tc>
          <w:tcPr>
            <w:tcW w:w="131"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jc w:val="right"/>
              <w:rPr/>
            </w:pPr>
            <w:r>
              <w:rPr/>
              <w:t>485,860</w:t>
            </w:r>
          </w:p>
        </w:tc>
        <w:tc>
          <w:tcPr>
            <w:tcW w:w="137" w:type="dxa"/>
            <w:tcBorders/>
            <w:shd w:fill="auto" w:val="clear"/>
            <w:vAlign w:val="bottom"/>
          </w:tcPr>
          <w:p>
            <w:pPr>
              <w:pStyle w:val="TableContents"/>
              <w:spacing w:before="0" w:after="283"/>
              <w:rPr/>
            </w:pPr>
            <w:r>
              <w:rPr/>
              <w:t> </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693" w:type="dxa"/>
            <w:tcBorders/>
            <w:shd w:fill="CCEEFF" w:val="clear"/>
            <w:vAlign w:val="bottom"/>
          </w:tcPr>
          <w:p>
            <w:pPr>
              <w:pStyle w:val="TableContents"/>
              <w:spacing w:before="0" w:after="0"/>
              <w:ind w:left="675" w:right="0" w:hanging="225"/>
              <w:rPr/>
            </w:pPr>
            <w:r>
              <w:rPr/>
              <w:t>Net income (loss)</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4,253,764</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5,430,132</w:t>
            </w:r>
          </w:p>
        </w:tc>
        <w:tc>
          <w:tcPr>
            <w:tcW w:w="13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222" w:type="dxa"/>
            <w:tcBorders/>
            <w:shd w:fill="CCEEFF" w:val="clear"/>
            <w:vAlign w:val="bottom"/>
          </w:tcPr>
          <w:p>
            <w:pPr>
              <w:pStyle w:val="TableContents"/>
              <w:spacing w:before="0" w:after="283"/>
              <w:jc w:val="right"/>
              <w:rPr/>
            </w:pPr>
            <w:r>
              <w:rPr/>
              <w:t>(981,057</w:t>
            </w:r>
          </w:p>
        </w:tc>
        <w:tc>
          <w:tcPr>
            <w:tcW w:w="137" w:type="dxa"/>
            <w:tcBorders/>
            <w:shd w:fill="CCEEFF" w:val="clear"/>
            <w:vAlign w:val="bottom"/>
          </w:tcPr>
          <w:p>
            <w:pPr>
              <w:pStyle w:val="TableContents"/>
              <w:spacing w:before="0" w:after="283"/>
              <w:rPr/>
            </w:pPr>
            <w:r>
              <w:rPr/>
              <w:t>)</w:t>
            </w:r>
          </w:p>
        </w:tc>
      </w:tr>
      <w:tr>
        <w:trPr/>
        <w:tc>
          <w:tcPr>
            <w:tcW w:w="4693" w:type="dxa"/>
            <w:tcBorders/>
            <w:shd w:fill="auto" w:val="clear"/>
            <w:vAlign w:val="center"/>
          </w:tcPr>
          <w:p>
            <w:pPr>
              <w:pStyle w:val="TableContents"/>
              <w:spacing w:before="0" w:after="0"/>
              <w:ind w:left="450" w:right="0" w:hanging="225"/>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the accompanying notes to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1" w:name="303"/>
      <w:bookmarkEnd w:id="21"/>
      <w:r>
        <w:rPr>
          <w:rFonts w:ascii="Times New Roman;Times;serif" w:hAnsi="Times New Roman;Times;serif"/>
          <w:sz w:val="17"/>
        </w:rPr>
        <w:t xml:space="preserve">VALUE FINANCIAL SERVICES, INC. AND SUBSIDIARY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Shareholders Equity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14575" w:type="dxa"/>
        <w:jc w:val="center"/>
        <w:tblInd w:w="0" w:type="dxa"/>
        <w:tblCellMar>
          <w:top w:w="0" w:type="dxa"/>
          <w:left w:w="0" w:type="dxa"/>
          <w:bottom w:w="0" w:type="dxa"/>
          <w:right w:w="0" w:type="dxa"/>
        </w:tblCellMar>
      </w:tblPr>
      <w:tblGrid>
        <w:gridCol w:w="965"/>
        <w:gridCol w:w="60"/>
        <w:gridCol w:w="60"/>
        <w:gridCol w:w="980"/>
        <w:gridCol w:w="95"/>
        <w:gridCol w:w="60"/>
        <w:gridCol w:w="146"/>
        <w:gridCol w:w="714"/>
        <w:gridCol w:w="95"/>
        <w:gridCol w:w="60"/>
        <w:gridCol w:w="60"/>
        <w:gridCol w:w="980"/>
        <w:gridCol w:w="60"/>
        <w:gridCol w:w="60"/>
        <w:gridCol w:w="146"/>
        <w:gridCol w:w="714"/>
        <w:gridCol w:w="60"/>
        <w:gridCol w:w="60"/>
        <w:gridCol w:w="61"/>
        <w:gridCol w:w="896"/>
        <w:gridCol w:w="97"/>
        <w:gridCol w:w="61"/>
        <w:gridCol w:w="154"/>
        <w:gridCol w:w="706"/>
        <w:gridCol w:w="95"/>
        <w:gridCol w:w="60"/>
        <w:gridCol w:w="140"/>
        <w:gridCol w:w="1100"/>
        <w:gridCol w:w="95"/>
        <w:gridCol w:w="60"/>
        <w:gridCol w:w="144"/>
        <w:gridCol w:w="1091"/>
        <w:gridCol w:w="95"/>
        <w:gridCol w:w="60"/>
        <w:gridCol w:w="145"/>
        <w:gridCol w:w="1225"/>
        <w:gridCol w:w="95"/>
        <w:gridCol w:w="60"/>
        <w:gridCol w:w="140"/>
        <w:gridCol w:w="1055"/>
        <w:gridCol w:w="95"/>
        <w:gridCol w:w="60"/>
        <w:gridCol w:w="140"/>
        <w:gridCol w:w="1175"/>
        <w:gridCol w:w="95"/>
      </w:tblGrid>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5" w:type="dxa"/>
            <w:gridSpan w:val="6"/>
            <w:tcBorders/>
            <w:shd w:fill="auto" w:val="clear"/>
            <w:vAlign w:val="bottom"/>
          </w:tcPr>
          <w:p>
            <w:pPr>
              <w:pStyle w:val="TableContents"/>
              <w:spacing w:before="0" w:after="283"/>
              <w:jc w:val="center"/>
              <w:rPr>
                <w:b/>
              </w:rPr>
            </w:pPr>
            <w:r>
              <w:rPr>
                <w:b/>
              </w:rPr>
              <w:t>Series A-1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0" w:type="dxa"/>
            <w:gridSpan w:val="6"/>
            <w:tcBorders/>
            <w:shd w:fill="auto" w:val="clear"/>
            <w:vAlign w:val="bottom"/>
          </w:tcPr>
          <w:p>
            <w:pPr>
              <w:pStyle w:val="TableContents"/>
              <w:spacing w:before="0" w:after="283"/>
              <w:jc w:val="center"/>
              <w:rPr>
                <w:b/>
              </w:rPr>
            </w:pPr>
            <w:r>
              <w:rPr>
                <w:b/>
              </w:rPr>
              <w:t>Series A-2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75" w:type="dxa"/>
            <w:gridSpan w:val="6"/>
            <w:tcBorders/>
            <w:shd w:fill="auto" w:val="clear"/>
            <w:vAlign w:val="bottom"/>
          </w:tcPr>
          <w:p>
            <w:pPr>
              <w:pStyle w:val="TableContents"/>
              <w:spacing w:before="0" w:after="283"/>
              <w:jc w:val="center"/>
              <w:rPr>
                <w:b/>
              </w:rPr>
            </w:pPr>
            <w:r>
              <w:rPr>
                <w:b/>
              </w:rPr>
              <w:t>Series B</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b/>
              </w:rPr>
            </w:pPr>
            <w:r>
              <w:rPr>
                <w:b/>
              </w:rPr>
              <w:t>Additional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shd w:fill="auto" w:val="clear"/>
            <w:vAlign w:val="bottom"/>
          </w:tcPr>
          <w:p>
            <w:pPr>
              <w:pStyle w:val="TableContents"/>
              <w:spacing w:before="0" w:after="283"/>
              <w:jc w:val="center"/>
              <w:rPr>
                <w:b/>
              </w:rPr>
            </w:pPr>
            <w:r>
              <w:rPr>
                <w:b/>
              </w:rPr>
              <w:t>Receivable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participating stock</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participating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7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participating stock</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b/>
              </w:rPr>
            </w:pPr>
            <w:r>
              <w:rPr>
                <w:b/>
              </w:rPr>
              <w:t>paid-in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shd w:fill="auto" w:val="clear"/>
            <w:vAlign w:val="bottom"/>
          </w:tcPr>
          <w:p>
            <w:pPr>
              <w:pStyle w:val="TableContents"/>
              <w:spacing w:before="0" w:after="283"/>
              <w:jc w:val="center"/>
              <w:rPr>
                <w:b/>
              </w:rPr>
            </w:pPr>
            <w:r>
              <w:rPr>
                <w:b/>
              </w:rPr>
              <w:t>from</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jc w:val="center"/>
              <w:rPr>
                <w:b/>
              </w:rPr>
            </w:pPr>
            <w:r>
              <w:rPr>
                <w:b/>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283"/>
              <w:jc w:val="center"/>
              <w:rPr>
                <w:b/>
              </w:rPr>
            </w:pPr>
            <w:r>
              <w:rPr>
                <w:b/>
              </w:rPr>
              <w:t>Treasury</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Shares</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capital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shareholder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deficit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Balances, December 31, 2004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3,270,773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14" w:type="dxa"/>
            <w:tcBorders/>
            <w:shd w:fill="CCEEFF" w:val="clear"/>
            <w:vAlign w:val="bottom"/>
          </w:tcPr>
          <w:p>
            <w:pPr>
              <w:pStyle w:val="TableContents"/>
              <w:spacing w:before="0" w:after="283"/>
              <w:jc w:val="right"/>
              <w:rPr/>
            </w:pPr>
            <w:r>
              <w:rPr/>
              <w:t>32,708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1,516,590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14" w:type="dxa"/>
            <w:tcBorders/>
            <w:shd w:fill="CCEEFF" w:val="clear"/>
            <w:vAlign w:val="bottom"/>
          </w:tcPr>
          <w:p>
            <w:pPr>
              <w:pStyle w:val="TableContents"/>
              <w:spacing w:before="0" w:after="283"/>
              <w:jc w:val="right"/>
              <w:rPr/>
            </w:pPr>
            <w:r>
              <w:rPr/>
              <w:t>15,166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614,988</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6,150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52,671,080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(954,250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(24,440,386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27,330,468</w:t>
            </w:r>
          </w:p>
        </w:tc>
        <w:tc>
          <w:tcPr>
            <w:tcW w:w="95" w:type="dxa"/>
            <w:tcBorders/>
            <w:shd w:fill="CCEEFF"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Receivable from shareholder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(751,961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pPr>
            <w:r>
              <w:rPr/>
              <w:t>(751,961</w:t>
            </w:r>
          </w:p>
        </w:tc>
        <w:tc>
          <w:tcPr>
            <w:tcW w:w="95" w:type="dxa"/>
            <w:tcBorders/>
            <w:shd w:fill="auto"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Net income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4,253,764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4,253,764</w:t>
            </w:r>
          </w:p>
        </w:tc>
        <w:tc>
          <w:tcPr>
            <w:tcW w:w="95" w:type="dxa"/>
            <w:tcBorders/>
            <w:shd w:fill="CCEEFF" w:val="clear"/>
            <w:vAlign w:val="bottom"/>
          </w:tcPr>
          <w:p>
            <w:pPr>
              <w:pStyle w:val="TableContents"/>
              <w:spacing w:before="0" w:after="283"/>
              <w:rPr/>
            </w:pPr>
            <w:r>
              <w:rPr/>
              <w:t> </w:t>
            </w:r>
          </w:p>
        </w:tc>
      </w:tr>
      <w:tr>
        <w:trPr/>
        <w:tc>
          <w:tcPr>
            <w:tcW w:w="9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Balances, December 31, 2005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3,270,773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32,708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1,516,590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15,166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614,988</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6,150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52,671,080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(1,706,211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(20,186,622</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30,832,271</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Receivable from shareholder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(2,234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75" w:type="dxa"/>
            <w:tcBorders/>
            <w:shd w:fill="CCEEFF" w:val="clear"/>
            <w:vAlign w:val="bottom"/>
          </w:tcPr>
          <w:p>
            <w:pPr>
              <w:pStyle w:val="TableContents"/>
              <w:spacing w:before="0" w:after="283"/>
              <w:jc w:val="right"/>
              <w:rPr/>
            </w:pPr>
            <w:r>
              <w:rPr/>
              <w:t>(2,234</w:t>
            </w:r>
          </w:p>
        </w:tc>
        <w:tc>
          <w:tcPr>
            <w:tcW w:w="95" w:type="dxa"/>
            <w:tcBorders/>
            <w:shd w:fill="CCEEFF"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Net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5,430,132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5,430,132</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Balances, December 31, 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3,270,773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32,708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1,516,590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15,166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614,988</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6,150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52,671,080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(1,708,445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(14,756,490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36,260,169</w:t>
            </w:r>
          </w:p>
        </w:tc>
        <w:tc>
          <w:tcPr>
            <w:tcW w:w="95" w:type="dxa"/>
            <w:tcBorders/>
            <w:shd w:fill="CCEEFF"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Issuance of participating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685,723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6,857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4,107,482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4,114,339</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Dividends paid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(21,320,027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75" w:type="dxa"/>
            <w:tcBorders/>
            <w:shd w:fill="CCEEFF" w:val="clear"/>
            <w:vAlign w:val="bottom"/>
          </w:tcPr>
          <w:p>
            <w:pPr>
              <w:pStyle w:val="TableContents"/>
              <w:spacing w:before="0" w:after="283"/>
              <w:jc w:val="right"/>
              <w:rPr/>
            </w:pPr>
            <w:r>
              <w:rPr/>
              <w:t>(21,320,027</w:t>
            </w:r>
          </w:p>
        </w:tc>
        <w:tc>
          <w:tcPr>
            <w:tcW w:w="95" w:type="dxa"/>
            <w:tcBorders/>
            <w:shd w:fill="CCEEFF"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Purchase of treasury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(577,123</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(5,771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(150,000</w:t>
            </w:r>
          </w:p>
        </w:tc>
        <w:tc>
          <w:tcPr>
            <w:tcW w:w="97"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06" w:type="dxa"/>
            <w:tcBorders/>
            <w:shd w:fill="auto" w:val="clear"/>
            <w:vAlign w:val="bottom"/>
          </w:tcPr>
          <w:p>
            <w:pPr>
              <w:pStyle w:val="TableContents"/>
              <w:spacing w:before="0" w:after="283"/>
              <w:jc w:val="right"/>
              <w:rPr/>
            </w:pPr>
            <w:r>
              <w:rPr/>
              <w:t>(1,500</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(1,198,000</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(3,162,736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pPr>
            <w:r>
              <w:rPr/>
              <w:t>(4,368,007</w:t>
            </w:r>
          </w:p>
        </w:tc>
        <w:tc>
          <w:tcPr>
            <w:tcW w:w="95" w:type="dxa"/>
            <w:tcBorders/>
            <w:shd w:fill="auto"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Sale or retirement of treasury stock</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377,123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3,771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150,000</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1,500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3,162,736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3,168,007</w:t>
            </w:r>
          </w:p>
        </w:tc>
        <w:tc>
          <w:tcPr>
            <w:tcW w:w="95" w:type="dxa"/>
            <w:tcBorders/>
            <w:shd w:fill="CCEEFF"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Forgiveness of receivable from shareholder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1,708,445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1,708,445</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965" w:type="dxa"/>
            <w:tcBorders/>
            <w:shd w:fill="CCEEFF" w:val="clear"/>
            <w:vAlign w:val="bottom"/>
          </w:tcPr>
          <w:p>
            <w:pPr>
              <w:pStyle w:val="TableContents"/>
              <w:spacing w:before="0" w:after="0"/>
              <w:ind w:left="225" w:right="0" w:hanging="225"/>
              <w:rPr/>
            </w:pPr>
            <w:r>
              <w:rPr/>
              <w:t>Net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(981,057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75" w:type="dxa"/>
            <w:tcBorders/>
            <w:shd w:fill="CCEEFF" w:val="clear"/>
            <w:vAlign w:val="bottom"/>
          </w:tcPr>
          <w:p>
            <w:pPr>
              <w:pStyle w:val="TableContents"/>
              <w:spacing w:before="0" w:after="283"/>
              <w:jc w:val="right"/>
              <w:rPr/>
            </w:pPr>
            <w:r>
              <w:rPr/>
              <w:t>(981,057</w:t>
            </w:r>
          </w:p>
        </w:tc>
        <w:tc>
          <w:tcPr>
            <w:tcW w:w="95" w:type="dxa"/>
            <w:tcBorders/>
            <w:shd w:fill="CCEEFF" w:val="clear"/>
            <w:vAlign w:val="bottom"/>
          </w:tcPr>
          <w:p>
            <w:pPr>
              <w:pStyle w:val="TableContents"/>
              <w:spacing w:before="0" w:after="283"/>
              <w:rPr/>
            </w:pPr>
            <w:r>
              <w:rPr/>
              <w:t>)</w:t>
            </w:r>
          </w:p>
        </w:tc>
      </w:tr>
      <w:tr>
        <w:trPr/>
        <w:tc>
          <w:tcPr>
            <w:tcW w:w="9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965" w:type="dxa"/>
            <w:tcBorders/>
            <w:shd w:fill="auto" w:val="clear"/>
            <w:vAlign w:val="bottom"/>
          </w:tcPr>
          <w:p>
            <w:pPr>
              <w:pStyle w:val="TableContents"/>
              <w:spacing w:before="0" w:after="0"/>
              <w:ind w:left="225" w:right="0" w:hanging="225"/>
              <w:rPr/>
            </w:pPr>
            <w:r>
              <w:rPr/>
              <w:t>Balances, December 31, 2007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3,756,496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14" w:type="dxa"/>
            <w:tcBorders/>
            <w:shd w:fill="auto" w:val="clear"/>
            <w:vAlign w:val="bottom"/>
          </w:tcPr>
          <w:p>
            <w:pPr>
              <w:pStyle w:val="TableContents"/>
              <w:spacing w:before="0" w:after="283"/>
              <w:jc w:val="right"/>
              <w:rPr/>
            </w:pPr>
            <w:r>
              <w:rPr/>
              <w:t>37,565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1,516,590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14" w:type="dxa"/>
            <w:tcBorders/>
            <w:shd w:fill="auto" w:val="clear"/>
            <w:vAlign w:val="bottom"/>
          </w:tcPr>
          <w:p>
            <w:pPr>
              <w:pStyle w:val="TableContents"/>
              <w:spacing w:before="0" w:after="283"/>
              <w:jc w:val="right"/>
              <w:rPr/>
            </w:pPr>
            <w:r>
              <w:rPr/>
              <w:t>15,166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614,988</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6,150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1100" w:type="dxa"/>
            <w:tcBorders/>
            <w:shd w:fill="auto" w:val="clear"/>
            <w:vAlign w:val="bottom"/>
          </w:tcPr>
          <w:p>
            <w:pPr>
              <w:pStyle w:val="TableContents"/>
              <w:spacing w:before="0" w:after="283"/>
              <w:jc w:val="right"/>
              <w:rPr/>
            </w:pPr>
            <w:r>
              <w:rPr/>
              <w:t>55,580,562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09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w:t>
            </w:r>
          </w:p>
        </w:tc>
        <w:tc>
          <w:tcPr>
            <w:tcW w:w="1225" w:type="dxa"/>
            <w:tcBorders/>
            <w:shd w:fill="auto" w:val="clear"/>
            <w:vAlign w:val="bottom"/>
          </w:tcPr>
          <w:p>
            <w:pPr>
              <w:pStyle w:val="TableContents"/>
              <w:spacing w:before="0" w:after="283"/>
              <w:jc w:val="right"/>
              <w:rPr/>
            </w:pPr>
            <w:r>
              <w:rPr/>
              <w:t>(37,057,574</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1175" w:type="dxa"/>
            <w:tcBorders/>
            <w:shd w:fill="auto" w:val="clear"/>
            <w:vAlign w:val="bottom"/>
          </w:tcPr>
          <w:p>
            <w:pPr>
              <w:pStyle w:val="TableContents"/>
              <w:spacing w:before="0" w:after="283"/>
              <w:jc w:val="right"/>
              <w:rPr/>
            </w:pPr>
            <w:r>
              <w:rPr/>
              <w:t>18,581,869</w:t>
            </w:r>
          </w:p>
        </w:tc>
        <w:tc>
          <w:tcPr>
            <w:tcW w:w="95" w:type="dxa"/>
            <w:tcBorders/>
            <w:shd w:fill="auto" w:val="clear"/>
            <w:vAlign w:val="bottom"/>
          </w:tcPr>
          <w:p>
            <w:pPr>
              <w:pStyle w:val="TableContents"/>
              <w:spacing w:before="0" w:after="283"/>
              <w:rPr/>
            </w:pPr>
            <w:r>
              <w:rPr/>
              <w:t> </w:t>
            </w:r>
          </w:p>
        </w:tc>
      </w:tr>
      <w:tr>
        <w:trPr/>
        <w:tc>
          <w:tcPr>
            <w:tcW w:w="9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the accompanying notes to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2" w:name="304"/>
      <w:bookmarkEnd w:id="22"/>
      <w:r>
        <w:rPr>
          <w:rFonts w:ascii="Times New Roman;Times;serif" w:hAnsi="Times New Roman;Times;serif"/>
          <w:sz w:val="17"/>
        </w:rPr>
        <w:t xml:space="preserve">VALUE FINANCIAL SERVICES, INC. AND SUBSIDIARY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Cash Flows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center"/>
        <w:tblInd w:w="0" w:type="dxa"/>
        <w:tblCellMar>
          <w:top w:w="0" w:type="dxa"/>
          <w:left w:w="0" w:type="dxa"/>
          <w:bottom w:w="0" w:type="dxa"/>
          <w:right w:w="0" w:type="dxa"/>
        </w:tblCellMar>
      </w:tblPr>
      <w:tblGrid>
        <w:gridCol w:w="4722"/>
        <w:gridCol w:w="349"/>
        <w:gridCol w:w="165"/>
        <w:gridCol w:w="1180"/>
        <w:gridCol w:w="131"/>
        <w:gridCol w:w="349"/>
        <w:gridCol w:w="165"/>
        <w:gridCol w:w="1180"/>
        <w:gridCol w:w="131"/>
        <w:gridCol w:w="349"/>
        <w:gridCol w:w="165"/>
        <w:gridCol w:w="1180"/>
        <w:gridCol w:w="139"/>
      </w:tblGrid>
      <w:tr>
        <w:trPr/>
        <w:tc>
          <w:tcPr>
            <w:tcW w:w="472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225" w:right="0" w:hanging="225"/>
              <w:rPr/>
            </w:pPr>
            <w:r>
              <w:rPr/>
              <w:t>Cash flows from operating activities: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450" w:right="0" w:hanging="225"/>
              <w:rPr/>
            </w:pPr>
            <w:r>
              <w:rPr/>
              <w:t>Net income (loss)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4,253,764</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5,430,132</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(981,057</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450" w:right="0" w:hanging="225"/>
              <w:rPr/>
            </w:pPr>
            <w:r>
              <w:rPr/>
              <w:t>Adjustments to reconcile net income (loss) to net cash provided by operating activities: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Stock-based compensation expense</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4,114,339</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675" w:right="0" w:hanging="225"/>
              <w:rPr/>
            </w:pPr>
            <w:r>
              <w:rPr/>
              <w:t>Depreciation</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1,434,703</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1,674,534</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1,815,775</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Forgiveness of receivable from shareholder</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1,708,445</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675" w:right="0" w:hanging="225"/>
              <w:rPr/>
            </w:pPr>
            <w:r>
              <w:rPr/>
              <w:t>Non-cash interest expense</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552,748</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Reserve for service charges receivable</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171,848</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290,055</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289,601</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675" w:right="0" w:hanging="225"/>
              <w:rPr/>
            </w:pPr>
            <w:r>
              <w:rPr/>
              <w:t>Loss on disposal of equipment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59,895</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108,426</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247,975</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Amortization of other assets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40,553</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8,729</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119,708</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675" w:right="0" w:hanging="225"/>
              <w:rPr/>
            </w:pPr>
            <w:r>
              <w:rPr/>
              <w:t>Reserve for inventory shrinkage and valuation</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17,751</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50,000</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Deferred income taxes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2,521,819</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3,255,596</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(536,383</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675" w:right="0" w:hanging="225"/>
              <w:rPr/>
            </w:pPr>
            <w:r>
              <w:rPr/>
              <w:t>Changes in working capital components: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900" w:right="0" w:hanging="225"/>
              <w:rPr/>
            </w:pPr>
            <w:r>
              <w:rPr/>
              <w:t>(Increase) decrease in operating assets: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1125" w:right="0" w:hanging="225"/>
              <w:rPr/>
            </w:pPr>
            <w:r>
              <w:rPr/>
              <w:t>Inventories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(751,846</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(467,411</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(319,812</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1125" w:right="0" w:hanging="225"/>
              <w:rPr/>
            </w:pPr>
            <w:r>
              <w:rPr/>
              <w:t>Service charges receivable</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(553,111</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(860,989</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(731,665</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1125" w:right="0" w:hanging="225"/>
              <w:rPr/>
            </w:pPr>
            <w:r>
              <w:rPr/>
              <w:t>Income taxes receivable</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(28,700</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1125" w:right="0" w:hanging="225"/>
              <w:rPr/>
            </w:pPr>
            <w:r>
              <w:rPr/>
              <w:t>Prepaid expenses and other</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34,019</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293,549</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1,812</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1125" w:right="0" w:hanging="225"/>
              <w:rPr/>
            </w:pPr>
            <w:r>
              <w:rPr/>
              <w:t>Advances to officers and directors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(892,277</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118,378</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384,881</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1125" w:right="0" w:hanging="225"/>
              <w:rPr/>
            </w:pPr>
            <w:r>
              <w:rPr/>
              <w:t>Advances to team members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(5,045</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(87,972</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7,018</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1125" w:right="0" w:hanging="225"/>
              <w:rPr/>
            </w:pPr>
            <w:r>
              <w:rPr/>
              <w:t>Other assets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(44,310</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(11,707</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(117,578</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900" w:right="0" w:hanging="225"/>
              <w:rPr/>
            </w:pPr>
            <w:r>
              <w:rPr/>
              <w:t>Increase (decrease) in operating liabilities: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1125" w:right="0" w:hanging="225"/>
              <w:rPr/>
            </w:pPr>
            <w:r>
              <w:rPr/>
              <w:t>Accounts payable</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(79,205</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(71,355</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(20,151</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1125" w:right="0" w:hanging="225"/>
              <w:rPr/>
            </w:pPr>
            <w:r>
              <w:rPr/>
              <w:t>Accrued expenses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(441,935</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421,931</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3,021,153</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1125" w:right="0" w:hanging="225"/>
              <w:rPr/>
            </w:pPr>
            <w:r>
              <w:rPr/>
              <w:t>Customer layaway deposits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77,408</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142,955</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26,106</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1125" w:right="0" w:hanging="225"/>
              <w:rPr/>
            </w:pPr>
            <w:r>
              <w:rPr/>
              <w:t>Deferred rent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(30,662</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42,594</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(2,889</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1125" w:right="0" w:hanging="225"/>
              <w:rPr/>
            </w:pPr>
            <w:r>
              <w:rPr/>
              <w:t>Income taxes payable</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(26,403</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28,045</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(50,323</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center"/>
          </w:tcPr>
          <w:p>
            <w:pPr>
              <w:pStyle w:val="TableContents"/>
              <w:spacing w:before="0" w:after="0"/>
              <w:ind w:left="450" w:right="0" w:hanging="225"/>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center"/>
          </w:tcPr>
          <w:p>
            <w:pPr>
              <w:pStyle w:val="TableContents"/>
              <w:spacing w:before="0" w:after="283"/>
              <w:rPr/>
            </w:pPr>
            <w:r>
              <w:rPr/>
              <w:t> </w:t>
            </w:r>
          </w:p>
        </w:tc>
        <w:tc>
          <w:tcPr>
            <w:tcW w:w="5483" w:type="dxa"/>
            <w:gridSpan w:val="12"/>
            <w:tcBorders/>
            <w:shd w:fill="auto" w:val="clear"/>
          </w:tcPr>
          <w:p>
            <w:pPr>
              <w:pStyle w:val="TableContents"/>
              <w:spacing w:before="0" w:after="283"/>
              <w:rPr>
                <w:sz w:val="4"/>
                <w:szCs w:val="4"/>
              </w:rPr>
            </w:pPr>
            <w:r>
              <w:rPr>
                <w:sz w:val="4"/>
                <w:szCs w:val="4"/>
              </w:rPr>
            </w:r>
          </w:p>
        </w:tc>
      </w:tr>
      <w:tr>
        <w:trPr/>
        <w:tc>
          <w:tcPr>
            <w:tcW w:w="4722" w:type="dxa"/>
            <w:tcBorders/>
            <w:shd w:fill="auto" w:val="clear"/>
            <w:vAlign w:val="bottom"/>
          </w:tcPr>
          <w:p>
            <w:pPr>
              <w:pStyle w:val="TableContents"/>
              <w:spacing w:before="0" w:after="0"/>
              <w:ind w:left="1125" w:right="0" w:hanging="225"/>
              <w:rPr/>
            </w:pPr>
            <w:r>
              <w:rPr/>
              <w:t>Net cash provided by operating activities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5,786,966</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10,315,490</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9,551,003</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225" w:right="0" w:hanging="225"/>
              <w:rPr/>
            </w:pPr>
            <w:r>
              <w:rPr/>
              <w:t>Cash flows from investing activities:</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450" w:right="0" w:hanging="225"/>
              <w:rPr/>
            </w:pPr>
            <w:r>
              <w:rPr/>
              <w:t>Principal recovered on forfeited loans through dispositions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20,726,275</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27,198,647</w:t>
            </w:r>
          </w:p>
        </w:tc>
        <w:tc>
          <w:tcPr>
            <w:tcW w:w="13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34,521,159</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450" w:right="0" w:hanging="225"/>
              <w:rPr/>
            </w:pPr>
            <w:r>
              <w:rPr/>
              <w:t>Loans repaid</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26,436,842</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30,769,721</w:t>
            </w:r>
          </w:p>
        </w:tc>
        <w:tc>
          <w:tcPr>
            <w:tcW w:w="13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33,692,098</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450" w:right="0" w:hanging="225"/>
              <w:rPr/>
            </w:pPr>
            <w:r>
              <w:rPr/>
              <w:t>Loans made</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(51,119,261</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(62,079,882</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(71,599,884</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450" w:right="0" w:hanging="225"/>
              <w:rPr/>
            </w:pPr>
            <w:r>
              <w:rPr/>
              <w:t>Purchases of property and equipment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(1,194,203</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(1,282,297</w:t>
            </w:r>
          </w:p>
        </w:tc>
        <w:tc>
          <w:tcPr>
            <w:tcW w:w="131" w:type="dxa"/>
            <w:tcBorders/>
            <w:shd w:fill="CCEEFF" w:val="clear"/>
            <w:vAlign w:val="bottom"/>
          </w:tcPr>
          <w:p>
            <w:pPr>
              <w:pStyle w:val="TableContents"/>
              <w:spacing w:before="0" w:after="283"/>
              <w:rPr/>
            </w:pPr>
            <w:r>
              <w:rPr/>
              <w:t>)</w:t>
            </w:r>
          </w:p>
        </w:tc>
        <w:tc>
          <w:tcPr>
            <w:tcW w:w="34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(2,967,987</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center"/>
          </w:tcPr>
          <w:p>
            <w:pPr>
              <w:pStyle w:val="TableContents"/>
              <w:spacing w:before="0" w:after="0"/>
              <w:ind w:left="450" w:right="0" w:hanging="225"/>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center"/>
          </w:tcPr>
          <w:p>
            <w:pPr>
              <w:pStyle w:val="TableContents"/>
              <w:spacing w:before="0" w:after="283"/>
              <w:rPr/>
            </w:pPr>
            <w:r>
              <w:rPr/>
              <w:t> </w:t>
            </w:r>
          </w:p>
        </w:tc>
        <w:tc>
          <w:tcPr>
            <w:tcW w:w="5483" w:type="dxa"/>
            <w:gridSpan w:val="12"/>
            <w:tcBorders/>
            <w:shd w:fill="auto" w:val="clear"/>
          </w:tcPr>
          <w:p>
            <w:pPr>
              <w:pStyle w:val="TableContents"/>
              <w:spacing w:before="0" w:after="283"/>
              <w:rPr>
                <w:sz w:val="4"/>
                <w:szCs w:val="4"/>
              </w:rPr>
            </w:pPr>
            <w:r>
              <w:rPr>
                <w:sz w:val="4"/>
                <w:szCs w:val="4"/>
              </w:rPr>
            </w:r>
          </w:p>
        </w:tc>
      </w:tr>
      <w:tr>
        <w:trPr/>
        <w:tc>
          <w:tcPr>
            <w:tcW w:w="4722" w:type="dxa"/>
            <w:tcBorders/>
            <w:shd w:fill="auto" w:val="clear"/>
            <w:vAlign w:val="bottom"/>
          </w:tcPr>
          <w:p>
            <w:pPr>
              <w:pStyle w:val="TableContents"/>
              <w:spacing w:before="0" w:after="0"/>
              <w:ind w:left="1125" w:right="0" w:hanging="225"/>
              <w:rPr/>
            </w:pPr>
            <w:r>
              <w:rPr/>
              <w:t>Net cash used in investing activities</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(5,150,347</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(5,393,811</w:t>
            </w:r>
          </w:p>
        </w:tc>
        <w:tc>
          <w:tcPr>
            <w:tcW w:w="131" w:type="dxa"/>
            <w:tcBorders/>
            <w:shd w:fill="auto" w:val="clear"/>
            <w:vAlign w:val="bottom"/>
          </w:tcPr>
          <w:p>
            <w:pPr>
              <w:pStyle w:val="TableContents"/>
              <w:spacing w:before="0" w:after="283"/>
              <w:rPr/>
            </w:pPr>
            <w:r>
              <w:rPr/>
              <w:t>)</w:t>
            </w:r>
          </w:p>
        </w:tc>
        <w:tc>
          <w:tcPr>
            <w:tcW w:w="34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(6,354,614</w:t>
            </w:r>
          </w:p>
        </w:tc>
        <w:tc>
          <w:tcPr>
            <w:tcW w:w="139" w:type="dxa"/>
            <w:tcBorders/>
            <w:shd w:fill="auto" w:val="clear"/>
            <w:vAlign w:val="bottom"/>
          </w:tcPr>
          <w:p>
            <w:pPr>
              <w:pStyle w:val="TableContents"/>
              <w:spacing w:before="0" w:after="283"/>
              <w:rPr/>
            </w:pPr>
            <w:r>
              <w:rPr/>
              <w:t>)</w:t>
            </w:r>
          </w:p>
        </w:tc>
      </w:tr>
      <w:tr>
        <w:trPr/>
        <w:tc>
          <w:tcPr>
            <w:tcW w:w="4722" w:type="dxa"/>
            <w:tcBorders/>
            <w:shd w:fill="auto" w:val="clear"/>
            <w:vAlign w:val="center"/>
          </w:tcPr>
          <w:p>
            <w:pPr>
              <w:pStyle w:val="TableContents"/>
              <w:spacing w:before="0" w:after="0"/>
              <w:ind w:left="450" w:right="0" w:hanging="225"/>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(Continued)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the accompanying notes to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VALUE FINANCIAL SERVICES, INC. AND SUBSIDIARY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Cash Flows, 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center"/>
        <w:tblInd w:w="0" w:type="dxa"/>
        <w:tblCellMar>
          <w:top w:w="0" w:type="dxa"/>
          <w:left w:w="0" w:type="dxa"/>
          <w:bottom w:w="0" w:type="dxa"/>
          <w:right w:w="0" w:type="dxa"/>
        </w:tblCellMar>
      </w:tblPr>
      <w:tblGrid>
        <w:gridCol w:w="4722"/>
        <w:gridCol w:w="350"/>
        <w:gridCol w:w="165"/>
        <w:gridCol w:w="1179"/>
        <w:gridCol w:w="131"/>
        <w:gridCol w:w="350"/>
        <w:gridCol w:w="165"/>
        <w:gridCol w:w="1179"/>
        <w:gridCol w:w="131"/>
        <w:gridCol w:w="350"/>
        <w:gridCol w:w="165"/>
        <w:gridCol w:w="1179"/>
        <w:gridCol w:w="139"/>
      </w:tblGrid>
      <w:tr>
        <w:trPr/>
        <w:tc>
          <w:tcPr>
            <w:tcW w:w="472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3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3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3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225" w:right="0" w:hanging="225"/>
              <w:rPr/>
            </w:pPr>
            <w:r>
              <w:rPr/>
              <w:t>Cash flows from financing activities:</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450" w:right="0" w:hanging="225"/>
              <w:rPr/>
            </w:pPr>
            <w:r>
              <w:rPr/>
              <w:t>Borrowings on revolving line of credit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23,890,098</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20,886,000</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50,516,255</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450" w:right="0" w:hanging="225"/>
              <w:rPr/>
            </w:pPr>
            <w:r>
              <w:rPr/>
              <w:t>Repayments on revolving line of credit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(15,399,510</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(26,631,146</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(45,064,832</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450" w:right="0" w:hanging="225"/>
              <w:rPr/>
            </w:pPr>
            <w:r>
              <w:rPr/>
              <w:t>Borrowings on long-term debt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20,000,000</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450" w:right="0" w:hanging="225"/>
              <w:rPr/>
            </w:pPr>
            <w:r>
              <w:rPr/>
              <w:t>Principal payments on long-term debt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(7,401,259</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(2,047,837</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450" w:right="0" w:hanging="225"/>
              <w:rPr/>
            </w:pPr>
            <w:r>
              <w:rPr/>
              <w:t>Principal payments on convertible subordinated debentures</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(55,204</w:t>
            </w:r>
          </w:p>
        </w:tc>
        <w:tc>
          <w:tcPr>
            <w:tcW w:w="131"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(60,626</w:t>
            </w:r>
          </w:p>
        </w:tc>
        <w:tc>
          <w:tcPr>
            <w:tcW w:w="131"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(3,926,567</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450" w:right="0" w:hanging="225"/>
              <w:rPr/>
            </w:pPr>
            <w:r>
              <w:rPr/>
              <w:t>Dividend payments</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(21,320,027</w:t>
            </w:r>
          </w:p>
        </w:tc>
        <w:tc>
          <w:tcPr>
            <w:tcW w:w="139" w:type="dxa"/>
            <w:tcBorders/>
            <w:shd w:fill="CCEEFF" w:val="clear"/>
            <w:vAlign w:val="bottom"/>
          </w:tcPr>
          <w:p>
            <w:pPr>
              <w:pStyle w:val="TableContents"/>
              <w:spacing w:before="0" w:after="283"/>
              <w:rPr/>
            </w:pPr>
            <w:r>
              <w:rPr/>
              <w:t>)</w:t>
            </w:r>
          </w:p>
        </w:tc>
      </w:tr>
      <w:tr>
        <w:trPr/>
        <w:tc>
          <w:tcPr>
            <w:tcW w:w="4722" w:type="dxa"/>
            <w:tcBorders/>
            <w:shd w:fill="auto" w:val="clear"/>
            <w:vAlign w:val="bottom"/>
          </w:tcPr>
          <w:p>
            <w:pPr>
              <w:pStyle w:val="TableContents"/>
              <w:spacing w:before="0" w:after="0"/>
              <w:ind w:left="450" w:right="0" w:hanging="225"/>
              <w:rPr/>
            </w:pPr>
            <w:r>
              <w:rPr/>
              <w:t>Purchases of treasury stock</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(4,368,007</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450" w:right="0" w:hanging="225"/>
              <w:rPr/>
            </w:pPr>
            <w:r>
              <w:rPr/>
              <w:t>Sale of treasury stock</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3,168,007</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450" w:right="0" w:hanging="225"/>
              <w:rPr/>
            </w:pPr>
            <w:r>
              <w:rPr/>
              <w:t>Payment of loan commitment fees</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(118,000</w:t>
            </w:r>
          </w:p>
        </w:tc>
        <w:tc>
          <w:tcPr>
            <w:tcW w:w="139" w:type="dxa"/>
            <w:tcBorders/>
            <w:shd w:fill="auto" w:val="clear"/>
            <w:vAlign w:val="bottom"/>
          </w:tcPr>
          <w:p>
            <w:pPr>
              <w:pStyle w:val="TableContents"/>
              <w:spacing w:before="0" w:after="283"/>
              <w:rPr/>
            </w:pPr>
            <w:r>
              <w:rPr/>
              <w:t>)</w:t>
            </w:r>
          </w:p>
        </w:tc>
      </w:tr>
      <w:tr>
        <w:trPr/>
        <w:tc>
          <w:tcPr>
            <w:tcW w:w="4722" w:type="dxa"/>
            <w:tcBorders/>
            <w:shd w:fill="CCEEFF" w:val="clear"/>
            <w:vAlign w:val="bottom"/>
          </w:tcPr>
          <w:p>
            <w:pPr>
              <w:pStyle w:val="TableContents"/>
              <w:spacing w:before="0" w:after="0"/>
              <w:ind w:left="450" w:right="0" w:hanging="225"/>
              <w:rPr/>
            </w:pPr>
            <w:r>
              <w:rPr/>
              <w:t>Loans to shareholder</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(751,961</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(2,234</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900" w:right="0" w:hanging="225"/>
              <w:rPr/>
            </w:pPr>
            <w:r>
              <w:rPr/>
              <w:t>Net cash provided by (used in) financing activities</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282,164</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(5,808,006</w:t>
            </w:r>
          </w:p>
        </w:tc>
        <w:tc>
          <w:tcPr>
            <w:tcW w:w="131"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1179" w:type="dxa"/>
            <w:tcBorders/>
            <w:shd w:fill="auto" w:val="clear"/>
            <w:vAlign w:val="bottom"/>
          </w:tcPr>
          <w:p>
            <w:pPr>
              <w:pStyle w:val="TableContents"/>
              <w:spacing w:before="0" w:after="283"/>
              <w:jc w:val="right"/>
              <w:rPr/>
            </w:pPr>
            <w:r>
              <w:rPr/>
              <w:t>(3,161,008</w:t>
            </w:r>
          </w:p>
        </w:tc>
        <w:tc>
          <w:tcPr>
            <w:tcW w:w="139" w:type="dxa"/>
            <w:tcBorders/>
            <w:shd w:fill="auto" w:val="clear"/>
            <w:vAlign w:val="bottom"/>
          </w:tcPr>
          <w:p>
            <w:pPr>
              <w:pStyle w:val="TableContents"/>
              <w:spacing w:before="0" w:after="283"/>
              <w:rPr/>
            </w:pPr>
            <w:r>
              <w:rPr/>
              <w:t>)</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900" w:right="0" w:hanging="225"/>
              <w:rPr/>
            </w:pPr>
            <w:r>
              <w:rPr/>
              <w:t>Increase (decrease) in cash</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918,783</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pPr>
            <w:r>
              <w:rPr/>
              <w:t>(886,327</w:t>
            </w:r>
          </w:p>
        </w:tc>
        <w:tc>
          <w:tcPr>
            <w:tcW w:w="131"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35,381</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Cash at beginning of year</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727,218</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1,646,001</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759,674</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225" w:right="0" w:hanging="225"/>
              <w:rPr/>
            </w:pPr>
            <w:r>
              <w:rPr/>
              <w:t>Cash at end of year</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1,646,001</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759,674</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795,055</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Supplemental disclosures of cash flow information:</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450" w:right="0" w:hanging="225"/>
              <w:rPr/>
            </w:pPr>
            <w:r>
              <w:rPr/>
              <w:t>Cash paid during the year for:</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675" w:right="0" w:hanging="225"/>
              <w:rPr/>
            </w:pPr>
            <w:r>
              <w:rPr/>
              <w:t>Interest</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1,405,642</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1,103,244</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1179" w:type="dxa"/>
            <w:tcBorders/>
            <w:shd w:fill="auto" w:val="clear"/>
            <w:vAlign w:val="bottom"/>
          </w:tcPr>
          <w:p>
            <w:pPr>
              <w:pStyle w:val="TableContents"/>
              <w:spacing w:before="0" w:after="283"/>
              <w:jc w:val="right"/>
              <w:rPr/>
            </w:pPr>
            <w:r>
              <w:rPr/>
              <w:t>1,902,214</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CCEEFF" w:val="clear"/>
            <w:vAlign w:val="bottom"/>
          </w:tcPr>
          <w:p>
            <w:pPr>
              <w:pStyle w:val="TableContents"/>
              <w:spacing w:before="0" w:after="0"/>
              <w:ind w:left="675" w:right="0" w:hanging="225"/>
              <w:rPr/>
            </w:pPr>
            <w:r>
              <w:rPr/>
              <w:t>Income taxes</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64,200</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164,016</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129,547</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bottom"/>
          </w:tcPr>
          <w:p>
            <w:pPr>
              <w:pStyle w:val="TableContents"/>
              <w:spacing w:before="0" w:after="0"/>
              <w:ind w:left="225" w:right="0" w:hanging="225"/>
              <w:rPr/>
            </w:pPr>
            <w:r>
              <w:rPr/>
              <w:t>Supplemental schedule of non-cash investing activities:</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283"/>
              <w:rPr/>
            </w:pPr>
            <w:r>
              <w:rPr/>
              <w:t> </w:t>
            </w:r>
          </w:p>
        </w:tc>
        <w:tc>
          <w:tcPr>
            <w:tcW w:w="5483" w:type="dxa"/>
            <w:gridSpan w:val="12"/>
            <w:tcBorders/>
            <w:shd w:fill="auto" w:val="clear"/>
          </w:tcPr>
          <w:p>
            <w:pPr>
              <w:pStyle w:val="TableContents"/>
              <w:spacing w:before="0" w:after="283"/>
              <w:rPr>
                <w:sz w:val="4"/>
                <w:szCs w:val="4"/>
              </w:rPr>
            </w:pPr>
            <w:r>
              <w:rPr>
                <w:sz w:val="4"/>
                <w:szCs w:val="4"/>
              </w:rPr>
            </w:r>
          </w:p>
        </w:tc>
      </w:tr>
      <w:tr>
        <w:trPr/>
        <w:tc>
          <w:tcPr>
            <w:tcW w:w="4722" w:type="dxa"/>
            <w:tcBorders/>
            <w:shd w:fill="CCEEFF" w:val="clear"/>
            <w:vAlign w:val="bottom"/>
          </w:tcPr>
          <w:p>
            <w:pPr>
              <w:pStyle w:val="TableContents"/>
              <w:spacing w:before="0" w:after="0"/>
              <w:ind w:left="675" w:right="0" w:hanging="225"/>
              <w:rPr/>
            </w:pPr>
            <w:r>
              <w:rPr/>
              <w:t>Pawn loans forfeited and transferred to inventories</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22,729,284</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28,379,969</w:t>
            </w:r>
          </w:p>
        </w:tc>
        <w:tc>
          <w:tcPr>
            <w:tcW w:w="13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35,676,876</w:t>
            </w:r>
          </w:p>
        </w:tc>
        <w:tc>
          <w:tcPr>
            <w:tcW w:w="139" w:type="dxa"/>
            <w:tcBorders/>
            <w:shd w:fill="CCEEFF" w:val="clear"/>
            <w:vAlign w:val="bottom"/>
          </w:tcPr>
          <w:p>
            <w:pPr>
              <w:pStyle w:val="TableContents"/>
              <w:spacing w:before="0" w:after="283"/>
              <w:rPr/>
            </w:pPr>
            <w:r>
              <w:rPr/>
              <w:t> </w:t>
            </w:r>
          </w:p>
        </w:tc>
      </w:tr>
      <w:tr>
        <w:trPr/>
        <w:tc>
          <w:tcPr>
            <w:tcW w:w="4722" w:type="dxa"/>
            <w:tcBorders/>
            <w:shd w:fill="auto" w:val="clear"/>
            <w:vAlign w:val="center"/>
          </w:tcPr>
          <w:p>
            <w:pPr>
              <w:pStyle w:val="TableContents"/>
              <w:spacing w:before="0" w:after="0"/>
              <w:ind w:left="450" w:right="0" w:hanging="225"/>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3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the accompanying notes to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23" w:name="305"/>
      <w:bookmarkEnd w:id="23"/>
      <w:r>
        <w:rPr>
          <w:rFonts w:ascii="Times New Roman;Times;serif" w:hAnsi="Times New Roman;Times;serif"/>
          <w:b/>
          <w:sz w:val="17"/>
        </w:rPr>
        <w:t>Notes to Consolidated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Restatement of Historical Financial Statements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Value Financial Services, Inc.s (VFS) previously reported financial statements have been adjusted for certain items, summarized as follows:</w:t>
            </w:r>
          </w:p>
        </w:tc>
      </w:tr>
    </w:tbl>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In the consolidated statements of operations, VFS reclassified $1,270,622 and $1,501,432 of depreciation expense for the years ended 2005 and 2006, respectively, which was previously included in general and administrative expenses to store operating expenses, as VFS believes the inclusion of the operating store-related depreciation in store operating expenses is a better presentation of store operating income than as previously reported;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In the consolidated statements of cash flows, VFS recorded $2,003,009, and $1,181,322 for the years ended 2005 and 2006, respectively, as a reduction to cash used to acquire inventories in operating activities and principal recovered on forfeited loans through dispositions in investing activities for the non-cash forfeitures of loans and related collateral, as VFS believes the reduction of cash used to acquire inventories in operating activities and principal recovered on forfeited loans through dispositions in investing activities as it relates to the non-cash activity of forfeited collateral being reclassified to inventories is more reflective as a non-cash financing activity than as cash used in operating as well as cash provided by investing activities, as previously reported;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VFS has amended its consolidated statements of cash flows to report its borrowings and repayments on its revolving line of credit on a gross basis instead of a net basis since the maturity of the line of credit was not short-term in nature and VFS, therefore, concluded that the gross basis was more reflective of cash used in financing activities than as previously reported. That resulted in the amended reported of borrowings of $23,890,098 and $20,886,000 during the years ended 2005 and 2006, respectively, and repayments of $15,399,510, and $26,631,146 during the years ended 2005 and 2006, respectively. VFS had previously reported net borrowings (repayments) of $8,490,588, and ($5,745,146) during the years ended 2005, and 2006, respectively;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VFS has amended its consolidated statements of cash flows to report the supplemental schedule of non-cash investing activities for loans that have forfeited and the related transfer of the collateral to inventories in the amounts of $22,729,284 and $20,886,000 during the years ended 2005 and 2006, respectively.</w:t>
            </w:r>
          </w:p>
        </w:tc>
      </w:tr>
    </w:tbl>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consolidated financial statements reflecting the impact of the restatements noted above were issued to the VFS shareholders in August 2007. As a result, details as to the differences between the amounts previously reported and the restated amounts on each individual financial statement line item is not included in these re-issued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Reporting Entity and Principles of Consolidation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accompanying consolidated financial statements include the accounts of Value Financial Services, Inc. d/b/a Value Pawn and Jewelry Store, Inc. and its wholly-owned subsidiary, Value Pawn Holdings, Inc. (collectively, the Company). All significant intercompany accounts and transactions have been eliminated in consolidation.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Company is a provider of specialty financial services to individuals and offers secured non-recourse loans, commonly referred to as pawn loans, through its pawn lending operations. The pawn loan portfolio generates finance and service charges revenue. A related activity of the lending operations is the sale of inventory, primarily collateral from unredeemed pawn loans. As of December 31, 2005, the Company operated 60 stores, as of December 31, 2006, the Company operated 62 stores, and as of December 31, 2007, the Company operated 64 stores, located in Florida, Georgia, and Tennessee.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 November 2007, the Company organized two new subsidiary companies to operate pawn store locations in Mexico. The new companies, VFS Mexico Services, LLC and VFS Mexico Operations, LLC, are both Limited Liability Companies and are organized under the laws of the State of Florida. The Company intends to open four pawn store locations in Mexico during 2008.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 August 2007, the Companys board of directors approved and the Company filed a registration statement on Form S-1 with the Securities and Exchange Commission for an initial public offering (IPO) of the Companys common stock. In November 2007, the board of directors determined that it was in the best interests of the shareholders to suspend the IPO activities and ultimately cancelled the IPO initiative during early 2008. Over the course of the IPO process, the Company accumulated approximately $1,190,500 of IPO related expenses. These costs include approximately $586,300 in legal, accounting and other fees that were incurred, paid and written off during 2007 and an additional $604,200 of underwriting and accounting fees that were accrued and written off during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(c)</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Use of Estimates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Revenue Recognition and Loans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(e)</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Allowance for Pawn Service Charges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Due to the short-term nature of pawn loans, the Company can quickly identify performance trends.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(f)</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Inventories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$283,000 as of December 31, 2005 and December 31, 2006, and $333,000 as of December 31, 2007, respectively.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2"/>
        <w:gridCol w:w="310"/>
        <w:gridCol w:w="102"/>
        <w:gridCol w:w="9591"/>
      </w:tblGrid>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b/>
                <w:i/>
              </w:rPr>
            </w:pPr>
            <w:r>
              <w:rPr>
                <w:b/>
                <w:i/>
              </w:rPr>
              <w:t>(g)</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b/>
                <w:i/>
              </w:rPr>
            </w:pPr>
            <w:r>
              <w:rPr>
                <w:b/>
                <w:i/>
              </w:rPr>
              <w:t>Property and Equipment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b/>
                <w:i/>
              </w:rPr>
            </w:pPr>
            <w:r>
              <w:rPr>
                <w:b/>
                <w:i/>
              </w:rPr>
              <w:t>(h)</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b/>
                <w:i/>
              </w:rPr>
            </w:pPr>
            <w:r>
              <w:rPr>
                <w:b/>
                <w:i/>
              </w:rPr>
              <w:t>Goodwill</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b/>
                <w:i/>
              </w:rPr>
            </w:pPr>
            <w:r>
              <w:rPr>
                <w:b/>
                <w:i/>
              </w:rPr>
              <w:t>(i)</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b/>
                <w:i/>
              </w:rPr>
            </w:pPr>
            <w:r>
              <w:rPr>
                <w:b/>
                <w:i/>
              </w:rPr>
              <w:t>Impairment of Long-Lived Assets and Long-Lived Assets to be Disposed Of</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b/>
                <w:i/>
              </w:rPr>
            </w:pPr>
            <w:r>
              <w:rPr>
                <w:b/>
                <w:i/>
              </w:rPr>
              <w:t>(j)</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b/>
                <w:i/>
              </w:rPr>
            </w:pPr>
            <w:r>
              <w:rPr>
                <w:b/>
                <w:i/>
              </w:rPr>
              <w:t>Customer Layaway Deposits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Interim payments from customers on layaway sales are credited to customer layaway deposits and are recorded as sales during the period in which final payment is received.</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b/>
                <w:i/>
              </w:rPr>
            </w:pPr>
            <w:r>
              <w:rPr>
                <w:b/>
                <w:i/>
              </w:rPr>
              <w:t>(k)</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b/>
                <w:i/>
              </w:rPr>
            </w:pPr>
            <w:r>
              <w:rPr>
                <w:b/>
                <w:i/>
              </w:rPr>
              <w:t>Deferred Rent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Certain operating lease agreements provide for scheduled rent increases over the lease term. As such, the rental payments are accrued and charged to expense on a straight-line basis.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(l)</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Income Taxes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 See Note 4.</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Management must evaluate tax positions taken on the Companys tax returns for all periods that are open to examination by taxing authorities and make a judgment as to whether and to what extent such positions are more likely than not to be sustained based on merit. Management judgment is required in determining the provision for income taxes, the deferred tax assets and liabilities and any valuation allowance recorded against deferred tax assets. Management judgment is also required in evaluating whether tax benefits meet the more-likely-than-not threshold for recognition under FIN 48.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It is the Companys policy to classify interest and penalties on income tax liabilities as interest expense and administrative expense, respectively. The Company did not change its policy on classification of such amounts upon adoption of FIN 48.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6"/>
        <w:gridCol w:w="365"/>
        <w:gridCol w:w="109"/>
        <w:gridCol w:w="9525"/>
      </w:tblGrid>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b/>
                <w:i/>
              </w:rPr>
            </w:pPr>
            <w:r>
              <w:rPr>
                <w:b/>
                <w:i/>
              </w:rPr>
              <w:t>(m)</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b/>
                <w:i/>
              </w:rPr>
            </w:pPr>
            <w:r>
              <w:rPr>
                <w:b/>
                <w:i/>
              </w:rPr>
              <w:t>Operations and Administration Expenses</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pPr>
            <w:r>
              <w:rPr/>
              <w:t>Operations expenses include expenses incurred for personnel; occupancy and marketing that are directly related to the pawn lending operations. These costs are incurred within the lending locations. In addition, similar costs related to non-home office management and supervision and oversight of locations are included in operations expenses. Administration expenses include expenses incurred for personnel and general office activities such as accounting and legal directly related to corporate administrative functions.</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b/>
                <w:i/>
              </w:rPr>
            </w:pPr>
            <w:r>
              <w:rPr>
                <w:b/>
                <w:i/>
              </w:rPr>
              <w:t>(n)</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b/>
                <w:i/>
              </w:rPr>
            </w:pPr>
            <w:r>
              <w:rPr>
                <w:b/>
                <w:i/>
              </w:rPr>
              <w:t>Hedging and Derivatives Activity</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pPr>
            <w:r>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As of December 31, 2007, the Company had an interest rate derivative with a notional amount of $13,500,000 which effectively converted a portion of the Companys debt from a variable rate of interest based on one-month LIBOR plus a margin determined on the basis of the Companys quarterly funded debt to EBITDA ratio to a fixed LIBOR rate of 5.73% plus the same margin. The fair value of this interest rate swap was a liability of $552,748 which has been recorded as a non-current liability and the change in the fair value as an increase in interest expense in the accompany consolidated financial statements.</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b/>
                <w:i/>
              </w:rPr>
            </w:pPr>
            <w:r>
              <w:rPr>
                <w:b/>
                <w:i/>
              </w:rPr>
              <w:t>(o)</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b/>
                <w:i/>
              </w:rPr>
            </w:pPr>
            <w:r>
              <w:rPr>
                <w:b/>
                <w:i/>
              </w:rPr>
              <w:t>Accounting for Stock-Based Compensation</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pPr>
            <w:r>
              <w:rPr/>
              <w:t>Effective January 1, 2006, the Company adopted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pPr>
            <w:r>
              <w:rPr/>
              <w:t>Prior to January 1, 2006, the Company accounted for stock options under the recognition and measurement provisions of APB Opinion No. 25, Accounting for Stock Issue to Employees, and related interpretations, as permitted by FASB Statement No. 123, Accounting for Stock-Based Compensation. No stock-based employee compensation cost was recognized in the accompanying consolidated statement of operations for the year ended December 31, 2005 as all options granted under the Plan had an exercise price equal to the market value of the underlying common stock on the date of grant.</w:t>
            </w:r>
          </w:p>
        </w:tc>
      </w:tr>
      <w:tr>
        <w:trPr/>
        <w:tc>
          <w:tcPr>
            <w:tcW w:w="206" w:type="dxa"/>
            <w:tcBorders/>
            <w:shd w:fill="auto" w:val="clear"/>
            <w:vAlign w:val="center"/>
          </w:tcPr>
          <w:p>
            <w:pPr>
              <w:pStyle w:val="TableContents"/>
              <w:spacing w:before="0" w:after="283"/>
              <w:rPr/>
            </w:pPr>
            <w:r>
              <w:rPr/>
              <w:t> </w:t>
            </w:r>
          </w:p>
        </w:tc>
        <w:tc>
          <w:tcPr>
            <w:tcW w:w="9999" w:type="dxa"/>
            <w:gridSpan w:val="3"/>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25" w:type="dxa"/>
            <w:tcBorders/>
            <w:shd w:fill="auto" w:val="clear"/>
          </w:tcPr>
          <w:p>
            <w:pPr>
              <w:pStyle w:val="TableContents"/>
              <w:spacing w:before="0" w:after="283"/>
              <w:rPr/>
            </w:pPr>
            <w:r>
              <w:rPr/>
              <w:t>Results for prior periods have not been restated to reflect the impact of adopting the new standard. Pro forma net income and reported net income were the same for the year ended December 31, 2005 as there were no material stock options requiring amortization of cost.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(p)</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Concentration of Credit Risk</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Financial instruments, which potentially subject the Company to concentrations of credit risk, consist principally of cash and loans. The Company places its cash with high credit quality financial institutions. At various times throughout the years ended December 31, 2006 and 2007 some deposits held at financial institutions were in excess of federally insured limits. However, the Company has not experienced any losses in such accounts and management believes the Company is not exposed to any significant credit risk on these accounts.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Almost all of the Companys pawn loans are to customers whose ability to pay is dependent upon the economics prevailing in their locations; however, concentrations of credit risk with respect to pawn loans are limited due to the large number of customers and generally short payment terms. The Company also requires a pledge of tangible personal property to help further reduce credit risk.</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(q)</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Recent Accounting Pronouncements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SFAS No. 157 will be effective for fiscal years beginning after November 15, 2007 and interim periods within those fiscal years. In December 2007, FASB issued proposed FASB Staff Position (FSP) FAS 157-b, which delays the effective date of SFAS No. 157 for nonfinancial assets and nonfinancial liabilities that are recognized or disclosed in the financial statements on a nonrecurring basis. The proposed FSP partially defers the effective date of SFAS No. 157 to fiscal years beginning after November 15, 2008 and interim periods within those fiscal years for items within the scope of this FSP. The Company does not expect SFAS No. 157 to have a material effect on the Companys consolidated financial position or results of operations, but anticipates additional disclosures when SFAS No. 157 becomes effective.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will be effective for fiscal years beginning after November 15, 2007. The Company does not expect SFAS No. 159 to have a material effect on the Companys consolidated financial position or results of operations.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3"/>
        <w:gridCol w:w="9778"/>
      </w:tblGrid>
      <w:tr>
        <w:trPr/>
        <w:tc>
          <w:tcPr>
            <w:tcW w:w="294" w:type="dxa"/>
            <w:tcBorders/>
            <w:shd w:fill="auto" w:val="clear"/>
          </w:tcPr>
          <w:p>
            <w:pPr>
              <w:pStyle w:val="TableContents"/>
              <w:spacing w:before="0" w:after="283"/>
              <w:jc w:val="left"/>
              <w:rPr>
                <w:b/>
              </w:rPr>
            </w:pPr>
            <w:r>
              <w:rPr>
                <w:b/>
              </w:rPr>
              <w:t>(1)</w:t>
            </w:r>
          </w:p>
        </w:tc>
        <w:tc>
          <w:tcPr>
            <w:tcW w:w="133"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Summary of Significant Accounting Policies, Continued</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(q)</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Recent Accounting Pronouncements, Continued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(r)</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Reclassifications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Certain amounts in the consolidated financial statements for 2005 and 2006 have been reclassified to conform to the presentation format adopted in 2007 (see Note 1(a)). These reclassifications have no effect on net income or shareholders equity as previously reported.</w:t>
            </w:r>
          </w:p>
        </w:tc>
      </w:tr>
    </w:tbl>
    <w:tbl>
      <w:tblPr>
        <w:tblW w:w="5000" w:type="pct"/>
        <w:jc w:val="left"/>
        <w:tblInd w:w="0" w:type="dxa"/>
        <w:tblCellMar>
          <w:top w:w="0" w:type="dxa"/>
          <w:left w:w="0" w:type="dxa"/>
          <w:bottom w:w="0" w:type="dxa"/>
          <w:right w:w="0" w:type="dxa"/>
        </w:tblCellMar>
      </w:tblPr>
      <w:tblGrid>
        <w:gridCol w:w="301"/>
        <w:gridCol w:w="133"/>
        <w:gridCol w:w="9771"/>
      </w:tblGrid>
      <w:tr>
        <w:trPr/>
        <w:tc>
          <w:tcPr>
            <w:tcW w:w="301" w:type="dxa"/>
            <w:tcBorders/>
            <w:shd w:fill="auto" w:val="clear"/>
          </w:tcPr>
          <w:p>
            <w:pPr>
              <w:pStyle w:val="TableContents"/>
              <w:spacing w:before="0" w:after="283"/>
              <w:jc w:val="left"/>
              <w:rPr>
                <w:b/>
              </w:rPr>
            </w:pPr>
            <w:r>
              <w:rPr>
                <w:b/>
              </w:rPr>
              <w:t>(2)</w:t>
            </w:r>
          </w:p>
        </w:tc>
        <w:tc>
          <w:tcPr>
            <w:tcW w:w="133" w:type="dxa"/>
            <w:tcBorders/>
            <w:shd w:fill="auto" w:val="clear"/>
          </w:tcPr>
          <w:p>
            <w:pPr>
              <w:pStyle w:val="TableContents"/>
              <w:spacing w:before="0" w:after="283"/>
              <w:rPr/>
            </w:pPr>
            <w:r>
              <w:rPr/>
              <w:t> </w:t>
            </w:r>
          </w:p>
        </w:tc>
        <w:tc>
          <w:tcPr>
            <w:tcW w:w="9771" w:type="dxa"/>
            <w:tcBorders/>
            <w:shd w:fill="auto" w:val="clear"/>
          </w:tcPr>
          <w:p>
            <w:pPr>
              <w:pStyle w:val="TableContents"/>
              <w:spacing w:before="0" w:after="283"/>
              <w:rPr>
                <w:b/>
              </w:rPr>
            </w:pPr>
            <w:r>
              <w:rPr>
                <w:b/>
              </w:rPr>
              <w:t>Property and Equipment</w:t>
            </w:r>
          </w:p>
        </w:tc>
      </w:tr>
      <w:tr>
        <w:trPr/>
        <w:tc>
          <w:tcPr>
            <w:tcW w:w="301" w:type="dxa"/>
            <w:tcBorders/>
            <w:shd w:fill="auto" w:val="clear"/>
            <w:vAlign w:val="center"/>
          </w:tcPr>
          <w:p>
            <w:pPr>
              <w:pStyle w:val="TableContents"/>
              <w:spacing w:before="0" w:after="283"/>
              <w:rPr/>
            </w:pPr>
            <w:r>
              <w:rPr/>
              <w:t> </w:t>
            </w:r>
          </w:p>
        </w:tc>
        <w:tc>
          <w:tcPr>
            <w:tcW w:w="9904" w:type="dxa"/>
            <w:gridSpan w:val="2"/>
            <w:tcBorders/>
            <w:shd w:fill="auto" w:val="clea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71" w:type="dxa"/>
            <w:tcBorders/>
            <w:shd w:fill="auto" w:val="clear"/>
          </w:tcPr>
          <w:p>
            <w:pPr>
              <w:pStyle w:val="TableContents"/>
              <w:spacing w:before="0" w:after="283"/>
              <w:rPr/>
            </w:pPr>
            <w:r>
              <w:rPr/>
              <w:t>Major classifications of property and equipment are as follows:</w:t>
            </w:r>
          </w:p>
        </w:tc>
      </w:tr>
    </w:tbl>
    <w:tbl>
      <w:tblPr>
        <w:tblW w:w="5000" w:type="pct"/>
        <w:jc w:val="center"/>
        <w:tblInd w:w="0" w:type="dxa"/>
        <w:tblCellMar>
          <w:top w:w="0" w:type="dxa"/>
          <w:left w:w="0" w:type="dxa"/>
          <w:bottom w:w="0" w:type="dxa"/>
          <w:right w:w="0" w:type="dxa"/>
        </w:tblCellMar>
      </w:tblPr>
      <w:tblGrid>
        <w:gridCol w:w="1412"/>
        <w:gridCol w:w="109"/>
        <w:gridCol w:w="168"/>
        <w:gridCol w:w="1101"/>
        <w:gridCol w:w="89"/>
        <w:gridCol w:w="109"/>
        <w:gridCol w:w="168"/>
        <w:gridCol w:w="1176"/>
        <w:gridCol w:w="123"/>
        <w:gridCol w:w="108"/>
        <w:gridCol w:w="168"/>
        <w:gridCol w:w="982"/>
        <w:gridCol w:w="89"/>
        <w:gridCol w:w="109"/>
        <w:gridCol w:w="168"/>
        <w:gridCol w:w="1101"/>
        <w:gridCol w:w="89"/>
        <w:gridCol w:w="109"/>
        <w:gridCol w:w="167"/>
        <w:gridCol w:w="1176"/>
        <w:gridCol w:w="123"/>
        <w:gridCol w:w="109"/>
        <w:gridCol w:w="168"/>
        <w:gridCol w:w="982"/>
        <w:gridCol w:w="102"/>
      </w:tblGrid>
      <w:tr>
        <w:trPr/>
        <w:tc>
          <w:tcPr>
            <w:tcW w:w="141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141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81"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2005</w:t>
            </w:r>
          </w:p>
        </w:tc>
        <w:tc>
          <w:tcPr>
            <w:tcW w:w="109" w:type="dxa"/>
            <w:tcBorders/>
            <w:shd w:fill="auto" w:val="clear"/>
            <w:vAlign w:val="bottom"/>
          </w:tcPr>
          <w:p>
            <w:pPr>
              <w:pStyle w:val="TableContents"/>
              <w:spacing w:before="0" w:after="283"/>
              <w:rPr/>
            </w:pPr>
            <w:r>
              <w:rPr/>
              <w:t> </w:t>
            </w:r>
          </w:p>
        </w:tc>
        <w:tc>
          <w:tcPr>
            <w:tcW w:w="429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r>
      <w:tr>
        <w:trPr/>
        <w:tc>
          <w:tcPr>
            <w:tcW w:w="141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467" w:type="dxa"/>
            <w:gridSpan w:val="3"/>
            <w:tcBorders/>
            <w:shd w:fill="auto" w:val="clear"/>
            <w:vAlign w:val="bottom"/>
          </w:tcPr>
          <w:p>
            <w:pPr>
              <w:pStyle w:val="TableContents"/>
              <w:spacing w:before="0" w:after="283"/>
              <w:jc w:val="center"/>
              <w:rPr>
                <w:b/>
              </w:rPr>
            </w:pPr>
            <w:r>
              <w:rPr>
                <w:b/>
              </w:rPr>
              <w:t>Accumulated</w:t>
            </w:r>
          </w:p>
        </w:tc>
        <w:tc>
          <w:tcPr>
            <w:tcW w:w="10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466" w:type="dxa"/>
            <w:gridSpan w:val="3"/>
            <w:tcBorders/>
            <w:shd w:fill="auto" w:val="clear"/>
            <w:vAlign w:val="bottom"/>
          </w:tcPr>
          <w:p>
            <w:pPr>
              <w:pStyle w:val="TableContents"/>
              <w:spacing w:before="0" w:after="283"/>
              <w:jc w:val="center"/>
              <w:rPr>
                <w:b/>
              </w:rPr>
            </w:pPr>
            <w:r>
              <w:rPr>
                <w:b/>
              </w:rPr>
              <w:t>Accumulated</w:t>
            </w:r>
          </w:p>
        </w:tc>
        <w:tc>
          <w:tcPr>
            <w:tcW w:w="109" w:type="dxa"/>
            <w:tcBorders/>
            <w:shd w:fill="auto" w:val="clear"/>
            <w:vAlign w:val="bottom"/>
          </w:tcPr>
          <w:p>
            <w:pPr>
              <w:pStyle w:val="TableContents"/>
              <w:spacing w:before="0" w:after="283"/>
              <w:rPr/>
            </w:pPr>
            <w:r>
              <w:rPr/>
              <w:t> </w:t>
            </w:r>
          </w:p>
        </w:tc>
        <w:tc>
          <w:tcPr>
            <w:tcW w:w="1252" w:type="dxa"/>
            <w:gridSpan w:val="3"/>
            <w:tcBorders/>
            <w:shd w:fill="auto" w:val="clear"/>
            <w:vAlign w:val="bottom"/>
          </w:tcPr>
          <w:p>
            <w:pPr>
              <w:pStyle w:val="TableContents"/>
              <w:spacing w:before="0" w:after="283"/>
              <w:jc w:val="center"/>
              <w:rPr/>
            </w:pPr>
            <w:r>
              <w:rPr/>
              <w:t> </w:t>
            </w:r>
          </w:p>
        </w:tc>
      </w:tr>
      <w:tr>
        <w:trPr/>
        <w:tc>
          <w:tcPr>
            <w:tcW w:w="141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58" w:type="dxa"/>
            <w:gridSpan w:val="3"/>
            <w:tcBorders/>
            <w:shd w:fill="auto" w:val="clear"/>
            <w:vAlign w:val="bottom"/>
          </w:tcPr>
          <w:p>
            <w:pPr>
              <w:pStyle w:val="TableContents"/>
              <w:spacing w:before="0" w:after="283"/>
              <w:jc w:val="center"/>
              <w:rPr>
                <w:b/>
              </w:rPr>
            </w:pPr>
            <w:r>
              <w:rPr>
                <w:b/>
              </w:rPr>
              <w:t>Cost</w:t>
            </w:r>
          </w:p>
        </w:tc>
        <w:tc>
          <w:tcPr>
            <w:tcW w:w="109" w:type="dxa"/>
            <w:tcBorders/>
            <w:shd w:fill="auto" w:val="clear"/>
            <w:vAlign w:val="bottom"/>
          </w:tcPr>
          <w:p>
            <w:pPr>
              <w:pStyle w:val="TableContents"/>
              <w:spacing w:before="0" w:after="283"/>
              <w:rPr/>
            </w:pPr>
            <w:r>
              <w:rPr/>
              <w:t> </w:t>
            </w:r>
          </w:p>
        </w:tc>
        <w:tc>
          <w:tcPr>
            <w:tcW w:w="1467" w:type="dxa"/>
            <w:gridSpan w:val="3"/>
            <w:tcBorders/>
            <w:shd w:fill="auto" w:val="clear"/>
            <w:vAlign w:val="bottom"/>
          </w:tcPr>
          <w:p>
            <w:pPr>
              <w:pStyle w:val="TableContents"/>
              <w:spacing w:before="0" w:after="283"/>
              <w:jc w:val="center"/>
              <w:rPr>
                <w:b/>
              </w:rPr>
            </w:pPr>
            <w:r>
              <w:rPr>
                <w:b/>
              </w:rPr>
              <w:t>Depreciation</w:t>
            </w:r>
          </w:p>
        </w:tc>
        <w:tc>
          <w:tcPr>
            <w:tcW w:w="108" w:type="dxa"/>
            <w:tcBorders/>
            <w:shd w:fill="auto" w:val="clear"/>
            <w:vAlign w:val="bottom"/>
          </w:tcPr>
          <w:p>
            <w:pPr>
              <w:pStyle w:val="TableContents"/>
              <w:spacing w:before="0" w:after="283"/>
              <w:rPr/>
            </w:pPr>
            <w:r>
              <w:rPr/>
              <w:t> </w:t>
            </w:r>
          </w:p>
        </w:tc>
        <w:tc>
          <w:tcPr>
            <w:tcW w:w="1239" w:type="dxa"/>
            <w:gridSpan w:val="3"/>
            <w:tcBorders/>
            <w:shd w:fill="auto" w:val="clear"/>
            <w:vAlign w:val="bottom"/>
          </w:tcPr>
          <w:p>
            <w:pPr>
              <w:pStyle w:val="TableContents"/>
              <w:spacing w:before="0" w:after="283"/>
              <w:jc w:val="center"/>
              <w:rPr>
                <w:b/>
              </w:rPr>
            </w:pPr>
            <w:r>
              <w:rPr>
                <w:b/>
              </w:rPr>
              <w:t>Net</w:t>
            </w:r>
          </w:p>
        </w:tc>
        <w:tc>
          <w:tcPr>
            <w:tcW w:w="109" w:type="dxa"/>
            <w:tcBorders/>
            <w:shd w:fill="auto" w:val="clear"/>
            <w:vAlign w:val="bottom"/>
          </w:tcPr>
          <w:p>
            <w:pPr>
              <w:pStyle w:val="TableContents"/>
              <w:spacing w:before="0" w:after="283"/>
              <w:rPr/>
            </w:pPr>
            <w:r>
              <w:rPr/>
              <w:t> </w:t>
            </w:r>
          </w:p>
        </w:tc>
        <w:tc>
          <w:tcPr>
            <w:tcW w:w="1358" w:type="dxa"/>
            <w:gridSpan w:val="3"/>
            <w:tcBorders/>
            <w:shd w:fill="auto" w:val="clear"/>
            <w:vAlign w:val="bottom"/>
          </w:tcPr>
          <w:p>
            <w:pPr>
              <w:pStyle w:val="TableContents"/>
              <w:spacing w:before="0" w:after="283"/>
              <w:jc w:val="center"/>
              <w:rPr>
                <w:b/>
              </w:rPr>
            </w:pPr>
            <w:r>
              <w:rPr>
                <w:b/>
              </w:rPr>
              <w:t>Cost</w:t>
            </w:r>
          </w:p>
        </w:tc>
        <w:tc>
          <w:tcPr>
            <w:tcW w:w="109" w:type="dxa"/>
            <w:tcBorders/>
            <w:shd w:fill="auto" w:val="clear"/>
            <w:vAlign w:val="bottom"/>
          </w:tcPr>
          <w:p>
            <w:pPr>
              <w:pStyle w:val="TableContents"/>
              <w:spacing w:before="0" w:after="283"/>
              <w:rPr/>
            </w:pPr>
            <w:r>
              <w:rPr/>
              <w:t> </w:t>
            </w:r>
          </w:p>
        </w:tc>
        <w:tc>
          <w:tcPr>
            <w:tcW w:w="1466" w:type="dxa"/>
            <w:gridSpan w:val="3"/>
            <w:tcBorders/>
            <w:shd w:fill="auto" w:val="clear"/>
            <w:vAlign w:val="bottom"/>
          </w:tcPr>
          <w:p>
            <w:pPr>
              <w:pStyle w:val="TableContents"/>
              <w:spacing w:before="0" w:after="283"/>
              <w:jc w:val="center"/>
              <w:rPr>
                <w:b/>
              </w:rPr>
            </w:pPr>
            <w:r>
              <w:rPr>
                <w:b/>
              </w:rPr>
              <w:t>Depreciation</w:t>
            </w:r>
          </w:p>
        </w:tc>
        <w:tc>
          <w:tcPr>
            <w:tcW w:w="109" w:type="dxa"/>
            <w:tcBorders/>
            <w:shd w:fill="auto" w:val="clear"/>
            <w:vAlign w:val="bottom"/>
          </w:tcPr>
          <w:p>
            <w:pPr>
              <w:pStyle w:val="TableContents"/>
              <w:spacing w:before="0" w:after="283"/>
              <w:rPr/>
            </w:pPr>
            <w:r>
              <w:rPr/>
              <w:t> </w:t>
            </w:r>
          </w:p>
        </w:tc>
        <w:tc>
          <w:tcPr>
            <w:tcW w:w="1252" w:type="dxa"/>
            <w:gridSpan w:val="3"/>
            <w:tcBorders/>
            <w:shd w:fill="auto" w:val="clear"/>
            <w:vAlign w:val="bottom"/>
          </w:tcPr>
          <w:p>
            <w:pPr>
              <w:pStyle w:val="TableContents"/>
              <w:spacing w:before="0" w:after="283"/>
              <w:jc w:val="center"/>
              <w:rPr>
                <w:b/>
              </w:rPr>
            </w:pPr>
            <w:r>
              <w:rPr>
                <w:b/>
              </w:rPr>
              <w:t>Net</w:t>
            </w:r>
          </w:p>
        </w:tc>
      </w:tr>
      <w:tr>
        <w:trPr/>
        <w:tc>
          <w:tcPr>
            <w:tcW w:w="10205"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412" w:type="dxa"/>
            <w:tcBorders/>
            <w:shd w:fill="CCEEFF" w:val="clear"/>
            <w:vAlign w:val="bottom"/>
          </w:tcPr>
          <w:p>
            <w:pPr>
              <w:pStyle w:val="TableContents"/>
              <w:spacing w:before="0" w:after="0"/>
              <w:ind w:left="225" w:right="0" w:hanging="225"/>
              <w:rPr/>
            </w:pPr>
            <w:r>
              <w:rPr/>
              <w:t>Leasehold Improvements</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7,867,864</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1176" w:type="dxa"/>
            <w:tcBorders/>
            <w:shd w:fill="CCEEFF" w:val="clear"/>
            <w:vAlign w:val="bottom"/>
          </w:tcPr>
          <w:p>
            <w:pPr>
              <w:pStyle w:val="TableContents"/>
              <w:spacing w:before="0" w:after="283"/>
              <w:jc w:val="right"/>
              <w:rPr/>
            </w:pPr>
            <w:r>
              <w:rPr/>
              <w:t>(3,687,631</w:t>
            </w:r>
          </w:p>
        </w:tc>
        <w:tc>
          <w:tcPr>
            <w:tcW w:w="123" w:type="dxa"/>
            <w:tcBorders/>
            <w:shd w:fill="CCEEFF" w:val="clear"/>
            <w:vAlign w:val="bottom"/>
          </w:tcPr>
          <w:p>
            <w:pPr>
              <w:pStyle w:val="TableContents"/>
              <w:spacing w:before="0" w:after="283"/>
              <w:rPr/>
            </w:pPr>
            <w:r>
              <w:rPr/>
              <w:t>)</w:t>
            </w:r>
          </w:p>
        </w:tc>
        <w:tc>
          <w:tcPr>
            <w:tcW w:w="10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4,180,233</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8,158,693</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w:t>
            </w:r>
          </w:p>
        </w:tc>
        <w:tc>
          <w:tcPr>
            <w:tcW w:w="1176" w:type="dxa"/>
            <w:tcBorders/>
            <w:shd w:fill="CCEEFF" w:val="clear"/>
            <w:vAlign w:val="bottom"/>
          </w:tcPr>
          <w:p>
            <w:pPr>
              <w:pStyle w:val="TableContents"/>
              <w:spacing w:before="0" w:after="283"/>
              <w:jc w:val="right"/>
              <w:rPr/>
            </w:pPr>
            <w:r>
              <w:rPr/>
              <w:t>(4,306,828</w:t>
            </w:r>
          </w:p>
        </w:tc>
        <w:tc>
          <w:tcPr>
            <w:tcW w:w="123" w:type="dxa"/>
            <w:tcBorders/>
            <w:shd w:fill="CCEEFF" w:val="clear"/>
            <w:vAlign w:val="bottom"/>
          </w:tcPr>
          <w:p>
            <w:pPr>
              <w:pStyle w:val="TableContents"/>
              <w:spacing w:before="0" w:after="283"/>
              <w:rPr/>
            </w:pPr>
            <w:r>
              <w:rPr/>
              <w:t>)</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3,851,865</w:t>
            </w:r>
          </w:p>
        </w:tc>
        <w:tc>
          <w:tcPr>
            <w:tcW w:w="102" w:type="dxa"/>
            <w:tcBorders/>
            <w:shd w:fill="CCEEFF" w:val="clear"/>
            <w:vAlign w:val="bottom"/>
          </w:tcPr>
          <w:p>
            <w:pPr>
              <w:pStyle w:val="TableContents"/>
              <w:spacing w:before="0" w:after="283"/>
              <w:rPr/>
            </w:pPr>
            <w:r>
              <w:rPr/>
              <w:t> </w:t>
            </w:r>
          </w:p>
        </w:tc>
      </w:tr>
      <w:tr>
        <w:trPr/>
        <w:tc>
          <w:tcPr>
            <w:tcW w:w="1412" w:type="dxa"/>
            <w:tcBorders/>
            <w:shd w:fill="auto" w:val="clear"/>
            <w:vAlign w:val="bottom"/>
          </w:tcPr>
          <w:p>
            <w:pPr>
              <w:pStyle w:val="TableContents"/>
              <w:spacing w:before="0" w:after="0"/>
              <w:ind w:left="225" w:right="0" w:hanging="225"/>
              <w:rPr/>
            </w:pPr>
            <w:r>
              <w:rPr/>
              <w:t>Furniture and fixtures</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6,573,471</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 </w:t>
            </w:r>
          </w:p>
        </w:tc>
        <w:tc>
          <w:tcPr>
            <w:tcW w:w="1176" w:type="dxa"/>
            <w:tcBorders/>
            <w:shd w:fill="auto" w:val="clear"/>
            <w:vAlign w:val="bottom"/>
          </w:tcPr>
          <w:p>
            <w:pPr>
              <w:pStyle w:val="TableContents"/>
              <w:spacing w:before="0" w:after="283"/>
              <w:jc w:val="right"/>
              <w:rPr/>
            </w:pPr>
            <w:r>
              <w:rPr/>
              <w:t>(4,130,274</w:t>
            </w:r>
          </w:p>
        </w:tc>
        <w:tc>
          <w:tcPr>
            <w:tcW w:w="123"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2,443,197</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7,031,872</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 </w:t>
            </w:r>
          </w:p>
        </w:tc>
        <w:tc>
          <w:tcPr>
            <w:tcW w:w="1176" w:type="dxa"/>
            <w:tcBorders/>
            <w:shd w:fill="auto" w:val="clear"/>
            <w:vAlign w:val="bottom"/>
          </w:tcPr>
          <w:p>
            <w:pPr>
              <w:pStyle w:val="TableContents"/>
              <w:spacing w:before="0" w:after="283"/>
              <w:jc w:val="right"/>
              <w:rPr/>
            </w:pPr>
            <w:r>
              <w:rPr/>
              <w:t>(4,803,003</w:t>
            </w:r>
          </w:p>
        </w:tc>
        <w:tc>
          <w:tcPr>
            <w:tcW w:w="123" w:type="dxa"/>
            <w:tcBorders/>
            <w:shd w:fill="auto" w:val="clear"/>
            <w:vAlign w:val="bottom"/>
          </w:tcPr>
          <w:p>
            <w:pPr>
              <w:pStyle w:val="TableContents"/>
              <w:spacing w:before="0" w:after="283"/>
              <w:rPr/>
            </w:pPr>
            <w:r>
              <w:rPr/>
              <w:t>)</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2,228,869</w:t>
            </w:r>
          </w:p>
        </w:tc>
        <w:tc>
          <w:tcPr>
            <w:tcW w:w="102" w:type="dxa"/>
            <w:tcBorders/>
            <w:shd w:fill="auto" w:val="clear"/>
            <w:vAlign w:val="bottom"/>
          </w:tcPr>
          <w:p>
            <w:pPr>
              <w:pStyle w:val="TableContents"/>
              <w:spacing w:before="0" w:after="283"/>
              <w:rPr/>
            </w:pPr>
            <w:r>
              <w:rPr/>
              <w:t> </w:t>
            </w:r>
          </w:p>
        </w:tc>
      </w:tr>
      <w:tr>
        <w:trPr/>
        <w:tc>
          <w:tcPr>
            <w:tcW w:w="1412" w:type="dxa"/>
            <w:tcBorders/>
            <w:shd w:fill="CCEEFF" w:val="clear"/>
            <w:vAlign w:val="bottom"/>
          </w:tcPr>
          <w:p>
            <w:pPr>
              <w:pStyle w:val="TableContents"/>
              <w:spacing w:before="0" w:after="0"/>
              <w:ind w:left="225" w:right="0" w:hanging="225"/>
              <w:rPr/>
            </w:pPr>
            <w:r>
              <w:rPr/>
              <w:t>Equipment</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3,293,678</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 </w:t>
            </w:r>
          </w:p>
        </w:tc>
        <w:tc>
          <w:tcPr>
            <w:tcW w:w="1176" w:type="dxa"/>
            <w:tcBorders/>
            <w:shd w:fill="CCEEFF" w:val="clear"/>
            <w:vAlign w:val="bottom"/>
          </w:tcPr>
          <w:p>
            <w:pPr>
              <w:pStyle w:val="TableContents"/>
              <w:spacing w:before="0" w:after="283"/>
              <w:jc w:val="right"/>
              <w:rPr/>
            </w:pPr>
            <w:r>
              <w:rPr/>
              <w:t>(2,790,948</w:t>
            </w:r>
          </w:p>
        </w:tc>
        <w:tc>
          <w:tcPr>
            <w:tcW w:w="123" w:type="dxa"/>
            <w:tcBorders/>
            <w:shd w:fill="CCEEFF" w:val="clear"/>
            <w:vAlign w:val="bottom"/>
          </w:tcPr>
          <w:p>
            <w:pPr>
              <w:pStyle w:val="TableContents"/>
              <w:spacing w:before="0" w:after="283"/>
              <w:rPr/>
            </w:pPr>
            <w:r>
              <w:rPr/>
              <w:t>)</w:t>
            </w:r>
          </w:p>
        </w:tc>
        <w:tc>
          <w:tcPr>
            <w:tcW w:w="10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502,730</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3,512,997</w:t>
            </w:r>
          </w:p>
        </w:tc>
        <w:tc>
          <w:tcPr>
            <w:tcW w:w="8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 </w:t>
            </w:r>
          </w:p>
        </w:tc>
        <w:tc>
          <w:tcPr>
            <w:tcW w:w="1176" w:type="dxa"/>
            <w:tcBorders/>
            <w:shd w:fill="CCEEFF" w:val="clear"/>
            <w:vAlign w:val="bottom"/>
          </w:tcPr>
          <w:p>
            <w:pPr>
              <w:pStyle w:val="TableContents"/>
              <w:spacing w:before="0" w:after="283"/>
              <w:jc w:val="right"/>
              <w:rPr/>
            </w:pPr>
            <w:r>
              <w:rPr/>
              <w:t>(2,968,234</w:t>
            </w:r>
          </w:p>
        </w:tc>
        <w:tc>
          <w:tcPr>
            <w:tcW w:w="123" w:type="dxa"/>
            <w:tcBorders/>
            <w:shd w:fill="CCEEFF" w:val="clear"/>
            <w:vAlign w:val="bottom"/>
          </w:tcPr>
          <w:p>
            <w:pPr>
              <w:pStyle w:val="TableContents"/>
              <w:spacing w:before="0" w:after="283"/>
              <w:rPr/>
            </w:pPr>
            <w:r>
              <w:rPr/>
              <w:t>)</w:t>
            </w:r>
          </w:p>
        </w:tc>
        <w:tc>
          <w:tcPr>
            <w:tcW w:w="10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544,763</w:t>
            </w:r>
          </w:p>
        </w:tc>
        <w:tc>
          <w:tcPr>
            <w:tcW w:w="102" w:type="dxa"/>
            <w:tcBorders/>
            <w:shd w:fill="CCEEFF" w:val="clear"/>
            <w:vAlign w:val="bottom"/>
          </w:tcPr>
          <w:p>
            <w:pPr>
              <w:pStyle w:val="TableContents"/>
              <w:spacing w:before="0" w:after="283"/>
              <w:rPr/>
            </w:pPr>
            <w:r>
              <w:rPr/>
              <w:t> </w:t>
            </w:r>
          </w:p>
        </w:tc>
      </w:tr>
      <w:tr>
        <w:trPr/>
        <w:tc>
          <w:tcPr>
            <w:tcW w:w="1412"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868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412" w:type="dxa"/>
            <w:tcBorders/>
            <w:shd w:fill="auto" w:val="clear"/>
            <w:vAlign w:val="bottom"/>
          </w:tcPr>
          <w:p>
            <w:pPr>
              <w:pStyle w:val="TableContents"/>
              <w:spacing w:before="0" w:after="0"/>
              <w:ind w:left="225" w:right="0" w:hanging="225"/>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1101" w:type="dxa"/>
            <w:tcBorders/>
            <w:shd w:fill="auto" w:val="clear"/>
            <w:vAlign w:val="bottom"/>
          </w:tcPr>
          <w:p>
            <w:pPr>
              <w:pStyle w:val="TableContents"/>
              <w:spacing w:before="0" w:after="283"/>
              <w:jc w:val="right"/>
              <w:rPr/>
            </w:pPr>
            <w:r>
              <w:rPr/>
              <w:t>17,735,013</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1176" w:type="dxa"/>
            <w:tcBorders/>
            <w:shd w:fill="auto" w:val="clear"/>
            <w:vAlign w:val="bottom"/>
          </w:tcPr>
          <w:p>
            <w:pPr>
              <w:pStyle w:val="TableContents"/>
              <w:spacing w:before="0" w:after="283"/>
              <w:jc w:val="right"/>
              <w:rPr/>
            </w:pPr>
            <w:r>
              <w:rPr/>
              <w:t>(10,608,853</w:t>
            </w:r>
          </w:p>
        </w:tc>
        <w:tc>
          <w:tcPr>
            <w:tcW w:w="123"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982" w:type="dxa"/>
            <w:tcBorders/>
            <w:shd w:fill="auto" w:val="clear"/>
            <w:vAlign w:val="bottom"/>
          </w:tcPr>
          <w:p>
            <w:pPr>
              <w:pStyle w:val="TableContents"/>
              <w:spacing w:before="0" w:after="283"/>
              <w:jc w:val="right"/>
              <w:rPr/>
            </w:pPr>
            <w:r>
              <w:rPr/>
              <w:t>7,126,160</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1101" w:type="dxa"/>
            <w:tcBorders/>
            <w:shd w:fill="auto" w:val="clear"/>
            <w:vAlign w:val="bottom"/>
          </w:tcPr>
          <w:p>
            <w:pPr>
              <w:pStyle w:val="TableContents"/>
              <w:spacing w:before="0" w:after="283"/>
              <w:jc w:val="right"/>
              <w:rPr/>
            </w:pPr>
            <w:r>
              <w:rPr/>
              <w:t>18,703,562</w:t>
            </w:r>
          </w:p>
        </w:tc>
        <w:tc>
          <w:tcPr>
            <w:tcW w:w="8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w:t>
            </w:r>
          </w:p>
        </w:tc>
        <w:tc>
          <w:tcPr>
            <w:tcW w:w="1176" w:type="dxa"/>
            <w:tcBorders/>
            <w:shd w:fill="auto" w:val="clear"/>
            <w:vAlign w:val="bottom"/>
          </w:tcPr>
          <w:p>
            <w:pPr>
              <w:pStyle w:val="TableContents"/>
              <w:spacing w:before="0" w:after="283"/>
              <w:jc w:val="right"/>
              <w:rPr/>
            </w:pPr>
            <w:r>
              <w:rPr/>
              <w:t>(12,078,065</w:t>
            </w:r>
          </w:p>
        </w:tc>
        <w:tc>
          <w:tcPr>
            <w:tcW w:w="123" w:type="dxa"/>
            <w:tcBorders/>
            <w:shd w:fill="auto" w:val="clear"/>
            <w:vAlign w:val="bottom"/>
          </w:tcPr>
          <w:p>
            <w:pPr>
              <w:pStyle w:val="TableContents"/>
              <w:spacing w:before="0" w:after="283"/>
              <w:rPr/>
            </w:pPr>
            <w:r>
              <w:rPr/>
              <w:t>)</w:t>
            </w:r>
          </w:p>
        </w:tc>
        <w:tc>
          <w:tcPr>
            <w:tcW w:w="10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982" w:type="dxa"/>
            <w:tcBorders/>
            <w:shd w:fill="auto" w:val="clear"/>
            <w:vAlign w:val="bottom"/>
          </w:tcPr>
          <w:p>
            <w:pPr>
              <w:pStyle w:val="TableContents"/>
              <w:spacing w:before="0" w:after="283"/>
              <w:jc w:val="right"/>
              <w:rPr/>
            </w:pPr>
            <w:r>
              <w:rPr/>
              <w:t>6,625,497</w:t>
            </w:r>
          </w:p>
        </w:tc>
        <w:tc>
          <w:tcPr>
            <w:tcW w:w="102" w:type="dxa"/>
            <w:tcBorders/>
            <w:shd w:fill="auto" w:val="clear"/>
            <w:vAlign w:val="bottom"/>
          </w:tcPr>
          <w:p>
            <w:pPr>
              <w:pStyle w:val="TableContents"/>
              <w:spacing w:before="0" w:after="283"/>
              <w:rPr/>
            </w:pPr>
            <w:r>
              <w:rPr/>
              <w:t> </w:t>
            </w:r>
          </w:p>
        </w:tc>
      </w:tr>
      <w:tr>
        <w:trPr/>
        <w:tc>
          <w:tcPr>
            <w:tcW w:w="1412"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8684"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5"/>
        <w:gridCol w:w="133"/>
        <w:gridCol w:w="9777"/>
      </w:tblGrid>
      <w:tr>
        <w:trPr/>
        <w:tc>
          <w:tcPr>
            <w:tcW w:w="295" w:type="dxa"/>
            <w:tcBorders/>
            <w:shd w:fill="auto" w:val="clear"/>
          </w:tcPr>
          <w:p>
            <w:pPr>
              <w:pStyle w:val="TableContents"/>
              <w:spacing w:before="0" w:after="283"/>
              <w:jc w:val="left"/>
              <w:rPr>
                <w:b/>
              </w:rPr>
            </w:pPr>
            <w:r>
              <w:rPr>
                <w:b/>
              </w:rPr>
              <w:t>(2)</w:t>
            </w:r>
          </w:p>
        </w:tc>
        <w:tc>
          <w:tcPr>
            <w:tcW w:w="133" w:type="dxa"/>
            <w:tcBorders/>
            <w:shd w:fill="auto" w:val="clear"/>
          </w:tcPr>
          <w:p>
            <w:pPr>
              <w:pStyle w:val="TableContents"/>
              <w:spacing w:before="0" w:after="283"/>
              <w:rPr/>
            </w:pPr>
            <w:r>
              <w:rPr/>
              <w:t> </w:t>
            </w:r>
          </w:p>
        </w:tc>
        <w:tc>
          <w:tcPr>
            <w:tcW w:w="9777" w:type="dxa"/>
            <w:tcBorders/>
            <w:shd w:fill="auto" w:val="clear"/>
          </w:tcPr>
          <w:p>
            <w:pPr>
              <w:pStyle w:val="TableContents"/>
              <w:spacing w:before="0" w:after="283"/>
              <w:rPr>
                <w:b/>
              </w:rPr>
            </w:pPr>
            <w:r>
              <w:rPr>
                <w:b/>
              </w:rPr>
              <w:t>Property and Equipment, Continued</w:t>
            </w:r>
          </w:p>
        </w:tc>
      </w:tr>
    </w:tbl>
    <w:tbl>
      <w:tblPr>
        <w:tblW w:w="5000" w:type="pct"/>
        <w:jc w:val="center"/>
        <w:tblInd w:w="0" w:type="dxa"/>
        <w:tblCellMar>
          <w:top w:w="0" w:type="dxa"/>
          <w:left w:w="0" w:type="dxa"/>
          <w:bottom w:w="0" w:type="dxa"/>
          <w:right w:w="0" w:type="dxa"/>
        </w:tblCellMar>
      </w:tblPr>
      <w:tblGrid>
        <w:gridCol w:w="4858"/>
        <w:gridCol w:w="357"/>
        <w:gridCol w:w="167"/>
        <w:gridCol w:w="1138"/>
        <w:gridCol w:w="107"/>
        <w:gridCol w:w="357"/>
        <w:gridCol w:w="171"/>
        <w:gridCol w:w="1232"/>
        <w:gridCol w:w="133"/>
        <w:gridCol w:w="357"/>
        <w:gridCol w:w="167"/>
        <w:gridCol w:w="1048"/>
        <w:gridCol w:w="113"/>
      </w:tblGrid>
      <w:tr>
        <w:trPr/>
        <w:tc>
          <w:tcPr>
            <w:tcW w:w="4858"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87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3" w:type="dxa"/>
            <w:tcBorders/>
            <w:shd w:fill="auto"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jc w:val="center"/>
              <w:rPr>
                <w:b/>
              </w:rPr>
            </w:pPr>
            <w:r>
              <w:rPr>
                <w:b/>
              </w:rPr>
              <w:t>Accumulated</w:t>
            </w:r>
          </w:p>
        </w:tc>
        <w:tc>
          <w:tcPr>
            <w:tcW w:w="13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jc w:val="center"/>
              <w:rPr>
                <w:b/>
              </w:rPr>
            </w:pPr>
            <w:r>
              <w:rPr>
                <w:b/>
              </w:rPr>
              <w:t>Cost</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jc w:val="center"/>
              <w:rPr>
                <w:b/>
              </w:rPr>
            </w:pPr>
            <w:r>
              <w:rPr>
                <w:b/>
              </w:rPr>
              <w:t>Depreciation</w:t>
            </w:r>
          </w:p>
        </w:tc>
        <w:tc>
          <w:tcPr>
            <w:tcW w:w="13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jc w:val="center"/>
              <w:rPr>
                <w:b/>
              </w:rPr>
            </w:pPr>
            <w:r>
              <w:rPr>
                <w:b/>
              </w:rPr>
              <w:t>Net</w:t>
            </w:r>
          </w:p>
        </w:tc>
        <w:tc>
          <w:tcPr>
            <w:tcW w:w="113"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58" w:type="dxa"/>
            <w:tcBorders/>
            <w:shd w:fill="auto" w:val="clear"/>
            <w:vAlign w:val="bottom"/>
          </w:tcPr>
          <w:p>
            <w:pPr>
              <w:pStyle w:val="TableContents"/>
              <w:spacing w:before="0" w:after="0"/>
              <w:ind w:left="225" w:right="0" w:hanging="225"/>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pPr>
            <w:r>
              <w:rPr/>
              <w:t>Leasehold Improvements</w:t>
            </w:r>
          </w:p>
        </w:tc>
        <w:tc>
          <w:tcPr>
            <w:tcW w:w="35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138" w:type="dxa"/>
            <w:tcBorders/>
            <w:shd w:fill="CCEEFF" w:val="clear"/>
            <w:vAlign w:val="bottom"/>
          </w:tcPr>
          <w:p>
            <w:pPr>
              <w:pStyle w:val="TableContents"/>
              <w:spacing w:before="0" w:after="283"/>
              <w:jc w:val="right"/>
              <w:rPr/>
            </w:pPr>
            <w:r>
              <w:rPr/>
              <w:t>8,879,376</w:t>
            </w:r>
          </w:p>
        </w:tc>
        <w:tc>
          <w:tcPr>
            <w:tcW w:w="107"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1232" w:type="dxa"/>
            <w:tcBorders/>
            <w:shd w:fill="CCEEFF" w:val="clear"/>
            <w:vAlign w:val="bottom"/>
          </w:tcPr>
          <w:p>
            <w:pPr>
              <w:pStyle w:val="TableContents"/>
              <w:spacing w:before="0" w:after="283"/>
              <w:jc w:val="right"/>
              <w:rPr/>
            </w:pPr>
            <w:r>
              <w:rPr/>
              <w:t>(5,063,055</w:t>
            </w:r>
          </w:p>
        </w:tc>
        <w:tc>
          <w:tcPr>
            <w:tcW w:w="133" w:type="dxa"/>
            <w:tcBorders/>
            <w:shd w:fill="CCEEFF" w:val="clear"/>
            <w:vAlign w:val="bottom"/>
          </w:tcPr>
          <w:p>
            <w:pPr>
              <w:pStyle w:val="TableContents"/>
              <w:spacing w:before="0" w:after="283"/>
              <w:rPr/>
            </w:pPr>
            <w:r>
              <w:rPr/>
              <w:t>)</w:t>
            </w:r>
          </w:p>
        </w:tc>
        <w:tc>
          <w:tcPr>
            <w:tcW w:w="35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3,816,321</w:t>
            </w:r>
          </w:p>
        </w:tc>
        <w:tc>
          <w:tcPr>
            <w:tcW w:w="11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225" w:right="0" w:hanging="225"/>
              <w:rPr/>
            </w:pPr>
            <w:r>
              <w:rPr/>
              <w:t>Furniture and fixtures</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7,486,041</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1232" w:type="dxa"/>
            <w:tcBorders/>
            <w:shd w:fill="auto" w:val="clear"/>
            <w:vAlign w:val="bottom"/>
          </w:tcPr>
          <w:p>
            <w:pPr>
              <w:pStyle w:val="TableContents"/>
              <w:spacing w:before="0" w:after="283"/>
              <w:jc w:val="right"/>
              <w:rPr/>
            </w:pPr>
            <w:r>
              <w:rPr/>
              <w:t>(4,979,710</w:t>
            </w:r>
          </w:p>
        </w:tc>
        <w:tc>
          <w:tcPr>
            <w:tcW w:w="133" w:type="dxa"/>
            <w:tcBorders/>
            <w:shd w:fill="auto" w:val="clear"/>
            <w:vAlign w:val="bottom"/>
          </w:tcPr>
          <w:p>
            <w:pPr>
              <w:pStyle w:val="TableContents"/>
              <w:spacing w:before="0" w:after="283"/>
              <w:rPr/>
            </w:pPr>
            <w:r>
              <w:rPr/>
              <w:t>)</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2,506,331</w:t>
            </w:r>
          </w:p>
        </w:tc>
        <w:tc>
          <w:tcPr>
            <w:tcW w:w="11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pPr>
            <w:r>
              <w:rPr/>
              <w:t>Equipment</w:t>
            </w:r>
          </w:p>
        </w:tc>
        <w:tc>
          <w:tcPr>
            <w:tcW w:w="35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4,406,518</w:t>
            </w:r>
          </w:p>
        </w:tc>
        <w:tc>
          <w:tcPr>
            <w:tcW w:w="107"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1232" w:type="dxa"/>
            <w:tcBorders/>
            <w:shd w:fill="CCEEFF" w:val="clear"/>
            <w:vAlign w:val="bottom"/>
          </w:tcPr>
          <w:p>
            <w:pPr>
              <w:pStyle w:val="TableContents"/>
              <w:spacing w:before="0" w:after="283"/>
              <w:jc w:val="right"/>
              <w:rPr/>
            </w:pPr>
            <w:r>
              <w:rPr/>
              <w:t>(3,199,436</w:t>
            </w:r>
          </w:p>
        </w:tc>
        <w:tc>
          <w:tcPr>
            <w:tcW w:w="133" w:type="dxa"/>
            <w:tcBorders/>
            <w:shd w:fill="CCEEFF" w:val="clear"/>
            <w:vAlign w:val="bottom"/>
          </w:tcPr>
          <w:p>
            <w:pPr>
              <w:pStyle w:val="TableContents"/>
              <w:spacing w:before="0" w:after="283"/>
              <w:rPr/>
            </w:pPr>
            <w:r>
              <w:rPr/>
              <w:t>)</w:t>
            </w:r>
          </w:p>
        </w:tc>
        <w:tc>
          <w:tcPr>
            <w:tcW w:w="35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1,207,082</w:t>
            </w:r>
          </w:p>
        </w:tc>
        <w:tc>
          <w:tcPr>
            <w:tcW w:w="113" w:type="dxa"/>
            <w:tcBorders/>
            <w:shd w:fill="CCEEFF"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13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858" w:type="dxa"/>
            <w:tcBorders/>
            <w:shd w:fill="auto" w:val="clear"/>
            <w:vAlign w:val="bottom"/>
          </w:tcPr>
          <w:p>
            <w:pPr>
              <w:pStyle w:val="TableContents"/>
              <w:spacing w:before="0" w:after="0"/>
              <w:ind w:left="225" w:right="0" w:hanging="225"/>
              <w:rPr/>
            </w:pPr>
            <w:r>
              <w:rPr/>
              <w:t> </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1138" w:type="dxa"/>
            <w:tcBorders/>
            <w:shd w:fill="auto" w:val="clear"/>
            <w:vAlign w:val="bottom"/>
          </w:tcPr>
          <w:p>
            <w:pPr>
              <w:pStyle w:val="TableContents"/>
              <w:spacing w:before="0" w:after="283"/>
              <w:jc w:val="right"/>
              <w:rPr/>
            </w:pPr>
            <w:r>
              <w:rPr/>
              <w:t>20,771,932</w:t>
            </w:r>
          </w:p>
        </w:tc>
        <w:tc>
          <w:tcPr>
            <w:tcW w:w="10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1232" w:type="dxa"/>
            <w:tcBorders/>
            <w:shd w:fill="auto" w:val="clear"/>
            <w:vAlign w:val="bottom"/>
          </w:tcPr>
          <w:p>
            <w:pPr>
              <w:pStyle w:val="TableContents"/>
              <w:spacing w:before="0" w:after="283"/>
              <w:jc w:val="right"/>
              <w:rPr/>
            </w:pPr>
            <w:r>
              <w:rPr/>
              <w:t>(13,242,201</w:t>
            </w:r>
          </w:p>
        </w:tc>
        <w:tc>
          <w:tcPr>
            <w:tcW w:w="133" w:type="dxa"/>
            <w:tcBorders/>
            <w:shd w:fill="auto" w:val="clear"/>
            <w:vAlign w:val="bottom"/>
          </w:tcPr>
          <w:p>
            <w:pPr>
              <w:pStyle w:val="TableContents"/>
              <w:spacing w:before="0" w:after="283"/>
              <w:rPr/>
            </w:pPr>
            <w:r>
              <w:rPr/>
              <w:t>)</w:t>
            </w:r>
          </w:p>
        </w:tc>
        <w:tc>
          <w:tcPr>
            <w:tcW w:w="35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7,529,734</w:t>
            </w:r>
          </w:p>
        </w:tc>
        <w:tc>
          <w:tcPr>
            <w:tcW w:w="113" w:type="dxa"/>
            <w:tcBorders/>
            <w:shd w:fill="auto"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13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12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3"/>
        <w:gridCol w:w="133"/>
        <w:gridCol w:w="9769"/>
      </w:tblGrid>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Depreciation expense of property and equipment amounted to approximately $1,434,700, $1,674,500 and $1,815,800 for the years ended December 31, 2005, 2006 and 2007 respectively.</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b/>
              </w:rPr>
            </w:pPr>
            <w:r>
              <w:rPr>
                <w:b/>
              </w:rPr>
              <w:t>(3)</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b/>
              </w:rPr>
            </w:pPr>
            <w:r>
              <w:rPr>
                <w:b/>
              </w:rPr>
              <w:t>Accrued Expenses</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The major components of accrued expenses are summarized as follows:</w:t>
            </w:r>
          </w:p>
        </w:tc>
      </w:tr>
    </w:tbl>
    <w:tbl>
      <w:tblPr>
        <w:tblW w:w="5000" w:type="pct"/>
        <w:jc w:val="center"/>
        <w:tblInd w:w="0" w:type="dxa"/>
        <w:tblCellMar>
          <w:top w:w="0" w:type="dxa"/>
          <w:left w:w="0" w:type="dxa"/>
          <w:bottom w:w="0" w:type="dxa"/>
          <w:right w:w="0" w:type="dxa"/>
        </w:tblCellMar>
      </w:tblPr>
      <w:tblGrid>
        <w:gridCol w:w="4105"/>
        <w:gridCol w:w="313"/>
        <w:gridCol w:w="314"/>
        <w:gridCol w:w="1180"/>
        <w:gridCol w:w="223"/>
        <w:gridCol w:w="313"/>
        <w:gridCol w:w="314"/>
        <w:gridCol w:w="1180"/>
        <w:gridCol w:w="223"/>
        <w:gridCol w:w="313"/>
        <w:gridCol w:w="314"/>
        <w:gridCol w:w="1180"/>
        <w:gridCol w:w="233"/>
      </w:tblGrid>
      <w:tr>
        <w:trPr/>
        <w:tc>
          <w:tcPr>
            <w:tcW w:w="410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December 31,</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December 31,</w:t>
            </w:r>
          </w:p>
        </w:tc>
        <w:tc>
          <w:tcPr>
            <w:tcW w:w="313" w:type="dxa"/>
            <w:tcBorders/>
            <w:shd w:fill="auto" w:val="clear"/>
            <w:vAlign w:val="bottom"/>
          </w:tcPr>
          <w:p>
            <w:pPr>
              <w:pStyle w:val="TableContents"/>
              <w:spacing w:before="0" w:after="283"/>
              <w:rPr/>
            </w:pPr>
            <w:r>
              <w:rPr/>
              <w:t> </w:t>
            </w:r>
          </w:p>
        </w:tc>
        <w:tc>
          <w:tcPr>
            <w:tcW w:w="1727" w:type="dxa"/>
            <w:gridSpan w:val="3"/>
            <w:tcBorders/>
            <w:shd w:fill="auto" w:val="clear"/>
            <w:vAlign w:val="bottom"/>
          </w:tcPr>
          <w:p>
            <w:pPr>
              <w:pStyle w:val="TableContents"/>
              <w:spacing w:before="0" w:after="283"/>
              <w:jc w:val="center"/>
              <w:rPr>
                <w:b/>
              </w:rPr>
            </w:pPr>
            <w:r>
              <w:rPr>
                <w:b/>
              </w:rPr>
              <w:t>December 31,</w:t>
            </w:r>
          </w:p>
        </w:tc>
      </w:tr>
      <w:tr>
        <w:trPr/>
        <w:tc>
          <w:tcPr>
            <w:tcW w:w="410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2005</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2006</w:t>
            </w:r>
          </w:p>
        </w:tc>
        <w:tc>
          <w:tcPr>
            <w:tcW w:w="313" w:type="dxa"/>
            <w:tcBorders/>
            <w:shd w:fill="auto" w:val="clear"/>
            <w:vAlign w:val="bottom"/>
          </w:tcPr>
          <w:p>
            <w:pPr>
              <w:pStyle w:val="TableContents"/>
              <w:spacing w:before="0" w:after="283"/>
              <w:rPr/>
            </w:pPr>
            <w:r>
              <w:rPr/>
              <w:t> </w:t>
            </w:r>
          </w:p>
        </w:tc>
        <w:tc>
          <w:tcPr>
            <w:tcW w:w="1727"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05" w:type="dxa"/>
            <w:tcBorders/>
            <w:shd w:fill="auto" w:val="clear"/>
            <w:vAlign w:val="bottom"/>
          </w:tcPr>
          <w:p>
            <w:pPr>
              <w:pStyle w:val="TableContents"/>
              <w:spacing w:before="0" w:after="0"/>
              <w:ind w:left="225" w:right="0" w:hanging="225"/>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4105" w:type="dxa"/>
            <w:tcBorders/>
            <w:shd w:fill="CCEEFF" w:val="clear"/>
            <w:vAlign w:val="bottom"/>
          </w:tcPr>
          <w:p>
            <w:pPr>
              <w:pStyle w:val="TableContents"/>
              <w:spacing w:before="0" w:after="0"/>
              <w:ind w:left="225" w:right="0" w:hanging="225"/>
              <w:rPr/>
            </w:pPr>
            <w:r>
              <w:rPr/>
              <w:t>Accrued salaries and related benefits</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724,096</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777,989</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1,371,195</w:t>
            </w:r>
          </w:p>
        </w:tc>
        <w:tc>
          <w:tcPr>
            <w:tcW w:w="233" w:type="dxa"/>
            <w:tcBorders/>
            <w:shd w:fill="CCEEFF"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0"/>
              <w:ind w:left="225" w:right="0" w:hanging="225"/>
              <w:rPr/>
            </w:pPr>
            <w:r>
              <w:rPr/>
              <w:t>Accrued director and officer fees</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1,507,250</w:t>
            </w:r>
          </w:p>
        </w:tc>
        <w:tc>
          <w:tcPr>
            <w:tcW w:w="233" w:type="dxa"/>
            <w:tcBorders/>
            <w:shd w:fill="auto" w:val="clear"/>
            <w:vAlign w:val="bottom"/>
          </w:tcPr>
          <w:p>
            <w:pPr>
              <w:pStyle w:val="TableContents"/>
              <w:spacing w:before="0" w:after="283"/>
              <w:rPr/>
            </w:pPr>
            <w:r>
              <w:rPr/>
              <w:t> </w:t>
            </w:r>
          </w:p>
        </w:tc>
      </w:tr>
      <w:tr>
        <w:trPr/>
        <w:tc>
          <w:tcPr>
            <w:tcW w:w="4105" w:type="dxa"/>
            <w:tcBorders/>
            <w:shd w:fill="CCEEFF" w:val="clear"/>
            <w:vAlign w:val="bottom"/>
          </w:tcPr>
          <w:p>
            <w:pPr>
              <w:pStyle w:val="TableContents"/>
              <w:spacing w:before="0" w:after="0"/>
              <w:ind w:left="225" w:right="0" w:hanging="225"/>
              <w:rPr/>
            </w:pPr>
            <w:r>
              <w:rPr/>
              <w:t>Accrued initial public offering costs (see Note 1(a))</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604,204</w:t>
            </w:r>
          </w:p>
        </w:tc>
        <w:tc>
          <w:tcPr>
            <w:tcW w:w="233" w:type="dxa"/>
            <w:tcBorders/>
            <w:shd w:fill="CCEEFF"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0"/>
              <w:ind w:left="225" w:right="0" w:hanging="225"/>
              <w:rPr/>
            </w:pPr>
            <w:r>
              <w:rPr/>
              <w:t>Employee insurance payable</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236,931</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440,101</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438,533</w:t>
            </w:r>
          </w:p>
        </w:tc>
        <w:tc>
          <w:tcPr>
            <w:tcW w:w="233" w:type="dxa"/>
            <w:tcBorders/>
            <w:shd w:fill="auto" w:val="clear"/>
            <w:vAlign w:val="bottom"/>
          </w:tcPr>
          <w:p>
            <w:pPr>
              <w:pStyle w:val="TableContents"/>
              <w:spacing w:before="0" w:after="283"/>
              <w:rPr/>
            </w:pPr>
            <w:r>
              <w:rPr/>
              <w:t> </w:t>
            </w:r>
          </w:p>
        </w:tc>
      </w:tr>
      <w:tr>
        <w:trPr/>
        <w:tc>
          <w:tcPr>
            <w:tcW w:w="4105" w:type="dxa"/>
            <w:tcBorders/>
            <w:shd w:fill="CCEEFF" w:val="clear"/>
            <w:vAlign w:val="bottom"/>
          </w:tcPr>
          <w:p>
            <w:pPr>
              <w:pStyle w:val="TableContents"/>
              <w:spacing w:before="0" w:after="0"/>
              <w:ind w:left="225" w:right="0" w:hanging="225"/>
              <w:rPr/>
            </w:pPr>
            <w:r>
              <w:rPr/>
              <w:t>Accrued sales tax payable</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378,730</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405,002</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346,687</w:t>
            </w:r>
          </w:p>
        </w:tc>
        <w:tc>
          <w:tcPr>
            <w:tcW w:w="233" w:type="dxa"/>
            <w:tcBorders/>
            <w:shd w:fill="CCEEFF"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0"/>
              <w:ind w:left="225" w:right="0" w:hanging="225"/>
              <w:rPr/>
            </w:pPr>
            <w:r>
              <w:rPr/>
              <w:t>Accrued interest expense</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211,672</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228,351</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197,862</w:t>
            </w:r>
          </w:p>
        </w:tc>
        <w:tc>
          <w:tcPr>
            <w:tcW w:w="233" w:type="dxa"/>
            <w:tcBorders/>
            <w:shd w:fill="auto" w:val="clear"/>
            <w:vAlign w:val="bottom"/>
          </w:tcPr>
          <w:p>
            <w:pPr>
              <w:pStyle w:val="TableContents"/>
              <w:spacing w:before="0" w:after="283"/>
              <w:rPr/>
            </w:pPr>
            <w:r>
              <w:rPr/>
              <w:t> </w:t>
            </w:r>
          </w:p>
        </w:tc>
      </w:tr>
      <w:tr>
        <w:trPr/>
        <w:tc>
          <w:tcPr>
            <w:tcW w:w="4105" w:type="dxa"/>
            <w:tcBorders/>
            <w:shd w:fill="CCEEFF" w:val="clear"/>
            <w:vAlign w:val="bottom"/>
          </w:tcPr>
          <w:p>
            <w:pPr>
              <w:pStyle w:val="TableContents"/>
              <w:spacing w:before="0" w:after="0"/>
              <w:ind w:left="225" w:right="0" w:hanging="225"/>
              <w:rPr/>
            </w:pPr>
            <w:r>
              <w:rPr/>
              <w:t>Accrued lease termination costs</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210,191</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215,514</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362,966</w:t>
            </w:r>
          </w:p>
        </w:tc>
        <w:tc>
          <w:tcPr>
            <w:tcW w:w="233" w:type="dxa"/>
            <w:tcBorders/>
            <w:shd w:fill="CCEEFF"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0"/>
              <w:ind w:left="225" w:right="0" w:hanging="225"/>
              <w:rPr/>
            </w:pPr>
            <w:r>
              <w:rPr/>
              <w:t>Other</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53,518</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170,112</w:t>
            </w:r>
          </w:p>
        </w:tc>
        <w:tc>
          <w:tcPr>
            <w:tcW w:w="22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429,525</w:t>
            </w:r>
          </w:p>
        </w:tc>
        <w:tc>
          <w:tcPr>
            <w:tcW w:w="233" w:type="dxa"/>
            <w:tcBorders/>
            <w:shd w:fill="auto" w:val="clear"/>
            <w:vAlign w:val="bottom"/>
          </w:tcPr>
          <w:p>
            <w:pPr>
              <w:pStyle w:val="TableContents"/>
              <w:spacing w:before="0" w:after="283"/>
              <w:rPr/>
            </w:pPr>
            <w:r>
              <w:rPr/>
              <w:t> </w:t>
            </w:r>
          </w:p>
        </w:tc>
      </w:tr>
      <w:tr>
        <w:trPr/>
        <w:tc>
          <w:tcPr>
            <w:tcW w:w="4105"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5787"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05" w:type="dxa"/>
            <w:tcBorders/>
            <w:shd w:fill="CCEEFF" w:val="clear"/>
            <w:vAlign w:val="bottom"/>
          </w:tcPr>
          <w:p>
            <w:pPr>
              <w:pStyle w:val="TableContents"/>
              <w:spacing w:before="0" w:after="0"/>
              <w:ind w:left="225" w:right="0" w:hanging="225"/>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1,815,138</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2,237,069</w:t>
            </w:r>
          </w:p>
        </w:tc>
        <w:tc>
          <w:tcPr>
            <w:tcW w:w="223"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5,258,222</w:t>
            </w:r>
          </w:p>
        </w:tc>
        <w:tc>
          <w:tcPr>
            <w:tcW w:w="233" w:type="dxa"/>
            <w:tcBorders/>
            <w:shd w:fill="CCEEFF" w:val="clear"/>
            <w:vAlign w:val="bottom"/>
          </w:tcPr>
          <w:p>
            <w:pPr>
              <w:pStyle w:val="TableContents"/>
              <w:spacing w:before="0" w:after="283"/>
              <w:rPr/>
            </w:pPr>
            <w:r>
              <w:rPr/>
              <w:t> </w:t>
            </w:r>
          </w:p>
        </w:tc>
      </w:tr>
      <w:tr>
        <w:trPr/>
        <w:tc>
          <w:tcPr>
            <w:tcW w:w="4105"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5787"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100"/>
        <w:gridCol w:w="100"/>
        <w:gridCol w:w="10005"/>
      </w:tblGrid>
      <w:tr>
        <w:trPr/>
        <w:tc>
          <w:tcPr>
            <w:tcW w:w="100" w:type="dxa"/>
            <w:tcBorders/>
            <w:shd w:fill="auto" w:val="clear"/>
          </w:tcPr>
          <w:p>
            <w:pPr>
              <w:pStyle w:val="TableContents"/>
              <w:spacing w:before="0" w:after="283"/>
              <w:jc w:val="left"/>
              <w:rPr/>
            </w:pPr>
            <w:r>
              <w:rPr/>
              <w:t> </w:t>
            </w:r>
          </w:p>
        </w:tc>
        <w:tc>
          <w:tcPr>
            <w:tcW w:w="100" w:type="dxa"/>
            <w:tcBorders/>
            <w:shd w:fill="auto" w:val="clear"/>
          </w:tcPr>
          <w:p>
            <w:pPr>
              <w:pStyle w:val="TableContents"/>
              <w:spacing w:before="0" w:after="283"/>
              <w:rPr/>
            </w:pPr>
            <w:r>
              <w:rPr/>
              <w:t> </w:t>
            </w:r>
          </w:p>
        </w:tc>
        <w:tc>
          <w:tcPr>
            <w:tcW w:w="10005" w:type="dxa"/>
            <w:tcBorders/>
            <w:shd w:fill="auto" w:val="clear"/>
          </w:tcPr>
          <w:p>
            <w:pPr>
              <w:pStyle w:val="TableContents"/>
              <w:spacing w:before="0" w:after="283"/>
              <w:rPr/>
            </w:pPr>
            <w:r>
              <w:rPr/>
              <w:t>In connection with the Companys IPO initiative undertaken during 2007 (see Note 1(b)), the board of directors approved a total of $1,507,250 to be paid to certain of the Companys board members and members of management for their efforts in the IPO process. The accrued director and officer fees as of December 31, 2007 above represent fees earned during 2007 for the aforementioned efforts.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302"/>
        <w:gridCol w:w="133"/>
        <w:gridCol w:w="9770"/>
      </w:tblGrid>
      <w:tr>
        <w:trPr/>
        <w:tc>
          <w:tcPr>
            <w:tcW w:w="302" w:type="dxa"/>
            <w:tcBorders/>
            <w:shd w:fill="auto" w:val="clear"/>
          </w:tcPr>
          <w:p>
            <w:pPr>
              <w:pStyle w:val="TableContents"/>
              <w:spacing w:before="0" w:after="283"/>
              <w:jc w:val="left"/>
              <w:rPr>
                <w:b/>
              </w:rPr>
            </w:pPr>
            <w:r>
              <w:rPr>
                <w:b/>
              </w:rPr>
              <w:t>(3)</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b/>
              </w:rPr>
            </w:pPr>
            <w:r>
              <w:rPr>
                <w:b/>
              </w:rPr>
              <w:t>Accrued Expenses, Continued</w:t>
            </w:r>
          </w:p>
        </w:tc>
      </w:tr>
      <w:tr>
        <w:trPr/>
        <w:tc>
          <w:tcPr>
            <w:tcW w:w="302" w:type="dxa"/>
            <w:tcBorders/>
            <w:shd w:fill="auto" w:val="clear"/>
            <w:vAlign w:val="center"/>
          </w:tcPr>
          <w:p>
            <w:pPr>
              <w:pStyle w:val="TableContents"/>
              <w:spacing w:before="0" w:after="283"/>
              <w:rPr/>
            </w:pPr>
            <w:r>
              <w:rPr/>
              <w:t> </w:t>
            </w:r>
          </w:p>
        </w:tc>
        <w:tc>
          <w:tcPr>
            <w:tcW w:w="9903" w:type="dxa"/>
            <w:gridSpan w:val="2"/>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pPr>
            <w:r>
              <w:rPr/>
              <w:t>The following tables set forth the details and cumulative activity in the accruals associated with store closings in 2002 and 2004 of the Company in the consolidated balance sheets as of December 31, 2005, December 31, 2006 and December 31, 2007:</w:t>
            </w:r>
          </w:p>
        </w:tc>
      </w:tr>
    </w:tbl>
    <w:tbl>
      <w:tblPr>
        <w:tblW w:w="5000" w:type="pct"/>
        <w:jc w:val="center"/>
        <w:tblInd w:w="0" w:type="dxa"/>
        <w:tblCellMar>
          <w:top w:w="0" w:type="dxa"/>
          <w:left w:w="0" w:type="dxa"/>
          <w:bottom w:w="0" w:type="dxa"/>
          <w:right w:w="0" w:type="dxa"/>
        </w:tblCellMar>
      </w:tblPr>
      <w:tblGrid>
        <w:gridCol w:w="3043"/>
        <w:gridCol w:w="270"/>
        <w:gridCol w:w="317"/>
        <w:gridCol w:w="1135"/>
        <w:gridCol w:w="210"/>
        <w:gridCol w:w="270"/>
        <w:gridCol w:w="405"/>
        <w:gridCol w:w="677"/>
        <w:gridCol w:w="247"/>
        <w:gridCol w:w="269"/>
        <w:gridCol w:w="268"/>
        <w:gridCol w:w="924"/>
        <w:gridCol w:w="224"/>
        <w:gridCol w:w="270"/>
        <w:gridCol w:w="317"/>
        <w:gridCol w:w="1135"/>
        <w:gridCol w:w="224"/>
      </w:tblGrid>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Accrual as of</w:t>
            </w:r>
          </w:p>
        </w:tc>
        <w:tc>
          <w:tcPr>
            <w:tcW w:w="2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Accrual as of</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December 31,</w:t>
            </w:r>
          </w:p>
        </w:tc>
        <w:tc>
          <w:tcPr>
            <w:tcW w:w="2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16" w:type="dxa"/>
            <w:gridSpan w:val="3"/>
            <w:tcBorders/>
            <w:shd w:fill="auto" w:val="clear"/>
            <w:vAlign w:val="bottom"/>
          </w:tcPr>
          <w:p>
            <w:pPr>
              <w:pStyle w:val="TableContents"/>
              <w:spacing w:before="0" w:after="283"/>
              <w:jc w:val="center"/>
              <w:rPr>
                <w:b/>
              </w:rPr>
            </w:pPr>
            <w:r>
              <w:rPr>
                <w:b/>
              </w:rPr>
              <w:t>Cash</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December 31,</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2004</w:t>
            </w:r>
          </w:p>
        </w:tc>
        <w:tc>
          <w:tcPr>
            <w:tcW w:w="270" w:type="dxa"/>
            <w:tcBorders/>
            <w:shd w:fill="auto" w:val="clear"/>
            <w:vAlign w:val="bottom"/>
          </w:tcPr>
          <w:p>
            <w:pPr>
              <w:pStyle w:val="TableContents"/>
              <w:spacing w:before="0" w:after="283"/>
              <w:rPr/>
            </w:pPr>
            <w:r>
              <w:rPr/>
              <w:t> </w:t>
            </w:r>
          </w:p>
        </w:tc>
        <w:tc>
          <w:tcPr>
            <w:tcW w:w="1329" w:type="dxa"/>
            <w:gridSpan w:val="3"/>
            <w:tcBorders/>
            <w:shd w:fill="auto" w:val="clear"/>
            <w:vAlign w:val="bottom"/>
          </w:tcPr>
          <w:p>
            <w:pPr>
              <w:pStyle w:val="TableContents"/>
              <w:spacing w:before="0" w:after="283"/>
              <w:jc w:val="center"/>
              <w:rPr>
                <w:b/>
              </w:rPr>
            </w:pPr>
            <w:r>
              <w:rPr>
                <w:b/>
              </w:rPr>
              <w:t>Provisions</w:t>
            </w:r>
          </w:p>
        </w:tc>
        <w:tc>
          <w:tcPr>
            <w:tcW w:w="269" w:type="dxa"/>
            <w:tcBorders/>
            <w:shd w:fill="auto" w:val="clear"/>
            <w:vAlign w:val="bottom"/>
          </w:tcPr>
          <w:p>
            <w:pPr>
              <w:pStyle w:val="TableContents"/>
              <w:spacing w:before="0" w:after="283"/>
              <w:rPr/>
            </w:pPr>
            <w:r>
              <w:rPr/>
              <w:t> </w:t>
            </w:r>
          </w:p>
        </w:tc>
        <w:tc>
          <w:tcPr>
            <w:tcW w:w="1416" w:type="dxa"/>
            <w:gridSpan w:val="3"/>
            <w:tcBorders/>
            <w:shd w:fill="auto" w:val="clear"/>
            <w:vAlign w:val="bottom"/>
          </w:tcPr>
          <w:p>
            <w:pPr>
              <w:pStyle w:val="TableContents"/>
              <w:spacing w:before="0" w:after="283"/>
              <w:jc w:val="center"/>
              <w:rPr>
                <w:b/>
              </w:rPr>
            </w:pPr>
            <w:r>
              <w:rPr>
                <w:b/>
              </w:rPr>
              <w:t>Reductions</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2005</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43" w:type="dxa"/>
            <w:tcBorders/>
            <w:shd w:fill="auto" w:val="clear"/>
            <w:vAlign w:val="bottom"/>
          </w:tcPr>
          <w:p>
            <w:pPr>
              <w:pStyle w:val="TableContents"/>
              <w:spacing w:before="0" w:after="0"/>
              <w:ind w:left="225" w:right="0" w:hanging="225"/>
              <w:rPr/>
            </w:pPr>
            <w:r>
              <w:rPr/>
              <w:t>Lease termination costs</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396,290</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pPr>
            <w:r>
              <w:rPr/>
              <w:t>$</w:t>
            </w:r>
          </w:p>
        </w:tc>
        <w:tc>
          <w:tcPr>
            <w:tcW w:w="677" w:type="dxa"/>
            <w:tcBorders/>
            <w:shd w:fill="auto" w:val="clear"/>
            <w:vAlign w:val="bottom"/>
          </w:tcPr>
          <w:p>
            <w:pPr>
              <w:pStyle w:val="TableContents"/>
              <w:spacing w:before="0" w:after="283"/>
              <w:jc w:val="right"/>
              <w:rPr/>
            </w:pPr>
            <w:r>
              <w:rPr/>
              <w:t>  </w:t>
            </w:r>
            <w:r>
              <w:rPr/>
              <w:t></w:t>
            </w:r>
          </w:p>
        </w:tc>
        <w:tc>
          <w:tcPr>
            <w:tcW w:w="24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pPr>
            <w:r>
              <w:rPr/>
              <w:t>$</w:t>
            </w:r>
          </w:p>
        </w:tc>
        <w:tc>
          <w:tcPr>
            <w:tcW w:w="924" w:type="dxa"/>
            <w:tcBorders/>
            <w:shd w:fill="auto" w:val="clear"/>
            <w:vAlign w:val="bottom"/>
          </w:tcPr>
          <w:p>
            <w:pPr>
              <w:pStyle w:val="TableContents"/>
              <w:spacing w:before="0" w:after="283"/>
              <w:jc w:val="right"/>
              <w:rPr/>
            </w:pPr>
            <w:r>
              <w:rPr/>
              <w:t>(186,099</w:t>
            </w:r>
          </w:p>
        </w:tc>
        <w:tc>
          <w:tcPr>
            <w:tcW w:w="224" w:type="dxa"/>
            <w:tcBorders/>
            <w:shd w:fill="auto" w:val="clear"/>
            <w:vAlign w:val="bottom"/>
          </w:tcPr>
          <w:p>
            <w:pPr>
              <w:pStyle w:val="TableContents"/>
              <w:spacing w:before="0" w:after="283"/>
              <w:rPr/>
            </w:pPr>
            <w:r>
              <w:rPr/>
              <w:t>)</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210,191</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6892"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3043"/>
        <w:gridCol w:w="270"/>
        <w:gridCol w:w="317"/>
        <w:gridCol w:w="1135"/>
        <w:gridCol w:w="210"/>
        <w:gridCol w:w="270"/>
        <w:gridCol w:w="271"/>
        <w:gridCol w:w="868"/>
        <w:gridCol w:w="190"/>
        <w:gridCol w:w="270"/>
        <w:gridCol w:w="268"/>
        <w:gridCol w:w="923"/>
        <w:gridCol w:w="224"/>
        <w:gridCol w:w="270"/>
        <w:gridCol w:w="317"/>
        <w:gridCol w:w="1135"/>
        <w:gridCol w:w="224"/>
      </w:tblGrid>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Accrual as of</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Accrual as of</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December 31,</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b/>
              </w:rPr>
            </w:pPr>
            <w:r>
              <w:rPr>
                <w:b/>
              </w:rPr>
              <w:t>Cash</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December 31,</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2005</w:t>
            </w:r>
          </w:p>
        </w:tc>
        <w:tc>
          <w:tcPr>
            <w:tcW w:w="270" w:type="dxa"/>
            <w:tcBorders/>
            <w:shd w:fill="auto" w:val="clear"/>
            <w:vAlign w:val="bottom"/>
          </w:tcPr>
          <w:p>
            <w:pPr>
              <w:pStyle w:val="TableContents"/>
              <w:spacing w:before="0" w:after="283"/>
              <w:rPr/>
            </w:pPr>
            <w:r>
              <w:rPr/>
              <w:t> </w:t>
            </w:r>
          </w:p>
        </w:tc>
        <w:tc>
          <w:tcPr>
            <w:tcW w:w="1329" w:type="dxa"/>
            <w:gridSpan w:val="3"/>
            <w:tcBorders/>
            <w:shd w:fill="auto" w:val="clear"/>
            <w:vAlign w:val="bottom"/>
          </w:tcPr>
          <w:p>
            <w:pPr>
              <w:pStyle w:val="TableContents"/>
              <w:spacing w:before="0" w:after="283"/>
              <w:jc w:val="center"/>
              <w:rPr>
                <w:b/>
              </w:rPr>
            </w:pPr>
            <w:r>
              <w:rPr>
                <w:b/>
              </w:rPr>
              <w:t>Provisions</w:t>
            </w:r>
          </w:p>
        </w:tc>
        <w:tc>
          <w:tcPr>
            <w:tcW w:w="270"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b/>
              </w:rPr>
            </w:pPr>
            <w:r>
              <w:rPr>
                <w:b/>
              </w:rPr>
              <w:t>Reductions</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2006</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43" w:type="dxa"/>
            <w:tcBorders/>
            <w:shd w:fill="auto" w:val="clear"/>
            <w:vAlign w:val="bottom"/>
          </w:tcPr>
          <w:p>
            <w:pPr>
              <w:pStyle w:val="TableContents"/>
              <w:spacing w:before="0" w:after="0"/>
              <w:ind w:left="225" w:right="0" w:hanging="225"/>
              <w:rPr/>
            </w:pPr>
            <w:r>
              <w:rPr/>
              <w:t>Lease termination costs</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210,191</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right"/>
              <w:rPr/>
            </w:pPr>
            <w:r>
              <w:rPr/>
              <w:t>$</w:t>
            </w:r>
          </w:p>
        </w:tc>
        <w:tc>
          <w:tcPr>
            <w:tcW w:w="868" w:type="dxa"/>
            <w:tcBorders/>
            <w:shd w:fill="auto" w:val="clear"/>
            <w:vAlign w:val="bottom"/>
          </w:tcPr>
          <w:p>
            <w:pPr>
              <w:pStyle w:val="TableContents"/>
              <w:spacing w:before="0" w:after="283"/>
              <w:jc w:val="right"/>
              <w:rPr/>
            </w:pPr>
            <w:r>
              <w:rPr/>
              <w:t>215,514</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pPr>
            <w:r>
              <w:rPr/>
              <w:t>$</w:t>
            </w:r>
          </w:p>
        </w:tc>
        <w:tc>
          <w:tcPr>
            <w:tcW w:w="923" w:type="dxa"/>
            <w:tcBorders/>
            <w:shd w:fill="auto" w:val="clear"/>
            <w:vAlign w:val="bottom"/>
          </w:tcPr>
          <w:p>
            <w:pPr>
              <w:pStyle w:val="TableContents"/>
              <w:spacing w:before="0" w:after="283"/>
              <w:jc w:val="right"/>
              <w:rPr/>
            </w:pPr>
            <w:r>
              <w:rPr/>
              <w:t>(210,191</w:t>
            </w:r>
          </w:p>
        </w:tc>
        <w:tc>
          <w:tcPr>
            <w:tcW w:w="224" w:type="dxa"/>
            <w:tcBorders/>
            <w:shd w:fill="auto" w:val="clear"/>
            <w:vAlign w:val="bottom"/>
          </w:tcPr>
          <w:p>
            <w:pPr>
              <w:pStyle w:val="TableContents"/>
              <w:spacing w:before="0" w:after="283"/>
              <w:rPr/>
            </w:pPr>
            <w:r>
              <w:rPr/>
              <w:t>)</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215,514</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6892"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3043"/>
        <w:gridCol w:w="270"/>
        <w:gridCol w:w="317"/>
        <w:gridCol w:w="1135"/>
        <w:gridCol w:w="210"/>
        <w:gridCol w:w="270"/>
        <w:gridCol w:w="271"/>
        <w:gridCol w:w="868"/>
        <w:gridCol w:w="190"/>
        <w:gridCol w:w="270"/>
        <w:gridCol w:w="268"/>
        <w:gridCol w:w="923"/>
        <w:gridCol w:w="224"/>
        <w:gridCol w:w="270"/>
        <w:gridCol w:w="317"/>
        <w:gridCol w:w="1135"/>
        <w:gridCol w:w="224"/>
      </w:tblGrid>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Accrual as of</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Accrual as of</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December 31,</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b/>
              </w:rPr>
            </w:pPr>
            <w:r>
              <w:rPr>
                <w:b/>
              </w:rPr>
              <w:t>Cash</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December 31,</w:t>
            </w:r>
          </w:p>
        </w:tc>
      </w:tr>
      <w:tr>
        <w:trPr/>
        <w:tc>
          <w:tcPr>
            <w:tcW w:w="304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2" w:type="dxa"/>
            <w:gridSpan w:val="3"/>
            <w:tcBorders/>
            <w:shd w:fill="auto" w:val="clear"/>
            <w:vAlign w:val="bottom"/>
          </w:tcPr>
          <w:p>
            <w:pPr>
              <w:pStyle w:val="TableContents"/>
              <w:spacing w:before="0" w:after="283"/>
              <w:jc w:val="center"/>
              <w:rPr>
                <w:b/>
              </w:rPr>
            </w:pPr>
            <w:r>
              <w:rPr>
                <w:b/>
              </w:rPr>
              <w:t>2006</w:t>
            </w:r>
          </w:p>
        </w:tc>
        <w:tc>
          <w:tcPr>
            <w:tcW w:w="270" w:type="dxa"/>
            <w:tcBorders/>
            <w:shd w:fill="auto" w:val="clear"/>
            <w:vAlign w:val="bottom"/>
          </w:tcPr>
          <w:p>
            <w:pPr>
              <w:pStyle w:val="TableContents"/>
              <w:spacing w:before="0" w:after="283"/>
              <w:rPr/>
            </w:pPr>
            <w:r>
              <w:rPr/>
              <w:t> </w:t>
            </w:r>
          </w:p>
        </w:tc>
        <w:tc>
          <w:tcPr>
            <w:tcW w:w="1329" w:type="dxa"/>
            <w:gridSpan w:val="3"/>
            <w:tcBorders/>
            <w:shd w:fill="auto" w:val="clear"/>
            <w:vAlign w:val="bottom"/>
          </w:tcPr>
          <w:p>
            <w:pPr>
              <w:pStyle w:val="TableContents"/>
              <w:spacing w:before="0" w:after="283"/>
              <w:jc w:val="center"/>
              <w:rPr>
                <w:b/>
              </w:rPr>
            </w:pPr>
            <w:r>
              <w:rPr>
                <w:b/>
              </w:rPr>
              <w:t>Provisions</w:t>
            </w:r>
          </w:p>
        </w:tc>
        <w:tc>
          <w:tcPr>
            <w:tcW w:w="270"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b/>
              </w:rPr>
            </w:pPr>
            <w:r>
              <w:rPr>
                <w:b/>
              </w:rPr>
              <w:t>Reductions</w:t>
            </w:r>
          </w:p>
        </w:tc>
        <w:tc>
          <w:tcPr>
            <w:tcW w:w="270" w:type="dxa"/>
            <w:tcBorders/>
            <w:shd w:fill="auto" w:val="clear"/>
            <w:vAlign w:val="bottom"/>
          </w:tcPr>
          <w:p>
            <w:pPr>
              <w:pStyle w:val="TableContents"/>
              <w:spacing w:before="0" w:after="283"/>
              <w:rPr/>
            </w:pPr>
            <w:r>
              <w:rPr/>
              <w:t> </w:t>
            </w:r>
          </w:p>
        </w:tc>
        <w:tc>
          <w:tcPr>
            <w:tcW w:w="1676" w:type="dxa"/>
            <w:gridSpan w:val="3"/>
            <w:tcBorders/>
            <w:shd w:fill="auto" w:val="clear"/>
            <w:vAlign w:val="bottom"/>
          </w:tcPr>
          <w:p>
            <w:pPr>
              <w:pStyle w:val="TableContents"/>
              <w:spacing w:before="0" w:after="283"/>
              <w:jc w:val="center"/>
              <w:rPr>
                <w:b/>
              </w:rPr>
            </w:pPr>
            <w:r>
              <w:rPr>
                <w:b/>
              </w:rPr>
              <w:t>2007</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43" w:type="dxa"/>
            <w:tcBorders/>
            <w:shd w:fill="auto" w:val="clear"/>
            <w:vAlign w:val="bottom"/>
          </w:tcPr>
          <w:p>
            <w:pPr>
              <w:pStyle w:val="TableContents"/>
              <w:spacing w:before="0" w:after="0"/>
              <w:ind w:left="225" w:right="0" w:hanging="225"/>
              <w:rPr/>
            </w:pPr>
            <w:r>
              <w:rPr/>
              <w:t>Lease termination costs</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215,514</w:t>
            </w:r>
          </w:p>
        </w:tc>
        <w:tc>
          <w:tcPr>
            <w:tcW w:w="21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right"/>
              <w:rPr/>
            </w:pPr>
            <w:r>
              <w:rPr/>
              <w:t>$</w:t>
            </w:r>
          </w:p>
        </w:tc>
        <w:tc>
          <w:tcPr>
            <w:tcW w:w="868" w:type="dxa"/>
            <w:tcBorders/>
            <w:shd w:fill="auto" w:val="clear"/>
            <w:vAlign w:val="bottom"/>
          </w:tcPr>
          <w:p>
            <w:pPr>
              <w:pStyle w:val="TableContents"/>
              <w:spacing w:before="0" w:after="283"/>
              <w:jc w:val="right"/>
              <w:rPr/>
            </w:pPr>
            <w:r>
              <w:rPr/>
              <w:t>330,000</w:t>
            </w:r>
          </w:p>
        </w:tc>
        <w:tc>
          <w:tcPr>
            <w:tcW w:w="19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pPr>
            <w:r>
              <w:rPr/>
              <w:t>$</w:t>
            </w:r>
          </w:p>
        </w:tc>
        <w:tc>
          <w:tcPr>
            <w:tcW w:w="923" w:type="dxa"/>
            <w:tcBorders/>
            <w:shd w:fill="auto" w:val="clear"/>
            <w:vAlign w:val="bottom"/>
          </w:tcPr>
          <w:p>
            <w:pPr>
              <w:pStyle w:val="TableContents"/>
              <w:spacing w:before="0" w:after="283"/>
              <w:jc w:val="right"/>
              <w:rPr/>
            </w:pPr>
            <w:r>
              <w:rPr/>
              <w:t>(182,548</w:t>
            </w:r>
          </w:p>
        </w:tc>
        <w:tc>
          <w:tcPr>
            <w:tcW w:w="224" w:type="dxa"/>
            <w:tcBorders/>
            <w:shd w:fill="auto" w:val="clear"/>
            <w:vAlign w:val="bottom"/>
          </w:tcPr>
          <w:p>
            <w:pPr>
              <w:pStyle w:val="TableContents"/>
              <w:spacing w:before="0" w:after="283"/>
              <w:rPr/>
            </w:pPr>
            <w:r>
              <w:rPr/>
              <w:t>)</w:t>
            </w:r>
          </w:p>
        </w:tc>
        <w:tc>
          <w:tcPr>
            <w:tcW w:w="27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w:t>
            </w:r>
          </w:p>
        </w:tc>
        <w:tc>
          <w:tcPr>
            <w:tcW w:w="1135" w:type="dxa"/>
            <w:tcBorders/>
            <w:shd w:fill="auto" w:val="clear"/>
            <w:vAlign w:val="bottom"/>
          </w:tcPr>
          <w:p>
            <w:pPr>
              <w:pStyle w:val="TableContents"/>
              <w:spacing w:before="0" w:after="283"/>
              <w:jc w:val="right"/>
              <w:rPr/>
            </w:pPr>
            <w:r>
              <w:rPr/>
              <w:t>362,966</w:t>
            </w:r>
          </w:p>
        </w:tc>
        <w:tc>
          <w:tcPr>
            <w:tcW w:w="224" w:type="dxa"/>
            <w:tcBorders/>
            <w:shd w:fill="auto" w:val="clear"/>
            <w:vAlign w:val="bottom"/>
          </w:tcPr>
          <w:p>
            <w:pPr>
              <w:pStyle w:val="TableContents"/>
              <w:spacing w:before="0" w:after="283"/>
              <w:rPr/>
            </w:pPr>
            <w:r>
              <w:rPr/>
              <w:t> </w:t>
            </w:r>
          </w:p>
        </w:tc>
      </w:tr>
      <w:tr>
        <w:trPr/>
        <w:tc>
          <w:tcPr>
            <w:tcW w:w="3043"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6892"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91"/>
        <w:gridCol w:w="129"/>
        <w:gridCol w:w="9785"/>
      </w:tblGrid>
      <w:tr>
        <w:trPr/>
        <w:tc>
          <w:tcPr>
            <w:tcW w:w="291" w:type="dxa"/>
            <w:tcBorders/>
            <w:shd w:fill="auto" w:val="clear"/>
          </w:tcPr>
          <w:p>
            <w:pPr>
              <w:pStyle w:val="TableContents"/>
              <w:spacing w:before="0" w:after="283"/>
              <w:jc w:val="left"/>
              <w:rPr>
                <w:b/>
              </w:rPr>
            </w:pPr>
            <w:r>
              <w:rPr>
                <w:b/>
              </w:rPr>
              <w:t>(4)</w:t>
            </w:r>
          </w:p>
        </w:tc>
        <w:tc>
          <w:tcPr>
            <w:tcW w:w="129"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b/>
              </w:rPr>
            </w:pPr>
            <w:r>
              <w:rPr>
                <w:b/>
              </w:rPr>
              <w:t>Income Taxes</w:t>
            </w:r>
          </w:p>
        </w:tc>
      </w:tr>
      <w:tr>
        <w:trPr/>
        <w:tc>
          <w:tcPr>
            <w:tcW w:w="291" w:type="dxa"/>
            <w:tcBorders/>
            <w:shd w:fill="auto" w:val="clear"/>
            <w:vAlign w:val="center"/>
          </w:tcPr>
          <w:p>
            <w:pPr>
              <w:pStyle w:val="TableContents"/>
              <w:spacing w:before="0" w:after="283"/>
              <w:rPr/>
            </w:pPr>
            <w:r>
              <w:rPr/>
              <w:t> </w:t>
            </w:r>
          </w:p>
        </w:tc>
        <w:tc>
          <w:tcPr>
            <w:tcW w:w="9914" w:type="dxa"/>
            <w:gridSpan w:val="2"/>
            <w:tcBorders/>
            <w:shd w:fill="auto" w:val="clear"/>
          </w:tcPr>
          <w:p>
            <w:pPr>
              <w:pStyle w:val="TableContents"/>
              <w:spacing w:before="0" w:after="283"/>
              <w:rPr>
                <w:sz w:val="4"/>
                <w:szCs w:val="4"/>
              </w:rPr>
            </w:pPr>
            <w:r>
              <w:rPr>
                <w:sz w:val="4"/>
                <w:szCs w:val="4"/>
              </w:rPr>
            </w:r>
          </w:p>
        </w:tc>
      </w:tr>
      <w:tr>
        <w:trPr/>
        <w:tc>
          <w:tcPr>
            <w:tcW w:w="291" w:type="dxa"/>
            <w:tcBorders/>
            <w:shd w:fill="auto" w:val="clear"/>
          </w:tcPr>
          <w:p>
            <w:pPr>
              <w:pStyle w:val="TableContents"/>
              <w:spacing w:before="0" w:after="283"/>
              <w:jc w:val="left"/>
              <w:rPr/>
            </w:pPr>
            <w:r>
              <w:rPr/>
              <w:t> </w:t>
            </w:r>
          </w:p>
        </w:tc>
        <w:tc>
          <w:tcPr>
            <w:tcW w:w="129"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pPr>
            <w:r>
              <w:rPr/>
              <w:t>Income tax expense (benefit) consisted of the following:</w:t>
            </w:r>
          </w:p>
        </w:tc>
      </w:tr>
    </w:tbl>
    <w:tbl>
      <w:tblPr>
        <w:tblW w:w="5000" w:type="pct"/>
        <w:jc w:val="center"/>
        <w:tblInd w:w="0" w:type="dxa"/>
        <w:tblCellMar>
          <w:top w:w="0" w:type="dxa"/>
          <w:left w:w="0" w:type="dxa"/>
          <w:bottom w:w="0" w:type="dxa"/>
          <w:right w:w="0" w:type="dxa"/>
        </w:tblCellMar>
      </w:tblPr>
      <w:tblGrid>
        <w:gridCol w:w="4471"/>
        <w:gridCol w:w="356"/>
        <w:gridCol w:w="194"/>
        <w:gridCol w:w="1242"/>
        <w:gridCol w:w="107"/>
        <w:gridCol w:w="356"/>
        <w:gridCol w:w="194"/>
        <w:gridCol w:w="1242"/>
        <w:gridCol w:w="107"/>
        <w:gridCol w:w="356"/>
        <w:gridCol w:w="208"/>
        <w:gridCol w:w="1228"/>
        <w:gridCol w:w="144"/>
      </w:tblGrid>
      <w:tr>
        <w:trPr/>
        <w:tc>
          <w:tcPr>
            <w:tcW w:w="447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447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December 31,</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December 31,</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December 31,</w:t>
            </w:r>
          </w:p>
        </w:tc>
        <w:tc>
          <w:tcPr>
            <w:tcW w:w="144" w:type="dxa"/>
            <w:tcBorders/>
            <w:shd w:fill="auto" w:val="clear"/>
            <w:vAlign w:val="bottom"/>
          </w:tcPr>
          <w:p>
            <w:pPr>
              <w:pStyle w:val="TableContents"/>
              <w:spacing w:before="0" w:after="283"/>
              <w:rPr/>
            </w:pPr>
            <w:r>
              <w:rPr/>
              <w:t> </w:t>
            </w:r>
          </w:p>
        </w:tc>
      </w:tr>
      <w:tr>
        <w:trPr/>
        <w:tc>
          <w:tcPr>
            <w:tcW w:w="447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2005</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2006</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b/>
              </w:rPr>
            </w:pPr>
            <w:r>
              <w:rPr>
                <w:b/>
              </w:rPr>
              <w:t>2007</w:t>
            </w:r>
          </w:p>
        </w:tc>
        <w:tc>
          <w:tcPr>
            <w:tcW w:w="144"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471" w:type="dxa"/>
            <w:tcBorders/>
            <w:shd w:fill="auto" w:val="clear"/>
            <w:vAlign w:val="bottom"/>
          </w:tcPr>
          <w:p>
            <w:pPr>
              <w:pStyle w:val="TableContents"/>
              <w:spacing w:before="0" w:after="0"/>
              <w:ind w:left="225" w:right="0" w:hanging="225"/>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4471" w:type="dxa"/>
            <w:tcBorders/>
            <w:shd w:fill="CCEEFF" w:val="clear"/>
            <w:vAlign w:val="bottom"/>
          </w:tcPr>
          <w:p>
            <w:pPr>
              <w:pStyle w:val="TableContents"/>
              <w:spacing w:before="0" w:after="0"/>
              <w:ind w:left="225" w:right="0" w:hanging="225"/>
              <w:rPr/>
            </w:pPr>
            <w:r>
              <w:rPr/>
              <w:t>Current tax expense (benefit):</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4471" w:type="dxa"/>
            <w:tcBorders/>
            <w:shd w:fill="auto" w:val="clear"/>
            <w:vAlign w:val="bottom"/>
          </w:tcPr>
          <w:p>
            <w:pPr>
              <w:pStyle w:val="TableContents"/>
              <w:spacing w:before="0" w:after="0"/>
              <w:ind w:left="450" w:right="0" w:hanging="225"/>
              <w:rPr/>
            </w:pPr>
            <w:r>
              <w:rPr/>
              <w:t>Federal</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242" w:type="dxa"/>
            <w:tcBorders/>
            <w:shd w:fill="auto" w:val="clear"/>
            <w:vAlign w:val="bottom"/>
          </w:tcPr>
          <w:p>
            <w:pPr>
              <w:pStyle w:val="TableContents"/>
              <w:spacing w:before="0" w:after="283"/>
              <w:jc w:val="right"/>
              <w:rPr/>
            </w:pPr>
            <w:r>
              <w:rPr/>
              <w:t>61,375</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242" w:type="dxa"/>
            <w:tcBorders/>
            <w:shd w:fill="auto" w:val="clear"/>
            <w:vAlign w:val="bottom"/>
          </w:tcPr>
          <w:p>
            <w:pPr>
              <w:pStyle w:val="TableContents"/>
              <w:spacing w:before="0" w:after="283"/>
              <w:jc w:val="right"/>
              <w:rPr/>
            </w:pPr>
            <w:r>
              <w:rPr/>
              <w:t>163,989</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228" w:type="dxa"/>
            <w:tcBorders/>
            <w:shd w:fill="auto" w:val="clear"/>
            <w:vAlign w:val="bottom"/>
          </w:tcPr>
          <w:p>
            <w:pPr>
              <w:pStyle w:val="TableContents"/>
              <w:spacing w:before="0" w:after="283"/>
              <w:jc w:val="right"/>
              <w:rPr/>
            </w:pPr>
            <w:r>
              <w:rPr/>
              <w:t>45,899</w:t>
            </w:r>
          </w:p>
        </w:tc>
        <w:tc>
          <w:tcPr>
            <w:tcW w:w="144" w:type="dxa"/>
            <w:tcBorders/>
            <w:shd w:fill="auto" w:val="clear"/>
            <w:vAlign w:val="bottom"/>
          </w:tcPr>
          <w:p>
            <w:pPr>
              <w:pStyle w:val="TableContents"/>
              <w:spacing w:before="0" w:after="283"/>
              <w:rPr/>
            </w:pPr>
            <w:r>
              <w:rPr/>
              <w:t> </w:t>
            </w:r>
          </w:p>
        </w:tc>
      </w:tr>
      <w:tr>
        <w:trPr/>
        <w:tc>
          <w:tcPr>
            <w:tcW w:w="4471" w:type="dxa"/>
            <w:tcBorders/>
            <w:shd w:fill="CCEEFF" w:val="clear"/>
            <w:vAlign w:val="bottom"/>
          </w:tcPr>
          <w:p>
            <w:pPr>
              <w:pStyle w:val="TableContents"/>
              <w:spacing w:before="0" w:after="0"/>
              <w:ind w:left="450" w:right="0" w:hanging="225"/>
              <w:rPr/>
            </w:pPr>
            <w:r>
              <w:rPr/>
              <w:t>State</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10,000</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28,071</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4,624</w:t>
            </w:r>
          </w:p>
        </w:tc>
        <w:tc>
          <w:tcPr>
            <w:tcW w:w="144" w:type="dxa"/>
            <w:tcBorders/>
            <w:shd w:fill="CCEEFF" w:val="clear"/>
            <w:vAlign w:val="bottom"/>
          </w:tcPr>
          <w:p>
            <w:pPr>
              <w:pStyle w:val="TableContents"/>
              <w:spacing w:before="0" w:after="283"/>
              <w:rPr/>
            </w:pPr>
            <w:r>
              <w:rPr/>
              <w:t> </w:t>
            </w:r>
          </w:p>
        </w:tc>
      </w:tr>
      <w:tr>
        <w:trPr/>
        <w:tc>
          <w:tcPr>
            <w:tcW w:w="4471"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471" w:type="dxa"/>
            <w:tcBorders/>
            <w:shd w:fill="auto" w:val="clear"/>
            <w:vAlign w:val="bottom"/>
          </w:tcPr>
          <w:p>
            <w:pPr>
              <w:pStyle w:val="TableContents"/>
              <w:spacing w:before="0" w:after="0"/>
              <w:ind w:left="225" w:right="0" w:hanging="225"/>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71,375</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192,060</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50,523</w:t>
            </w:r>
          </w:p>
        </w:tc>
        <w:tc>
          <w:tcPr>
            <w:tcW w:w="144" w:type="dxa"/>
            <w:tcBorders/>
            <w:shd w:fill="auto" w:val="clear"/>
            <w:vAlign w:val="bottom"/>
          </w:tcPr>
          <w:p>
            <w:pPr>
              <w:pStyle w:val="TableContents"/>
              <w:spacing w:before="0" w:after="283"/>
              <w:rPr/>
            </w:pPr>
            <w:r>
              <w:rPr/>
              <w:t> </w:t>
            </w:r>
          </w:p>
        </w:tc>
      </w:tr>
      <w:tr>
        <w:trPr/>
        <w:tc>
          <w:tcPr>
            <w:tcW w:w="4471"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42"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228"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r>
      <w:tr>
        <w:trPr/>
        <w:tc>
          <w:tcPr>
            <w:tcW w:w="4471" w:type="dxa"/>
            <w:tcBorders/>
            <w:shd w:fill="CCEEFF" w:val="clear"/>
            <w:vAlign w:val="bottom"/>
          </w:tcPr>
          <w:p>
            <w:pPr>
              <w:pStyle w:val="TableContents"/>
              <w:spacing w:before="0" w:after="0"/>
              <w:ind w:left="225" w:right="0" w:hanging="225"/>
              <w:rPr/>
            </w:pPr>
            <w:r>
              <w:rPr/>
              <w:t>Deferred tax expense (benefit):</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4471" w:type="dxa"/>
            <w:tcBorders/>
            <w:shd w:fill="auto" w:val="clear"/>
            <w:vAlign w:val="bottom"/>
          </w:tcPr>
          <w:p>
            <w:pPr>
              <w:pStyle w:val="TableContents"/>
              <w:spacing w:before="0" w:after="0"/>
              <w:ind w:left="450" w:right="0" w:hanging="225"/>
              <w:rPr/>
            </w:pPr>
            <w:r>
              <w:rPr/>
              <w:t>Federal</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2,143,806</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2,779,757</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228" w:type="dxa"/>
            <w:tcBorders/>
            <w:shd w:fill="auto" w:val="clear"/>
            <w:vAlign w:val="bottom"/>
          </w:tcPr>
          <w:p>
            <w:pPr>
              <w:pStyle w:val="TableContents"/>
              <w:spacing w:before="0" w:after="283"/>
              <w:jc w:val="right"/>
              <w:rPr/>
            </w:pPr>
            <w:r>
              <w:rPr/>
              <w:t>(465,685</w:t>
            </w:r>
          </w:p>
        </w:tc>
        <w:tc>
          <w:tcPr>
            <w:tcW w:w="144" w:type="dxa"/>
            <w:tcBorders/>
            <w:shd w:fill="auto" w:val="clear"/>
            <w:vAlign w:val="bottom"/>
          </w:tcPr>
          <w:p>
            <w:pPr>
              <w:pStyle w:val="TableContents"/>
              <w:spacing w:before="0" w:after="283"/>
              <w:rPr/>
            </w:pPr>
            <w:r>
              <w:rPr/>
              <w:t>)</w:t>
            </w:r>
          </w:p>
        </w:tc>
      </w:tr>
      <w:tr>
        <w:trPr/>
        <w:tc>
          <w:tcPr>
            <w:tcW w:w="4471" w:type="dxa"/>
            <w:tcBorders/>
            <w:shd w:fill="CCEEFF" w:val="clear"/>
            <w:vAlign w:val="bottom"/>
          </w:tcPr>
          <w:p>
            <w:pPr>
              <w:pStyle w:val="TableContents"/>
              <w:spacing w:before="0" w:after="0"/>
              <w:ind w:left="450" w:right="0" w:hanging="225"/>
              <w:rPr/>
            </w:pPr>
            <w:r>
              <w:rPr/>
              <w:t>State</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378,013</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475,839</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1228" w:type="dxa"/>
            <w:tcBorders/>
            <w:shd w:fill="CCEEFF" w:val="clear"/>
            <w:vAlign w:val="bottom"/>
          </w:tcPr>
          <w:p>
            <w:pPr>
              <w:pStyle w:val="TableContents"/>
              <w:spacing w:before="0" w:after="283"/>
              <w:jc w:val="right"/>
              <w:rPr/>
            </w:pPr>
            <w:r>
              <w:rPr/>
              <w:t>(70,698</w:t>
            </w:r>
          </w:p>
        </w:tc>
        <w:tc>
          <w:tcPr>
            <w:tcW w:w="144" w:type="dxa"/>
            <w:tcBorders/>
            <w:shd w:fill="CCEEFF" w:val="clear"/>
            <w:vAlign w:val="bottom"/>
          </w:tcPr>
          <w:p>
            <w:pPr>
              <w:pStyle w:val="TableContents"/>
              <w:spacing w:before="0" w:after="283"/>
              <w:rPr/>
            </w:pPr>
            <w:r>
              <w:rPr/>
              <w:t>)</w:t>
            </w:r>
          </w:p>
        </w:tc>
      </w:tr>
      <w:tr>
        <w:trPr/>
        <w:tc>
          <w:tcPr>
            <w:tcW w:w="4471"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471" w:type="dxa"/>
            <w:tcBorders/>
            <w:shd w:fill="auto" w:val="clear"/>
            <w:vAlign w:val="bottom"/>
          </w:tcPr>
          <w:p>
            <w:pPr>
              <w:pStyle w:val="TableContents"/>
              <w:spacing w:before="0" w:after="0"/>
              <w:ind w:left="225" w:right="0" w:hanging="225"/>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2,521,819</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3,255,596</w:t>
            </w:r>
          </w:p>
        </w:tc>
        <w:tc>
          <w:tcPr>
            <w:tcW w:w="10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228" w:type="dxa"/>
            <w:tcBorders/>
            <w:shd w:fill="auto" w:val="clear"/>
            <w:vAlign w:val="bottom"/>
          </w:tcPr>
          <w:p>
            <w:pPr>
              <w:pStyle w:val="TableContents"/>
              <w:spacing w:before="0" w:after="283"/>
              <w:jc w:val="right"/>
              <w:rPr/>
            </w:pPr>
            <w:r>
              <w:rPr/>
              <w:t>(536,383</w:t>
            </w:r>
          </w:p>
        </w:tc>
        <w:tc>
          <w:tcPr>
            <w:tcW w:w="144" w:type="dxa"/>
            <w:tcBorders/>
            <w:shd w:fill="auto" w:val="clear"/>
            <w:vAlign w:val="bottom"/>
          </w:tcPr>
          <w:p>
            <w:pPr>
              <w:pStyle w:val="TableContents"/>
              <w:spacing w:before="0" w:after="283"/>
              <w:rPr/>
            </w:pPr>
            <w:r>
              <w:rPr/>
              <w:t>)</w:t>
            </w:r>
          </w:p>
        </w:tc>
      </w:tr>
      <w:tr>
        <w:trPr/>
        <w:tc>
          <w:tcPr>
            <w:tcW w:w="4471"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471" w:type="dxa"/>
            <w:tcBorders/>
            <w:shd w:fill="CCEEFF" w:val="clear"/>
            <w:vAlign w:val="bottom"/>
          </w:tcPr>
          <w:p>
            <w:pPr>
              <w:pStyle w:val="TableContents"/>
              <w:spacing w:before="0" w:after="0"/>
              <w:ind w:left="225" w:right="0" w:hanging="225"/>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242" w:type="dxa"/>
            <w:tcBorders/>
            <w:shd w:fill="CCEEFF" w:val="clear"/>
            <w:vAlign w:val="bottom"/>
          </w:tcPr>
          <w:p>
            <w:pPr>
              <w:pStyle w:val="TableContents"/>
              <w:spacing w:before="0" w:after="283"/>
              <w:jc w:val="right"/>
              <w:rPr/>
            </w:pPr>
            <w:r>
              <w:rPr/>
              <w:t>2,593,194</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242" w:type="dxa"/>
            <w:tcBorders/>
            <w:shd w:fill="CCEEFF" w:val="clear"/>
            <w:vAlign w:val="bottom"/>
          </w:tcPr>
          <w:p>
            <w:pPr>
              <w:pStyle w:val="TableContents"/>
              <w:spacing w:before="0" w:after="283"/>
              <w:jc w:val="right"/>
              <w:rPr/>
            </w:pPr>
            <w:r>
              <w:rPr/>
              <w:t>3,447,656</w:t>
            </w:r>
          </w:p>
        </w:tc>
        <w:tc>
          <w:tcPr>
            <w:tcW w:w="10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228" w:type="dxa"/>
            <w:tcBorders/>
            <w:shd w:fill="CCEEFF" w:val="clear"/>
            <w:vAlign w:val="bottom"/>
          </w:tcPr>
          <w:p>
            <w:pPr>
              <w:pStyle w:val="TableContents"/>
              <w:spacing w:before="0" w:after="283"/>
              <w:jc w:val="right"/>
              <w:rPr/>
            </w:pPr>
            <w:r>
              <w:rPr/>
              <w:t>(485,860</w:t>
            </w:r>
          </w:p>
        </w:tc>
        <w:tc>
          <w:tcPr>
            <w:tcW w:w="144" w:type="dxa"/>
            <w:tcBorders/>
            <w:shd w:fill="CCEEFF" w:val="clear"/>
            <w:vAlign w:val="bottom"/>
          </w:tcPr>
          <w:p>
            <w:pPr>
              <w:pStyle w:val="TableContents"/>
              <w:spacing w:before="0" w:after="283"/>
              <w:rPr/>
            </w:pPr>
            <w:r>
              <w:rPr/>
              <w:t>)</w:t>
            </w:r>
          </w:p>
        </w:tc>
      </w:tr>
      <w:tr>
        <w:trPr/>
        <w:tc>
          <w:tcPr>
            <w:tcW w:w="4471"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37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5"/>
        <w:gridCol w:w="133"/>
        <w:gridCol w:w="9777"/>
      </w:tblGrid>
      <w:tr>
        <w:trPr/>
        <w:tc>
          <w:tcPr>
            <w:tcW w:w="295" w:type="dxa"/>
            <w:tcBorders/>
            <w:shd w:fill="auto" w:val="clear"/>
          </w:tcPr>
          <w:p>
            <w:pPr>
              <w:pStyle w:val="TableContents"/>
              <w:spacing w:before="0" w:after="283"/>
              <w:jc w:val="left"/>
              <w:rPr>
                <w:b/>
              </w:rPr>
            </w:pPr>
            <w:r>
              <w:rPr>
                <w:b/>
              </w:rPr>
              <w:t>(4)</w:t>
            </w:r>
          </w:p>
        </w:tc>
        <w:tc>
          <w:tcPr>
            <w:tcW w:w="133" w:type="dxa"/>
            <w:tcBorders/>
            <w:shd w:fill="auto" w:val="clear"/>
          </w:tcPr>
          <w:p>
            <w:pPr>
              <w:pStyle w:val="TableContents"/>
              <w:spacing w:before="0" w:after="283"/>
              <w:rPr/>
            </w:pPr>
            <w:r>
              <w:rPr/>
              <w:t> </w:t>
            </w:r>
          </w:p>
        </w:tc>
        <w:tc>
          <w:tcPr>
            <w:tcW w:w="9777" w:type="dxa"/>
            <w:tcBorders/>
            <w:shd w:fill="auto" w:val="clear"/>
          </w:tcPr>
          <w:p>
            <w:pPr>
              <w:pStyle w:val="TableContents"/>
              <w:spacing w:before="0" w:after="283"/>
              <w:rPr>
                <w:b/>
              </w:rPr>
            </w:pPr>
            <w:r>
              <w:rPr>
                <w:b/>
              </w:rPr>
              <w:t>Income Taxes, Continued</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77" w:type="dxa"/>
            <w:tcBorders/>
            <w:shd w:fill="auto" w:val="clear"/>
          </w:tcPr>
          <w:p>
            <w:pPr>
              <w:pStyle w:val="TableContents"/>
              <w:spacing w:before="0" w:after="283"/>
              <w:rPr/>
            </w:pPr>
            <w:r>
              <w:rPr/>
              <w:t>Actual income tax expense differs from the expected tax expense, computed by applying the U.S. federal corporate income tax rate, to the income from continuing operations before income taxes, as follows:</w:t>
            </w:r>
          </w:p>
        </w:tc>
      </w:tr>
    </w:tbl>
    <w:tbl>
      <w:tblPr>
        <w:tblW w:w="5000" w:type="pct"/>
        <w:jc w:val="center"/>
        <w:tblInd w:w="0" w:type="dxa"/>
        <w:tblCellMar>
          <w:top w:w="0" w:type="dxa"/>
          <w:left w:w="0" w:type="dxa"/>
          <w:bottom w:w="0" w:type="dxa"/>
          <w:right w:w="0" w:type="dxa"/>
        </w:tblCellMar>
      </w:tblPr>
      <w:tblGrid>
        <w:gridCol w:w="4756"/>
        <w:gridCol w:w="335"/>
        <w:gridCol w:w="299"/>
        <w:gridCol w:w="980"/>
        <w:gridCol w:w="223"/>
        <w:gridCol w:w="335"/>
        <w:gridCol w:w="299"/>
        <w:gridCol w:w="980"/>
        <w:gridCol w:w="223"/>
        <w:gridCol w:w="335"/>
        <w:gridCol w:w="299"/>
        <w:gridCol w:w="881"/>
        <w:gridCol w:w="260"/>
      </w:tblGrid>
      <w:tr>
        <w:trPr/>
        <w:tc>
          <w:tcPr>
            <w:tcW w:w="47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02" w:type="dxa"/>
            <w:gridSpan w:val="3"/>
            <w:tcBorders/>
            <w:shd w:fill="auto" w:val="clear"/>
            <w:vAlign w:val="bottom"/>
          </w:tcPr>
          <w:p>
            <w:pPr>
              <w:pStyle w:val="TableContents"/>
              <w:spacing w:before="0" w:after="283"/>
              <w:jc w:val="center"/>
              <w:rPr>
                <w:b/>
              </w:rPr>
            </w:pPr>
            <w:r>
              <w:rPr>
                <w:b/>
              </w:rPr>
              <w:t>2005</w:t>
            </w:r>
          </w:p>
        </w:tc>
        <w:tc>
          <w:tcPr>
            <w:tcW w:w="335" w:type="dxa"/>
            <w:tcBorders/>
            <w:shd w:fill="auto" w:val="clear"/>
            <w:vAlign w:val="bottom"/>
          </w:tcPr>
          <w:p>
            <w:pPr>
              <w:pStyle w:val="TableContents"/>
              <w:spacing w:before="0" w:after="283"/>
              <w:rPr/>
            </w:pPr>
            <w:r>
              <w:rPr/>
              <w:t> </w:t>
            </w:r>
          </w:p>
        </w:tc>
        <w:tc>
          <w:tcPr>
            <w:tcW w:w="1502" w:type="dxa"/>
            <w:gridSpan w:val="3"/>
            <w:tcBorders/>
            <w:shd w:fill="auto" w:val="clear"/>
            <w:vAlign w:val="bottom"/>
          </w:tcPr>
          <w:p>
            <w:pPr>
              <w:pStyle w:val="TableContents"/>
              <w:spacing w:before="0" w:after="283"/>
              <w:jc w:val="center"/>
              <w:rPr>
                <w:b/>
              </w:rPr>
            </w:pPr>
            <w:r>
              <w:rPr>
                <w:b/>
              </w:rPr>
              <w:t>2006</w:t>
            </w:r>
          </w:p>
        </w:tc>
        <w:tc>
          <w:tcPr>
            <w:tcW w:w="335" w:type="dxa"/>
            <w:tcBorders/>
            <w:shd w:fill="auto" w:val="clear"/>
            <w:vAlign w:val="bottom"/>
          </w:tcPr>
          <w:p>
            <w:pPr>
              <w:pStyle w:val="TableContents"/>
              <w:spacing w:before="0" w:after="283"/>
              <w:rPr/>
            </w:pPr>
            <w:r>
              <w:rPr/>
              <w:t> </w:t>
            </w:r>
          </w:p>
        </w:tc>
        <w:tc>
          <w:tcPr>
            <w:tcW w:w="1440"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56" w:type="dxa"/>
            <w:tcBorders/>
            <w:shd w:fill="CCEEFF" w:val="clear"/>
            <w:vAlign w:val="bottom"/>
          </w:tcPr>
          <w:p>
            <w:pPr>
              <w:pStyle w:val="TableContents"/>
              <w:spacing w:before="0" w:after="0"/>
              <w:ind w:left="225" w:right="0" w:hanging="225"/>
              <w:rPr/>
            </w:pPr>
            <w:r>
              <w:rPr/>
              <w:t>Income tax expense (benefit) computed at the federal statutory rate</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2,282,367</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3,018,448</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right"/>
              <w:rPr/>
            </w:pPr>
            <w:r>
              <w:rPr/>
              <w:t>$</w:t>
            </w:r>
          </w:p>
        </w:tc>
        <w:tc>
          <w:tcPr>
            <w:tcW w:w="881" w:type="dxa"/>
            <w:tcBorders/>
            <w:shd w:fill="CCEEFF" w:val="clear"/>
            <w:vAlign w:val="bottom"/>
          </w:tcPr>
          <w:p>
            <w:pPr>
              <w:pStyle w:val="TableContents"/>
              <w:spacing w:before="0" w:after="283"/>
              <w:jc w:val="right"/>
              <w:rPr/>
            </w:pPr>
            <w:r>
              <w:rPr/>
              <w:t>(498,752</w:t>
            </w:r>
          </w:p>
        </w:tc>
        <w:tc>
          <w:tcPr>
            <w:tcW w:w="260" w:type="dxa"/>
            <w:tcBorders/>
            <w:shd w:fill="CCEEFF" w:val="clear"/>
            <w:vAlign w:val="bottom"/>
          </w:tcPr>
          <w:p>
            <w:pPr>
              <w:pStyle w:val="TableContents"/>
              <w:spacing w:before="0" w:after="283"/>
              <w:rPr/>
            </w:pPr>
            <w:r>
              <w:rPr/>
              <w:t>)</w:t>
            </w:r>
          </w:p>
        </w:tc>
      </w:tr>
      <w:tr>
        <w:trPr/>
        <w:tc>
          <w:tcPr>
            <w:tcW w:w="4756" w:type="dxa"/>
            <w:tcBorders/>
            <w:shd w:fill="auto" w:val="clear"/>
            <w:vAlign w:val="bottom"/>
          </w:tcPr>
          <w:p>
            <w:pPr>
              <w:pStyle w:val="TableContents"/>
              <w:spacing w:before="0" w:after="0"/>
              <w:ind w:left="225" w:right="0" w:hanging="225"/>
              <w:rPr/>
            </w:pPr>
            <w:r>
              <w:rPr/>
              <w:t>State income tax expense (benefit), net of federal tax benefit</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243,676</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328,659</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 </w:t>
            </w:r>
          </w:p>
        </w:tc>
        <w:tc>
          <w:tcPr>
            <w:tcW w:w="881" w:type="dxa"/>
            <w:tcBorders/>
            <w:shd w:fill="auto" w:val="clear"/>
            <w:vAlign w:val="bottom"/>
          </w:tcPr>
          <w:p>
            <w:pPr>
              <w:pStyle w:val="TableContents"/>
              <w:spacing w:before="0" w:after="283"/>
              <w:jc w:val="right"/>
              <w:rPr/>
            </w:pPr>
            <w:r>
              <w:rPr/>
              <w:t>( 49,610</w:t>
            </w:r>
          </w:p>
        </w:tc>
        <w:tc>
          <w:tcPr>
            <w:tcW w:w="260" w:type="dxa"/>
            <w:tcBorders/>
            <w:shd w:fill="auto" w:val="clear"/>
            <w:vAlign w:val="bottom"/>
          </w:tcPr>
          <w:p>
            <w:pPr>
              <w:pStyle w:val="TableContents"/>
              <w:spacing w:before="0" w:after="283"/>
              <w:rPr/>
            </w:pPr>
            <w:r>
              <w:rPr/>
              <w:t>)</w:t>
            </w:r>
          </w:p>
        </w:tc>
      </w:tr>
      <w:tr>
        <w:trPr/>
        <w:tc>
          <w:tcPr>
            <w:tcW w:w="4756" w:type="dxa"/>
            <w:tcBorders/>
            <w:shd w:fill="CCEEFF" w:val="clear"/>
            <w:vAlign w:val="bottom"/>
          </w:tcPr>
          <w:p>
            <w:pPr>
              <w:pStyle w:val="TableContents"/>
              <w:spacing w:before="0" w:after="0"/>
              <w:ind w:left="225" w:right="0" w:hanging="225"/>
              <w:rPr/>
            </w:pPr>
            <w:r>
              <w:rPr/>
              <w:t>Non-deductible expenses</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23,388</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59,904</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53,102</w:t>
            </w:r>
          </w:p>
        </w:tc>
        <w:tc>
          <w:tcPr>
            <w:tcW w:w="260" w:type="dxa"/>
            <w:tcBorders/>
            <w:shd w:fill="CCEEFF"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Change in federal valuation allowance</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w:t>
            </w:r>
          </w:p>
        </w:tc>
        <w:tc>
          <w:tcPr>
            <w:tcW w:w="26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Other</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43,763</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40,645</w:t>
            </w:r>
          </w:p>
        </w:tc>
        <w:tc>
          <w:tcPr>
            <w:tcW w:w="22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9,400</w:t>
            </w:r>
          </w:p>
        </w:tc>
        <w:tc>
          <w:tcPr>
            <w:tcW w:w="260" w:type="dxa"/>
            <w:tcBorders/>
            <w:shd w:fill="CCEEFF" w:val="clear"/>
            <w:vAlign w:val="bottom"/>
          </w:tcPr>
          <w:p>
            <w:pPr>
              <w:pStyle w:val="TableContents"/>
              <w:spacing w:before="0" w:after="283"/>
              <w:rPr/>
            </w:pPr>
            <w:r>
              <w:rPr/>
              <w:t> </w:t>
            </w:r>
          </w:p>
        </w:tc>
      </w:tr>
      <w:tr>
        <w:trPr/>
        <w:tc>
          <w:tcPr>
            <w:tcW w:w="4756"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511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56" w:type="dxa"/>
            <w:tcBorders/>
            <w:shd w:fill="auto" w:val="clear"/>
            <w:vAlign w:val="bottom"/>
          </w:tcPr>
          <w:p>
            <w:pPr>
              <w:pStyle w:val="TableContents"/>
              <w:spacing w:before="0" w:after="0"/>
              <w:ind w:left="225" w:right="0" w:hanging="225"/>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2,593,194</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3,447,656</w:t>
            </w:r>
          </w:p>
        </w:tc>
        <w:tc>
          <w:tcPr>
            <w:tcW w:w="22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w:t>
            </w:r>
          </w:p>
        </w:tc>
        <w:tc>
          <w:tcPr>
            <w:tcW w:w="881" w:type="dxa"/>
            <w:tcBorders/>
            <w:shd w:fill="auto" w:val="clear"/>
            <w:vAlign w:val="bottom"/>
          </w:tcPr>
          <w:p>
            <w:pPr>
              <w:pStyle w:val="TableContents"/>
              <w:spacing w:before="0" w:after="283"/>
              <w:jc w:val="right"/>
              <w:rPr/>
            </w:pPr>
            <w:r>
              <w:rPr/>
              <w:t>(485,860</w:t>
            </w:r>
          </w:p>
        </w:tc>
        <w:tc>
          <w:tcPr>
            <w:tcW w:w="260" w:type="dxa"/>
            <w:tcBorders/>
            <w:shd w:fill="auto" w:val="clear"/>
            <w:vAlign w:val="bottom"/>
          </w:tcPr>
          <w:p>
            <w:pPr>
              <w:pStyle w:val="TableContents"/>
              <w:spacing w:before="0" w:after="283"/>
              <w:rPr/>
            </w:pPr>
            <w:r>
              <w:rPr/>
              <w:t>)</w:t>
            </w:r>
          </w:p>
        </w:tc>
      </w:tr>
      <w:tr>
        <w:trPr/>
        <w:tc>
          <w:tcPr>
            <w:tcW w:w="4756"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5114"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projects future taxable income, and tax planning strategies in making this assessment.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302"/>
        <w:gridCol w:w="133"/>
        <w:gridCol w:w="9770"/>
      </w:tblGrid>
      <w:tr>
        <w:trPr/>
        <w:tc>
          <w:tcPr>
            <w:tcW w:w="302" w:type="dxa"/>
            <w:tcBorders/>
            <w:shd w:fill="auto" w:val="clear"/>
          </w:tcPr>
          <w:p>
            <w:pPr>
              <w:pStyle w:val="TableContents"/>
              <w:spacing w:before="0" w:after="283"/>
              <w:jc w:val="left"/>
              <w:rPr>
                <w:b/>
              </w:rPr>
            </w:pPr>
            <w:r>
              <w:rPr>
                <w:b/>
              </w:rPr>
              <w:t>(4)</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b/>
              </w:rPr>
            </w:pPr>
            <w:r>
              <w:rPr>
                <w:b/>
              </w:rPr>
              <w:t>Income Taxes, Continued</w:t>
            </w:r>
          </w:p>
        </w:tc>
      </w:tr>
      <w:tr>
        <w:trPr/>
        <w:tc>
          <w:tcPr>
            <w:tcW w:w="302" w:type="dxa"/>
            <w:tcBorders/>
            <w:shd w:fill="auto" w:val="clear"/>
            <w:vAlign w:val="center"/>
          </w:tcPr>
          <w:p>
            <w:pPr>
              <w:pStyle w:val="TableContents"/>
              <w:spacing w:before="0" w:after="283"/>
              <w:rPr/>
            </w:pPr>
            <w:r>
              <w:rPr/>
              <w:t> </w:t>
            </w:r>
          </w:p>
        </w:tc>
        <w:tc>
          <w:tcPr>
            <w:tcW w:w="9903" w:type="dxa"/>
            <w:gridSpan w:val="2"/>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pPr>
            <w:r>
              <w:rPr/>
              <w:t xml:space="preserve">Deferred income taxes reflect the net tax effects of temporary differences between the carrying amounts of assets and liabilities for financial reporting purposes and the amounts used for income tax purposes. Deferred tax assets and liabilities at December 31, 2005, 2006 and 2007 were comprised of the following: </w:t>
            </w:r>
          </w:p>
        </w:tc>
      </w:tr>
    </w:tbl>
    <w:p>
      <w:pPr>
        <w:pStyle w:val="TextBody"/>
        <w:spacing w:before="120" w:after="283"/>
        <w:jc w:val="left"/>
        <w:rPr/>
      </w:pPr>
      <w:r>
        <w:rPr/>
        <w:t xml:space="preserve">      </w:t>
      </w:r>
    </w:p>
    <w:tbl>
      <w:tblPr>
        <w:tblW w:w="5000" w:type="pct"/>
        <w:jc w:val="center"/>
        <w:tblInd w:w="0" w:type="dxa"/>
        <w:tblCellMar>
          <w:top w:w="0" w:type="dxa"/>
          <w:left w:w="0" w:type="dxa"/>
          <w:bottom w:w="0" w:type="dxa"/>
          <w:right w:w="0" w:type="dxa"/>
        </w:tblCellMar>
      </w:tblPr>
      <w:tblGrid>
        <w:gridCol w:w="4313"/>
        <w:gridCol w:w="317"/>
        <w:gridCol w:w="290"/>
        <w:gridCol w:w="1108"/>
        <w:gridCol w:w="247"/>
        <w:gridCol w:w="317"/>
        <w:gridCol w:w="290"/>
        <w:gridCol w:w="1108"/>
        <w:gridCol w:w="247"/>
        <w:gridCol w:w="317"/>
        <w:gridCol w:w="290"/>
        <w:gridCol w:w="1108"/>
        <w:gridCol w:w="253"/>
      </w:tblGrid>
      <w:tr>
        <w:trPr/>
        <w:tc>
          <w:tcPr>
            <w:tcW w:w="431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645" w:type="dxa"/>
            <w:gridSpan w:val="3"/>
            <w:tcBorders/>
            <w:shd w:fill="auto" w:val="clear"/>
            <w:vAlign w:val="bottom"/>
          </w:tcPr>
          <w:p>
            <w:pPr>
              <w:pStyle w:val="TableContents"/>
              <w:spacing w:before="0" w:after="283"/>
              <w:jc w:val="center"/>
              <w:rPr>
                <w:b/>
              </w:rPr>
            </w:pPr>
            <w:r>
              <w:rPr>
                <w:b/>
              </w:rPr>
              <w:t>2005</w:t>
            </w:r>
          </w:p>
        </w:tc>
        <w:tc>
          <w:tcPr>
            <w:tcW w:w="317" w:type="dxa"/>
            <w:tcBorders/>
            <w:shd w:fill="auto" w:val="clear"/>
            <w:vAlign w:val="bottom"/>
          </w:tcPr>
          <w:p>
            <w:pPr>
              <w:pStyle w:val="TableContents"/>
              <w:spacing w:before="0" w:after="283"/>
              <w:rPr/>
            </w:pPr>
            <w:r>
              <w:rPr/>
              <w:t> </w:t>
            </w:r>
          </w:p>
        </w:tc>
        <w:tc>
          <w:tcPr>
            <w:tcW w:w="1645" w:type="dxa"/>
            <w:gridSpan w:val="3"/>
            <w:tcBorders/>
            <w:shd w:fill="auto" w:val="clear"/>
            <w:vAlign w:val="bottom"/>
          </w:tcPr>
          <w:p>
            <w:pPr>
              <w:pStyle w:val="TableContents"/>
              <w:spacing w:before="0" w:after="283"/>
              <w:jc w:val="center"/>
              <w:rPr>
                <w:b/>
              </w:rPr>
            </w:pPr>
            <w:r>
              <w:rPr>
                <w:b/>
              </w:rPr>
              <w:t>2006</w:t>
            </w:r>
          </w:p>
        </w:tc>
        <w:tc>
          <w:tcPr>
            <w:tcW w:w="317" w:type="dxa"/>
            <w:tcBorders/>
            <w:shd w:fill="auto" w:val="clear"/>
            <w:vAlign w:val="bottom"/>
          </w:tcPr>
          <w:p>
            <w:pPr>
              <w:pStyle w:val="TableContents"/>
              <w:spacing w:before="0" w:after="283"/>
              <w:rPr/>
            </w:pPr>
            <w:r>
              <w:rPr/>
              <w:t> </w:t>
            </w:r>
          </w:p>
        </w:tc>
        <w:tc>
          <w:tcPr>
            <w:tcW w:w="1651"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13" w:type="dxa"/>
            <w:tcBorders/>
            <w:shd w:fill="CCEEFF" w:val="clear"/>
            <w:vAlign w:val="bottom"/>
          </w:tcPr>
          <w:p>
            <w:pPr>
              <w:pStyle w:val="TableContents"/>
              <w:spacing w:before="0" w:after="0"/>
              <w:ind w:left="225" w:right="0" w:hanging="225"/>
              <w:rPr/>
            </w:pPr>
            <w:r>
              <w:rPr/>
              <w:t>Deferred tax asset: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Net operating loss carryforward</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10,647,845</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6,771,265</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5,649,641</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Allowance for doubtful service charges</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552,466</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661,614</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770,591</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Allowance for inventory</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106,511</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106,571</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125,326</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Deferred rent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119,476</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135,504</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134,416</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Charitable contribution carryforward</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7,246</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12,193</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18,808</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Accrued expenses</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12,189</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246,708</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944,042</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Tax credits</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213,774</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412,764</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491,519</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Revenue recognition</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1,786,838</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1,786,838</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2,067,811</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450" w:right="0" w:hanging="225"/>
              <w:rPr/>
            </w:pPr>
            <w:r>
              <w:rPr/>
              <w:t>Interest rate swap</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201,903</w:t>
            </w:r>
          </w:p>
        </w:tc>
        <w:tc>
          <w:tcPr>
            <w:tcW w:w="253"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557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13" w:type="dxa"/>
            <w:tcBorders/>
            <w:shd w:fill="auto" w:val="clear"/>
            <w:vAlign w:val="bottom"/>
          </w:tcPr>
          <w:p>
            <w:pPr>
              <w:pStyle w:val="TableContents"/>
              <w:spacing w:before="0" w:after="0"/>
              <w:ind w:left="225" w:right="0" w:hanging="225"/>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13,446,345</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10,133,457</w:t>
            </w:r>
          </w:p>
        </w:tc>
        <w:tc>
          <w:tcPr>
            <w:tcW w:w="247"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10,378,045</w:t>
            </w:r>
          </w:p>
        </w:tc>
        <w:tc>
          <w:tcPr>
            <w:tcW w:w="253" w:type="dxa"/>
            <w:tcBorders/>
            <w:shd w:fill="CCEEFF"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557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13" w:type="dxa"/>
            <w:tcBorders/>
            <w:shd w:fill="auto" w:val="clear"/>
            <w:vAlign w:val="bottom"/>
          </w:tcPr>
          <w:p>
            <w:pPr>
              <w:pStyle w:val="TableContents"/>
              <w:spacing w:before="0" w:after="0"/>
              <w:ind w:left="225" w:right="0" w:hanging="225"/>
              <w:rPr/>
            </w:pPr>
            <w:r>
              <w:rPr/>
              <w:t>Deferred tax liability:</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450" w:right="0" w:hanging="225"/>
              <w:rPr/>
            </w:pPr>
            <w:r>
              <w:rPr/>
              <w:t>Property and equipment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(1,204,726</w:t>
            </w:r>
          </w:p>
        </w:tc>
        <w:tc>
          <w:tcPr>
            <w:tcW w:w="247" w:type="dxa"/>
            <w:tcBorders/>
            <w:shd w:fill="CCEEFF" w:val="clear"/>
            <w:vAlign w:val="bottom"/>
          </w:tcPr>
          <w:p>
            <w:pPr>
              <w:pStyle w:val="TableContents"/>
              <w:spacing w:before="0" w:after="283"/>
              <w:rPr/>
            </w:pPr>
            <w:r>
              <w:rPr/>
              <w: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(1,003,112</w:t>
            </w:r>
          </w:p>
        </w:tc>
        <w:tc>
          <w:tcPr>
            <w:tcW w:w="247" w:type="dxa"/>
            <w:tcBorders/>
            <w:shd w:fill="CCEEFF" w:val="clear"/>
            <w:vAlign w:val="bottom"/>
          </w:tcPr>
          <w:p>
            <w:pPr>
              <w:pStyle w:val="TableContents"/>
              <w:spacing w:before="0" w:after="283"/>
              <w:rPr/>
            </w:pPr>
            <w:r>
              <w:rPr/>
              <w: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(562,422</w:t>
            </w:r>
          </w:p>
        </w:tc>
        <w:tc>
          <w:tcPr>
            <w:tcW w:w="253" w:type="dxa"/>
            <w:tcBorders/>
            <w:shd w:fill="CCEEFF" w:val="clear"/>
            <w:vAlign w:val="bottom"/>
          </w:tcPr>
          <w:p>
            <w:pPr>
              <w:pStyle w:val="TableContents"/>
              <w:spacing w:before="0" w:after="283"/>
              <w:rPr/>
            </w:pPr>
            <w:r>
              <w:rPr/>
              <w:t>)</w:t>
            </w:r>
          </w:p>
        </w:tc>
      </w:tr>
      <w:tr>
        <w:trPr/>
        <w:tc>
          <w:tcPr>
            <w:tcW w:w="4313" w:type="dxa"/>
            <w:tcBorders/>
            <w:shd w:fill="auto" w:val="clear"/>
            <w:vAlign w:val="bottom"/>
          </w:tcPr>
          <w:p>
            <w:pPr>
              <w:pStyle w:val="TableContents"/>
              <w:spacing w:before="0" w:after="0"/>
              <w:ind w:left="450" w:right="0" w:hanging="225"/>
              <w:rPr/>
            </w:pPr>
            <w:r>
              <w:rPr/>
              <w:t>Intangible assets</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jc w:val="right"/>
              <w:rPr/>
            </w:pPr>
            <w:r>
              <w:rPr/>
              <w:t>(834,697</w:t>
            </w:r>
          </w:p>
        </w:tc>
        <w:tc>
          <w:tcPr>
            <w:tcW w:w="247" w:type="dxa"/>
            <w:tcBorders/>
            <w:shd w:fill="auto" w:val="clear"/>
            <w:vAlign w:val="bottom"/>
          </w:tcPr>
          <w:p>
            <w:pPr>
              <w:pStyle w:val="TableContents"/>
              <w:spacing w:before="0" w:after="283"/>
              <w:rPr/>
            </w:pPr>
            <w:r>
              <w:rPr/>
              <w:t>)</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jc w:val="right"/>
              <w:rPr/>
            </w:pPr>
            <w:r>
              <w:rPr/>
              <w:t>(979,019</w:t>
            </w:r>
          </w:p>
        </w:tc>
        <w:tc>
          <w:tcPr>
            <w:tcW w:w="247" w:type="dxa"/>
            <w:tcBorders/>
            <w:shd w:fill="auto" w:val="clear"/>
            <w:vAlign w:val="bottom"/>
          </w:tcPr>
          <w:p>
            <w:pPr>
              <w:pStyle w:val="TableContents"/>
              <w:spacing w:before="0" w:after="283"/>
              <w:rPr/>
            </w:pPr>
            <w:r>
              <w:rPr/>
              <w:t>)</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jc w:val="right"/>
              <w:rPr/>
            </w:pPr>
            <w:r>
              <w:rPr/>
              <w:t>(1,127,914</w:t>
            </w:r>
          </w:p>
        </w:tc>
        <w:tc>
          <w:tcPr>
            <w:tcW w:w="253" w:type="dxa"/>
            <w:tcBorders/>
            <w:shd w:fill="auto" w:val="clear"/>
            <w:vAlign w:val="bottom"/>
          </w:tcPr>
          <w:p>
            <w:pPr>
              <w:pStyle w:val="TableContents"/>
              <w:spacing w:before="0" w:after="283"/>
              <w:rPr/>
            </w:pPr>
            <w:r>
              <w:rPr/>
              <w:t>)</w:t>
            </w:r>
          </w:p>
        </w:tc>
      </w:tr>
      <w:tr>
        <w:trPr/>
        <w:tc>
          <w:tcPr>
            <w:tcW w:w="4313"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557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13" w:type="dxa"/>
            <w:tcBorders/>
            <w:shd w:fill="auto" w:val="clear"/>
            <w:vAlign w:val="bottom"/>
          </w:tcPr>
          <w:p>
            <w:pPr>
              <w:pStyle w:val="TableContents"/>
              <w:spacing w:before="0" w:after="0"/>
              <w:ind w:left="225" w:right="0" w:hanging="225"/>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313" w:type="dxa"/>
            <w:tcBorders/>
            <w:shd w:fill="CCEEFF" w:val="clear"/>
            <w:vAlign w:val="bottom"/>
          </w:tcPr>
          <w:p>
            <w:pPr>
              <w:pStyle w:val="TableContents"/>
              <w:spacing w:before="0" w:after="0"/>
              <w:ind w:left="225" w:right="0" w:hanging="225"/>
              <w:rPr/>
            </w:pPr>
            <w:r>
              <w:rPr/>
              <w:t> </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(2,039,423</w:t>
            </w:r>
          </w:p>
        </w:tc>
        <w:tc>
          <w:tcPr>
            <w:tcW w:w="247" w:type="dxa"/>
            <w:tcBorders/>
            <w:shd w:fill="CCEEFF" w:val="clear"/>
            <w:vAlign w:val="bottom"/>
          </w:tcPr>
          <w:p>
            <w:pPr>
              <w:pStyle w:val="TableContents"/>
              <w:spacing w:before="0" w:after="283"/>
              <w:rPr/>
            </w:pPr>
            <w:r>
              <w:rPr/>
              <w: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(1,982,131</w:t>
            </w:r>
          </w:p>
        </w:tc>
        <w:tc>
          <w:tcPr>
            <w:tcW w:w="247" w:type="dxa"/>
            <w:tcBorders/>
            <w:shd w:fill="CCEEFF" w:val="clear"/>
            <w:vAlign w:val="bottom"/>
          </w:tcPr>
          <w:p>
            <w:pPr>
              <w:pStyle w:val="TableContents"/>
              <w:spacing w:before="0" w:after="283"/>
              <w:rPr/>
            </w:pPr>
            <w:r>
              <w:rPr/>
              <w:t>)</w:t>
            </w:r>
          </w:p>
        </w:tc>
        <w:tc>
          <w:tcPr>
            <w:tcW w:w="317"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108" w:type="dxa"/>
            <w:tcBorders/>
            <w:shd w:fill="CCEEFF" w:val="clear"/>
            <w:vAlign w:val="bottom"/>
          </w:tcPr>
          <w:p>
            <w:pPr>
              <w:pStyle w:val="TableContents"/>
              <w:spacing w:before="0" w:after="283"/>
              <w:jc w:val="right"/>
              <w:rPr/>
            </w:pPr>
            <w:r>
              <w:rPr/>
              <w:t>(1,690,336</w:t>
            </w:r>
          </w:p>
        </w:tc>
        <w:tc>
          <w:tcPr>
            <w:tcW w:w="253" w:type="dxa"/>
            <w:tcBorders/>
            <w:shd w:fill="CCEEFF" w:val="clear"/>
            <w:vAlign w:val="bottom"/>
          </w:tcPr>
          <w:p>
            <w:pPr>
              <w:pStyle w:val="TableContents"/>
              <w:spacing w:before="0" w:after="283"/>
              <w:rPr/>
            </w:pPr>
            <w:r>
              <w:rPr/>
              <w:t>)</w:t>
            </w:r>
          </w:p>
        </w:tc>
      </w:tr>
      <w:tr>
        <w:trPr/>
        <w:tc>
          <w:tcPr>
            <w:tcW w:w="4313"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557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13" w:type="dxa"/>
            <w:tcBorders/>
            <w:shd w:fill="auto" w:val="clear"/>
            <w:vAlign w:val="bottom"/>
          </w:tcPr>
          <w:p>
            <w:pPr>
              <w:pStyle w:val="TableContents"/>
              <w:spacing w:before="0" w:after="0"/>
              <w:ind w:left="225" w:right="0" w:hanging="225"/>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313" w:type="dxa"/>
            <w:tcBorders/>
            <w:shd w:fill="auto" w:val="clear"/>
            <w:vAlign w:val="bottom"/>
          </w:tcPr>
          <w:p>
            <w:pPr>
              <w:pStyle w:val="TableContents"/>
              <w:spacing w:before="0" w:after="0"/>
              <w:ind w:left="225" w:right="0" w:hanging="225"/>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11,406,922</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8,151,326</w:t>
            </w:r>
          </w:p>
        </w:tc>
        <w:tc>
          <w:tcPr>
            <w:tcW w:w="24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8,687,709</w:t>
            </w:r>
          </w:p>
        </w:tc>
        <w:tc>
          <w:tcPr>
            <w:tcW w:w="253" w:type="dxa"/>
            <w:tcBorders/>
            <w:shd w:fill="auto" w:val="clear"/>
            <w:vAlign w:val="bottom"/>
          </w:tcPr>
          <w:p>
            <w:pPr>
              <w:pStyle w:val="TableContents"/>
              <w:spacing w:before="0" w:after="283"/>
              <w:rPr/>
            </w:pPr>
            <w:r>
              <w:rPr/>
              <w:t> </w:t>
            </w:r>
          </w:p>
        </w:tc>
      </w:tr>
      <w:tr>
        <w:trPr/>
        <w:tc>
          <w:tcPr>
            <w:tcW w:w="4313"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557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amounts are included in the accompanying consolidated balance sheets under the following captions: </w:t>
      </w:r>
    </w:p>
    <w:tbl>
      <w:tblPr>
        <w:tblW w:w="5000" w:type="pct"/>
        <w:jc w:val="center"/>
        <w:tblInd w:w="0" w:type="dxa"/>
        <w:tblCellMar>
          <w:top w:w="0" w:type="dxa"/>
          <w:left w:w="0" w:type="dxa"/>
          <w:bottom w:w="0" w:type="dxa"/>
          <w:right w:w="0" w:type="dxa"/>
        </w:tblCellMar>
      </w:tblPr>
      <w:tblGrid>
        <w:gridCol w:w="4133"/>
        <w:gridCol w:w="309"/>
        <w:gridCol w:w="293"/>
        <w:gridCol w:w="1171"/>
        <w:gridCol w:w="249"/>
        <w:gridCol w:w="309"/>
        <w:gridCol w:w="298"/>
        <w:gridCol w:w="1163"/>
        <w:gridCol w:w="252"/>
        <w:gridCol w:w="309"/>
        <w:gridCol w:w="298"/>
        <w:gridCol w:w="1162"/>
        <w:gridCol w:w="259"/>
      </w:tblGrid>
      <w:tr>
        <w:trPr/>
        <w:tc>
          <w:tcPr>
            <w:tcW w:w="4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r>
      <w:tr>
        <w:trPr/>
        <w:tc>
          <w:tcPr>
            <w:tcW w:w="4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spacing w:before="0" w:after="283"/>
              <w:jc w:val="center"/>
              <w:rPr>
                <w:b/>
              </w:rPr>
            </w:pPr>
            <w:r>
              <w:rPr>
                <w:b/>
              </w:rPr>
              <w:t>December 31,</w:t>
            </w:r>
          </w:p>
        </w:tc>
        <w:tc>
          <w:tcPr>
            <w:tcW w:w="309"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spacing w:before="0" w:after="283"/>
              <w:jc w:val="center"/>
              <w:rPr>
                <w:b/>
              </w:rPr>
            </w:pPr>
            <w:r>
              <w:rPr>
                <w:b/>
              </w:rPr>
              <w:t>December 31,</w:t>
            </w:r>
          </w:p>
        </w:tc>
        <w:tc>
          <w:tcPr>
            <w:tcW w:w="309" w:type="dxa"/>
            <w:tcBorders/>
            <w:shd w:fill="auto" w:val="clear"/>
            <w:vAlign w:val="bottom"/>
          </w:tcPr>
          <w:p>
            <w:pPr>
              <w:pStyle w:val="TableContents"/>
              <w:spacing w:before="0" w:after="283"/>
              <w:rPr/>
            </w:pPr>
            <w:r>
              <w:rPr/>
              <w:t> </w:t>
            </w:r>
          </w:p>
        </w:tc>
        <w:tc>
          <w:tcPr>
            <w:tcW w:w="1719" w:type="dxa"/>
            <w:gridSpan w:val="3"/>
            <w:tcBorders/>
            <w:shd w:fill="auto" w:val="clear"/>
            <w:vAlign w:val="bottom"/>
          </w:tcPr>
          <w:p>
            <w:pPr>
              <w:pStyle w:val="TableContents"/>
              <w:spacing w:before="0" w:after="283"/>
              <w:jc w:val="center"/>
              <w:rPr>
                <w:b/>
              </w:rPr>
            </w:pPr>
            <w:r>
              <w:rPr>
                <w:b/>
              </w:rPr>
              <w:t>December 31,</w:t>
            </w:r>
          </w:p>
        </w:tc>
      </w:tr>
      <w:tr>
        <w:trPr/>
        <w:tc>
          <w:tcPr>
            <w:tcW w:w="4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spacing w:before="0" w:after="283"/>
              <w:jc w:val="center"/>
              <w:rPr>
                <w:b/>
              </w:rPr>
            </w:pPr>
            <w:r>
              <w:rPr>
                <w:b/>
              </w:rPr>
              <w:t>2005</w:t>
            </w:r>
          </w:p>
        </w:tc>
        <w:tc>
          <w:tcPr>
            <w:tcW w:w="309"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spacing w:before="0" w:after="283"/>
              <w:jc w:val="center"/>
              <w:rPr>
                <w:b/>
              </w:rPr>
            </w:pPr>
            <w:r>
              <w:rPr>
                <w:b/>
              </w:rPr>
              <w:t>2006</w:t>
            </w:r>
          </w:p>
        </w:tc>
        <w:tc>
          <w:tcPr>
            <w:tcW w:w="309" w:type="dxa"/>
            <w:tcBorders/>
            <w:shd w:fill="auto" w:val="clear"/>
            <w:vAlign w:val="bottom"/>
          </w:tcPr>
          <w:p>
            <w:pPr>
              <w:pStyle w:val="TableContents"/>
              <w:spacing w:before="0" w:after="283"/>
              <w:rPr/>
            </w:pPr>
            <w:r>
              <w:rPr/>
              <w:t> </w:t>
            </w:r>
          </w:p>
        </w:tc>
        <w:tc>
          <w:tcPr>
            <w:tcW w:w="1719"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33" w:type="dxa"/>
            <w:tcBorders/>
            <w:shd w:fill="auto" w:val="clear"/>
            <w:vAlign w:val="bottom"/>
          </w:tcPr>
          <w:p>
            <w:pPr>
              <w:pStyle w:val="TableContents"/>
              <w:spacing w:before="0" w:after="0"/>
              <w:ind w:left="225" w:right="0" w:hanging="225"/>
              <w:rPr/>
            </w:pPr>
            <w:r>
              <w:rPr/>
              <w:t> </w:t>
            </w:r>
          </w:p>
        </w:tc>
        <w:tc>
          <w:tcPr>
            <w:tcW w:w="309"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r>
      <w:tr>
        <w:trPr/>
        <w:tc>
          <w:tcPr>
            <w:tcW w:w="4133" w:type="dxa"/>
            <w:tcBorders/>
            <w:shd w:fill="CCEEFF" w:val="clear"/>
            <w:vAlign w:val="bottom"/>
          </w:tcPr>
          <w:p>
            <w:pPr>
              <w:pStyle w:val="TableContents"/>
              <w:spacing w:before="0" w:after="0"/>
              <w:ind w:left="225" w:right="0" w:hanging="225"/>
              <w:rPr/>
            </w:pPr>
            <w:r>
              <w:rPr/>
              <w:t>Current:</w:t>
            </w:r>
          </w:p>
        </w:tc>
        <w:tc>
          <w:tcPr>
            <w:tcW w:w="309"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r>
      <w:tr>
        <w:trPr/>
        <w:tc>
          <w:tcPr>
            <w:tcW w:w="4133" w:type="dxa"/>
            <w:tcBorders/>
            <w:shd w:fill="auto" w:val="clear"/>
            <w:vAlign w:val="bottom"/>
          </w:tcPr>
          <w:p>
            <w:pPr>
              <w:pStyle w:val="TableContents"/>
              <w:spacing w:before="0" w:after="0"/>
              <w:ind w:left="450" w:right="0" w:hanging="225"/>
              <w:rPr/>
            </w:pPr>
            <w:r>
              <w:rPr/>
              <w:t>Deferred tax assets</w:t>
            </w:r>
          </w:p>
        </w:tc>
        <w:tc>
          <w:tcPr>
            <w:tcW w:w="309"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1171" w:type="dxa"/>
            <w:tcBorders/>
            <w:shd w:fill="auto" w:val="clear"/>
            <w:vAlign w:val="bottom"/>
          </w:tcPr>
          <w:p>
            <w:pPr>
              <w:pStyle w:val="TableContents"/>
              <w:spacing w:before="0" w:after="283"/>
              <w:jc w:val="right"/>
              <w:rPr/>
            </w:pPr>
            <w:r>
              <w:rPr/>
              <w:t>3,275,000</w:t>
            </w:r>
          </w:p>
        </w:tc>
        <w:tc>
          <w:tcPr>
            <w:tcW w:w="24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63" w:type="dxa"/>
            <w:tcBorders/>
            <w:shd w:fill="auto" w:val="clear"/>
            <w:vAlign w:val="bottom"/>
          </w:tcPr>
          <w:p>
            <w:pPr>
              <w:pStyle w:val="TableContents"/>
              <w:spacing w:before="0" w:after="283"/>
              <w:jc w:val="right"/>
              <w:rPr/>
            </w:pPr>
            <w:r>
              <w:rPr/>
              <w:t>3,120,000</w:t>
            </w:r>
          </w:p>
        </w:tc>
        <w:tc>
          <w:tcPr>
            <w:tcW w:w="25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62" w:type="dxa"/>
            <w:tcBorders/>
            <w:shd w:fill="auto" w:val="clear"/>
            <w:vAlign w:val="bottom"/>
          </w:tcPr>
          <w:p>
            <w:pPr>
              <w:pStyle w:val="TableContents"/>
              <w:spacing w:before="0" w:after="283"/>
              <w:jc w:val="right"/>
              <w:rPr/>
            </w:pPr>
            <w:r>
              <w:rPr/>
              <w:t>4,042,186</w:t>
            </w:r>
          </w:p>
        </w:tc>
        <w:tc>
          <w:tcPr>
            <w:tcW w:w="259" w:type="dxa"/>
            <w:tcBorders/>
            <w:shd w:fill="auto" w:val="clear"/>
            <w:vAlign w:val="bottom"/>
          </w:tcPr>
          <w:p>
            <w:pPr>
              <w:pStyle w:val="TableContents"/>
              <w:spacing w:before="0" w:after="283"/>
              <w:rPr/>
            </w:pPr>
            <w:r>
              <w:rPr/>
              <w:t> </w:t>
            </w:r>
          </w:p>
        </w:tc>
      </w:tr>
      <w:tr>
        <w:trPr/>
        <w:tc>
          <w:tcPr>
            <w:tcW w:w="4133" w:type="dxa"/>
            <w:tcBorders/>
            <w:shd w:fill="CCEEFF" w:val="clear"/>
            <w:vAlign w:val="bottom"/>
          </w:tcPr>
          <w:p>
            <w:pPr>
              <w:pStyle w:val="TableContents"/>
              <w:spacing w:before="0" w:after="0"/>
              <w:ind w:left="225" w:right="0" w:hanging="225"/>
              <w:rPr/>
            </w:pPr>
            <w:r>
              <w:rPr/>
              <w:t>Non-current:</w:t>
            </w:r>
          </w:p>
        </w:tc>
        <w:tc>
          <w:tcPr>
            <w:tcW w:w="309"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r>
      <w:tr>
        <w:trPr/>
        <w:tc>
          <w:tcPr>
            <w:tcW w:w="4133" w:type="dxa"/>
            <w:tcBorders/>
            <w:shd w:fill="auto" w:val="clear"/>
            <w:vAlign w:val="bottom"/>
          </w:tcPr>
          <w:p>
            <w:pPr>
              <w:pStyle w:val="TableContents"/>
              <w:spacing w:before="0" w:after="0"/>
              <w:ind w:left="450" w:right="0" w:hanging="225"/>
              <w:rPr/>
            </w:pPr>
            <w:r>
              <w:rPr/>
              <w:t>Deferred tax assets</w:t>
            </w:r>
          </w:p>
        </w:tc>
        <w:tc>
          <w:tcPr>
            <w:tcW w:w="309"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10,171,345</w:t>
            </w:r>
          </w:p>
        </w:tc>
        <w:tc>
          <w:tcPr>
            <w:tcW w:w="24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7,013,457</w:t>
            </w:r>
          </w:p>
        </w:tc>
        <w:tc>
          <w:tcPr>
            <w:tcW w:w="25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6,335,859</w:t>
            </w:r>
          </w:p>
        </w:tc>
        <w:tc>
          <w:tcPr>
            <w:tcW w:w="259" w:type="dxa"/>
            <w:tcBorders/>
            <w:shd w:fill="auto" w:val="clear"/>
            <w:vAlign w:val="bottom"/>
          </w:tcPr>
          <w:p>
            <w:pPr>
              <w:pStyle w:val="TableContents"/>
              <w:spacing w:before="0" w:after="283"/>
              <w:rPr/>
            </w:pPr>
            <w:r>
              <w:rPr/>
              <w:t> </w:t>
            </w:r>
          </w:p>
        </w:tc>
      </w:tr>
      <w:tr>
        <w:trPr/>
        <w:tc>
          <w:tcPr>
            <w:tcW w:w="4133" w:type="dxa"/>
            <w:tcBorders/>
            <w:shd w:fill="CCEEFF" w:val="clear"/>
            <w:vAlign w:val="bottom"/>
          </w:tcPr>
          <w:p>
            <w:pPr>
              <w:pStyle w:val="TableContents"/>
              <w:spacing w:before="0" w:after="0"/>
              <w:ind w:left="450" w:right="0" w:hanging="225"/>
              <w:rPr/>
            </w:pPr>
            <w:r>
              <w:rPr/>
              <w:t>Deferred tax liabilities</w:t>
            </w:r>
          </w:p>
        </w:tc>
        <w:tc>
          <w:tcPr>
            <w:tcW w:w="309"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1171" w:type="dxa"/>
            <w:tcBorders/>
            <w:shd w:fill="CCEEFF" w:val="clear"/>
            <w:vAlign w:val="bottom"/>
          </w:tcPr>
          <w:p>
            <w:pPr>
              <w:pStyle w:val="TableContents"/>
              <w:spacing w:before="0" w:after="283"/>
              <w:jc w:val="right"/>
              <w:rPr/>
            </w:pPr>
            <w:r>
              <w:rPr/>
              <w:t>(2,039,423</w:t>
            </w:r>
          </w:p>
        </w:tc>
        <w:tc>
          <w:tcPr>
            <w:tcW w:w="249" w:type="dxa"/>
            <w:tcBorders/>
            <w:shd w:fill="CCEEFF" w:val="clear"/>
            <w:vAlign w:val="bottom"/>
          </w:tcPr>
          <w:p>
            <w:pPr>
              <w:pStyle w:val="TableContents"/>
              <w:spacing w:before="0" w:after="283"/>
              <w:rPr/>
            </w:pPr>
            <w:r>
              <w:rPr/>
              <w:t>)</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63" w:type="dxa"/>
            <w:tcBorders/>
            <w:shd w:fill="CCEEFF" w:val="clear"/>
            <w:vAlign w:val="bottom"/>
          </w:tcPr>
          <w:p>
            <w:pPr>
              <w:pStyle w:val="TableContents"/>
              <w:spacing w:before="0" w:after="283"/>
              <w:jc w:val="right"/>
              <w:rPr/>
            </w:pPr>
            <w:r>
              <w:rPr/>
              <w:t>(1,982,131</w:t>
            </w:r>
          </w:p>
        </w:tc>
        <w:tc>
          <w:tcPr>
            <w:tcW w:w="252" w:type="dxa"/>
            <w:tcBorders/>
            <w:shd w:fill="CCEEFF" w:val="clear"/>
            <w:vAlign w:val="bottom"/>
          </w:tcPr>
          <w:p>
            <w:pPr>
              <w:pStyle w:val="TableContents"/>
              <w:spacing w:before="0" w:after="283"/>
              <w:rPr/>
            </w:pPr>
            <w:r>
              <w:rPr/>
              <w:t>)</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62" w:type="dxa"/>
            <w:tcBorders/>
            <w:shd w:fill="CCEEFF" w:val="clear"/>
            <w:vAlign w:val="bottom"/>
          </w:tcPr>
          <w:p>
            <w:pPr>
              <w:pStyle w:val="TableContents"/>
              <w:spacing w:before="0" w:after="283"/>
              <w:jc w:val="right"/>
              <w:rPr/>
            </w:pPr>
            <w:r>
              <w:rPr/>
              <w:t>(1,690,336</w:t>
            </w:r>
          </w:p>
        </w:tc>
        <w:tc>
          <w:tcPr>
            <w:tcW w:w="259" w:type="dxa"/>
            <w:tcBorders/>
            <w:shd w:fill="CCEEFF" w:val="clear"/>
            <w:vAlign w:val="bottom"/>
          </w:tcPr>
          <w:p>
            <w:pPr>
              <w:pStyle w:val="TableContents"/>
              <w:spacing w:before="0" w:after="283"/>
              <w:rPr/>
            </w:pPr>
            <w:r>
              <w:rPr/>
              <w:t>)</w:t>
            </w:r>
          </w:p>
        </w:tc>
      </w:tr>
      <w:tr>
        <w:trPr/>
        <w:tc>
          <w:tcPr>
            <w:tcW w:w="4133"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576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33" w:type="dxa"/>
            <w:tcBorders/>
            <w:shd w:fill="auto" w:val="clear"/>
            <w:vAlign w:val="bottom"/>
          </w:tcPr>
          <w:p>
            <w:pPr>
              <w:pStyle w:val="TableContents"/>
              <w:spacing w:before="0" w:after="0"/>
              <w:ind w:left="675" w:right="0" w:hanging="225"/>
              <w:rPr/>
            </w:pPr>
            <w:r>
              <w:rPr/>
              <w:t>Net non-current</w:t>
            </w:r>
          </w:p>
        </w:tc>
        <w:tc>
          <w:tcPr>
            <w:tcW w:w="309"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8,131,922</w:t>
            </w:r>
          </w:p>
        </w:tc>
        <w:tc>
          <w:tcPr>
            <w:tcW w:w="24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5,031,326</w:t>
            </w:r>
          </w:p>
        </w:tc>
        <w:tc>
          <w:tcPr>
            <w:tcW w:w="25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4,645,523</w:t>
            </w:r>
          </w:p>
        </w:tc>
        <w:tc>
          <w:tcPr>
            <w:tcW w:w="259" w:type="dxa"/>
            <w:tcBorders/>
            <w:shd w:fill="auto" w:val="clear"/>
            <w:vAlign w:val="bottom"/>
          </w:tcPr>
          <w:p>
            <w:pPr>
              <w:pStyle w:val="TableContents"/>
              <w:spacing w:before="0" w:after="283"/>
              <w:rPr/>
            </w:pPr>
            <w:r>
              <w:rPr/>
              <w:t> </w:t>
            </w:r>
          </w:p>
        </w:tc>
      </w:tr>
      <w:tr>
        <w:trPr/>
        <w:tc>
          <w:tcPr>
            <w:tcW w:w="4133"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576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33" w:type="dxa"/>
            <w:tcBorders/>
            <w:shd w:fill="CCEEFF" w:val="clear"/>
            <w:vAlign w:val="bottom"/>
          </w:tcPr>
          <w:p>
            <w:pPr>
              <w:pStyle w:val="TableContents"/>
              <w:spacing w:before="0" w:after="0"/>
              <w:ind w:left="675" w:right="0" w:hanging="225"/>
              <w:rPr/>
            </w:pPr>
            <w:r>
              <w:rPr/>
              <w:t>Net deferred tax assets</w:t>
            </w:r>
          </w:p>
        </w:tc>
        <w:tc>
          <w:tcPr>
            <w:tcW w:w="309"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1171" w:type="dxa"/>
            <w:tcBorders/>
            <w:shd w:fill="CCEEFF" w:val="clear"/>
            <w:vAlign w:val="bottom"/>
          </w:tcPr>
          <w:p>
            <w:pPr>
              <w:pStyle w:val="TableContents"/>
              <w:spacing w:before="0" w:after="283"/>
              <w:jc w:val="right"/>
              <w:rPr/>
            </w:pPr>
            <w:r>
              <w:rPr/>
              <w:t>11,406,922</w:t>
            </w:r>
          </w:p>
        </w:tc>
        <w:tc>
          <w:tcPr>
            <w:tcW w:w="24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8,151,326</w:t>
            </w:r>
          </w:p>
        </w:tc>
        <w:tc>
          <w:tcPr>
            <w:tcW w:w="252"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62" w:type="dxa"/>
            <w:tcBorders/>
            <w:shd w:fill="CCEEFF" w:val="clear"/>
            <w:vAlign w:val="bottom"/>
          </w:tcPr>
          <w:p>
            <w:pPr>
              <w:pStyle w:val="TableContents"/>
              <w:spacing w:before="0" w:after="283"/>
              <w:jc w:val="right"/>
              <w:rPr/>
            </w:pPr>
            <w:r>
              <w:rPr/>
              <w:t>8,687,709</w:t>
            </w:r>
          </w:p>
        </w:tc>
        <w:tc>
          <w:tcPr>
            <w:tcW w:w="259" w:type="dxa"/>
            <w:tcBorders/>
            <w:shd w:fill="CCEEFF" w:val="clear"/>
            <w:vAlign w:val="bottom"/>
          </w:tcPr>
          <w:p>
            <w:pPr>
              <w:pStyle w:val="TableContents"/>
              <w:spacing w:before="0" w:after="283"/>
              <w:rPr/>
            </w:pPr>
            <w:r>
              <w:rPr/>
              <w:t> </w:t>
            </w:r>
          </w:p>
        </w:tc>
      </w:tr>
      <w:tr>
        <w:trPr/>
        <w:tc>
          <w:tcPr>
            <w:tcW w:w="4133"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576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89"/>
        <w:gridCol w:w="131"/>
        <w:gridCol w:w="9785"/>
      </w:tblGrid>
      <w:tr>
        <w:trPr/>
        <w:tc>
          <w:tcPr>
            <w:tcW w:w="289" w:type="dxa"/>
            <w:tcBorders/>
            <w:shd w:fill="auto" w:val="clear"/>
          </w:tcPr>
          <w:p>
            <w:pPr>
              <w:pStyle w:val="TableContents"/>
              <w:spacing w:before="0" w:after="283"/>
              <w:jc w:val="left"/>
              <w:rPr>
                <w:b/>
              </w:rPr>
            </w:pPr>
            <w:r>
              <w:rPr>
                <w:b/>
              </w:rPr>
              <w:t>(4)</w:t>
            </w:r>
          </w:p>
        </w:tc>
        <w:tc>
          <w:tcPr>
            <w:tcW w:w="131"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b/>
              </w:rPr>
            </w:pPr>
            <w:r>
              <w:rPr>
                <w:b/>
              </w:rPr>
              <w:t>Income Taxes, Continued</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pPr>
            <w:r>
              <w:rPr/>
              <w:t>The Companys net deferred tax assets include substantial amounts of net operating loss carryforwards, totaling approximately $17,628,000 and $15,287,000 for federal and state income tax purposes, respectively, as of December 31, 2006, and $15,022,000 and $12,752,000 for federal and state income tax purposes, respectively, as of December 31, 2007. The utilization of the Companys net operating loss carryforwards may be limited in any given year under certain circumstances. Events which may affect the Companys ability to utilize these carryforwards include, but are not limited to, future profitability, cumulative stock ownership changes of 50% or more over a three-year period, as defined by Section 382 of the Internal Revenue Code, and the timing of the utilization of the tax benefit carryforwards.</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pPr>
            <w:r>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projections of future taxable income, and tax planning strategies in making this assessment. No valuation allowance has been provided for these deferred tax assets at December 31, 2007 as management has deemed that full realization of these assets is more likely than not.</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5" w:type="dxa"/>
            <w:tcBorders/>
            <w:shd w:fill="auto" w:val="clear"/>
          </w:tcPr>
          <w:p>
            <w:pPr>
              <w:pStyle w:val="TableContents"/>
              <w:spacing w:before="0" w:after="283"/>
              <w:rPr/>
            </w:pPr>
            <w:r>
              <w:rPr/>
              <w:t>As of December 31, 2007, the Company had a net operating loss carryforward of approximately $15,022,000 for federal and $12,752,000 for state income tax purposes, which will expire between 2021 and 2022. The federal and state net operating loss carryforwards will expire in each of the years ending December 31 as follows:</w:t>
            </w:r>
          </w:p>
        </w:tc>
      </w:tr>
    </w:tbl>
    <w:tbl>
      <w:tblPr>
        <w:tblW w:w="5000" w:type="pct"/>
        <w:jc w:val="center"/>
        <w:tblInd w:w="0" w:type="dxa"/>
        <w:tblCellMar>
          <w:top w:w="0" w:type="dxa"/>
          <w:left w:w="0" w:type="dxa"/>
          <w:bottom w:w="0" w:type="dxa"/>
          <w:right w:w="0" w:type="dxa"/>
        </w:tblCellMar>
      </w:tblPr>
      <w:tblGrid>
        <w:gridCol w:w="5852"/>
        <w:gridCol w:w="424"/>
        <w:gridCol w:w="353"/>
        <w:gridCol w:w="1119"/>
        <w:gridCol w:w="277"/>
        <w:gridCol w:w="424"/>
        <w:gridCol w:w="353"/>
        <w:gridCol w:w="1119"/>
        <w:gridCol w:w="284"/>
      </w:tblGrid>
      <w:tr>
        <w:trPr/>
        <w:tc>
          <w:tcPr>
            <w:tcW w:w="5852"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r>
      <w:tr>
        <w:trPr/>
        <w:tc>
          <w:tcPr>
            <w:tcW w:w="5852"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749" w:type="dxa"/>
            <w:gridSpan w:val="3"/>
            <w:tcBorders/>
            <w:shd w:fill="auto" w:val="clear"/>
            <w:vAlign w:val="bottom"/>
          </w:tcPr>
          <w:p>
            <w:pPr>
              <w:pStyle w:val="TableContents"/>
              <w:spacing w:before="0" w:after="283"/>
              <w:jc w:val="center"/>
              <w:rPr>
                <w:b/>
              </w:rPr>
            </w:pPr>
            <w:r>
              <w:rPr>
                <w:b/>
              </w:rPr>
              <w:t>Federal</w:t>
            </w:r>
          </w:p>
        </w:tc>
        <w:tc>
          <w:tcPr>
            <w:tcW w:w="424" w:type="dxa"/>
            <w:tcBorders/>
            <w:shd w:fill="auto" w:val="clear"/>
            <w:vAlign w:val="bottom"/>
          </w:tcPr>
          <w:p>
            <w:pPr>
              <w:pStyle w:val="TableContents"/>
              <w:spacing w:before="0" w:after="283"/>
              <w:rPr/>
            </w:pPr>
            <w:r>
              <w:rPr/>
              <w:t> </w:t>
            </w:r>
          </w:p>
        </w:tc>
        <w:tc>
          <w:tcPr>
            <w:tcW w:w="1756" w:type="dxa"/>
            <w:gridSpan w:val="3"/>
            <w:tcBorders/>
            <w:shd w:fill="auto" w:val="clear"/>
            <w:vAlign w:val="bottom"/>
          </w:tcPr>
          <w:p>
            <w:pPr>
              <w:pStyle w:val="TableContents"/>
              <w:spacing w:before="0" w:after="283"/>
              <w:jc w:val="center"/>
              <w:rPr>
                <w:b/>
              </w:rPr>
            </w:pPr>
            <w:r>
              <w:rPr>
                <w:b/>
              </w:rPr>
              <w:t>State</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52" w:type="dxa"/>
            <w:tcBorders/>
            <w:shd w:fill="CCEEFF" w:val="clear"/>
            <w:vAlign w:val="bottom"/>
          </w:tcPr>
          <w:p>
            <w:pPr>
              <w:pStyle w:val="TableContents"/>
              <w:spacing w:before="0" w:after="0"/>
              <w:ind w:left="225" w:right="0" w:hanging="225"/>
              <w:rPr/>
            </w:pPr>
            <w:r>
              <w:rPr/>
              <w:t>2021</w:t>
            </w:r>
          </w:p>
        </w:tc>
        <w:tc>
          <w:tcPr>
            <w:tcW w:w="42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119" w:type="dxa"/>
            <w:tcBorders/>
            <w:shd w:fill="CCEEFF" w:val="clear"/>
            <w:vAlign w:val="bottom"/>
          </w:tcPr>
          <w:p>
            <w:pPr>
              <w:pStyle w:val="TableContents"/>
              <w:spacing w:before="0" w:after="283"/>
              <w:jc w:val="right"/>
              <w:rPr/>
            </w:pPr>
            <w:r>
              <w:rPr/>
              <w:t>8,581,000</w:t>
            </w:r>
          </w:p>
        </w:tc>
        <w:tc>
          <w:tcPr>
            <w:tcW w:w="27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119" w:type="dxa"/>
            <w:tcBorders/>
            <w:shd w:fill="CCEEFF" w:val="clear"/>
            <w:vAlign w:val="bottom"/>
          </w:tcPr>
          <w:p>
            <w:pPr>
              <w:pStyle w:val="TableContents"/>
              <w:spacing w:before="0" w:after="283"/>
              <w:jc w:val="right"/>
              <w:rPr/>
            </w:pPr>
            <w:r>
              <w:rPr/>
              <w:t>6,490,000</w:t>
            </w:r>
          </w:p>
        </w:tc>
        <w:tc>
          <w:tcPr>
            <w:tcW w:w="284" w:type="dxa"/>
            <w:tcBorders/>
            <w:shd w:fill="CCEEFF" w:val="clear"/>
            <w:vAlign w:val="bottom"/>
          </w:tcPr>
          <w:p>
            <w:pPr>
              <w:pStyle w:val="TableContents"/>
              <w:spacing w:before="0" w:after="283"/>
              <w:rPr/>
            </w:pPr>
            <w:r>
              <w:rPr/>
              <w:t> </w:t>
            </w:r>
          </w:p>
        </w:tc>
      </w:tr>
      <w:tr>
        <w:trPr/>
        <w:tc>
          <w:tcPr>
            <w:tcW w:w="5852" w:type="dxa"/>
            <w:tcBorders/>
            <w:shd w:fill="auto" w:val="clear"/>
            <w:vAlign w:val="bottom"/>
          </w:tcPr>
          <w:p>
            <w:pPr>
              <w:pStyle w:val="TableContents"/>
              <w:spacing w:before="0" w:after="0"/>
              <w:ind w:left="225" w:right="0" w:hanging="225"/>
              <w:rPr/>
            </w:pPr>
            <w:r>
              <w:rPr/>
              <w:t>2022</w:t>
            </w:r>
          </w:p>
        </w:tc>
        <w:tc>
          <w:tcPr>
            <w:tcW w:w="42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6,440,000</w:t>
            </w:r>
          </w:p>
        </w:tc>
        <w:tc>
          <w:tcPr>
            <w:tcW w:w="27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6,262,000</w:t>
            </w:r>
          </w:p>
        </w:tc>
        <w:tc>
          <w:tcPr>
            <w:tcW w:w="284" w:type="dxa"/>
            <w:tcBorders/>
            <w:shd w:fill="auto" w:val="clear"/>
            <w:vAlign w:val="bottom"/>
          </w:tcPr>
          <w:p>
            <w:pPr>
              <w:pStyle w:val="TableContents"/>
              <w:spacing w:before="0" w:after="283"/>
              <w:rPr/>
            </w:pPr>
            <w:r>
              <w:rPr/>
              <w:t> </w:t>
            </w:r>
          </w:p>
        </w:tc>
      </w:tr>
      <w:tr>
        <w:trPr/>
        <w:tc>
          <w:tcPr>
            <w:tcW w:w="5852"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392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52" w:type="dxa"/>
            <w:tcBorders/>
            <w:shd w:fill="CCEEFF" w:val="clear"/>
            <w:vAlign w:val="bottom"/>
          </w:tcPr>
          <w:p>
            <w:pPr>
              <w:pStyle w:val="TableContents"/>
              <w:spacing w:before="0" w:after="0"/>
              <w:ind w:left="225" w:right="0" w:hanging="225"/>
              <w:rPr/>
            </w:pPr>
            <w:r>
              <w:rPr/>
              <w:t> </w:t>
            </w:r>
          </w:p>
        </w:tc>
        <w:tc>
          <w:tcPr>
            <w:tcW w:w="42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119" w:type="dxa"/>
            <w:tcBorders/>
            <w:shd w:fill="CCEEFF" w:val="clear"/>
            <w:vAlign w:val="bottom"/>
          </w:tcPr>
          <w:p>
            <w:pPr>
              <w:pStyle w:val="TableContents"/>
              <w:spacing w:before="0" w:after="283"/>
              <w:jc w:val="right"/>
              <w:rPr/>
            </w:pPr>
            <w:r>
              <w:rPr/>
              <w:t>15,022,000</w:t>
            </w:r>
          </w:p>
        </w:tc>
        <w:tc>
          <w:tcPr>
            <w:tcW w:w="27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1119" w:type="dxa"/>
            <w:tcBorders/>
            <w:shd w:fill="CCEEFF" w:val="clear"/>
            <w:vAlign w:val="bottom"/>
          </w:tcPr>
          <w:p>
            <w:pPr>
              <w:pStyle w:val="TableContents"/>
              <w:spacing w:before="0" w:after="283"/>
              <w:jc w:val="right"/>
              <w:rPr/>
            </w:pPr>
            <w:r>
              <w:rPr/>
              <w:t>12,752,000</w:t>
            </w:r>
          </w:p>
        </w:tc>
        <w:tc>
          <w:tcPr>
            <w:tcW w:w="284" w:type="dxa"/>
            <w:tcBorders/>
            <w:shd w:fill="CCEEFF" w:val="clear"/>
            <w:vAlign w:val="bottom"/>
          </w:tcPr>
          <w:p>
            <w:pPr>
              <w:pStyle w:val="TableContents"/>
              <w:spacing w:before="0" w:after="283"/>
              <w:rPr/>
            </w:pPr>
            <w:r>
              <w:rPr/>
              <w:t> </w:t>
            </w:r>
          </w:p>
        </w:tc>
      </w:tr>
      <w:tr>
        <w:trPr/>
        <w:tc>
          <w:tcPr>
            <w:tcW w:w="5852"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3929"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101"/>
        <w:gridCol w:w="101"/>
        <w:gridCol w:w="10003"/>
      </w:tblGrid>
      <w:tr>
        <w:trPr/>
        <w:tc>
          <w:tcPr>
            <w:tcW w:w="101"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3" w:type="dxa"/>
            <w:tcBorders/>
            <w:shd w:fill="auto" w:val="clear"/>
          </w:tcPr>
          <w:p>
            <w:pPr>
              <w:pStyle w:val="TableContents"/>
              <w:spacing w:before="0" w:after="283"/>
              <w:rPr/>
            </w:pPr>
            <w:r>
              <w:rPr/>
              <w:t>The Company adopted the provisions of FIN 48 on January 1, 2007. As a result of the implementation of FIN 48, the Company did not recognize a change in the liability for unrecognized tax benefits related to tax positions taken in prior periods, and thus, did not record a change in its opening accumulated deficit. During the year ended December 31, 2007, there was no activity related to prior or current years tax positions, settlements or reductions resulting from expirations of unrecognized tax benefits or obligations.</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3" w:type="dxa"/>
            <w:tcBorders/>
            <w:shd w:fill="auto" w:val="clear"/>
          </w:tcPr>
          <w:p>
            <w:pPr>
              <w:pStyle w:val="TableContents"/>
              <w:spacing w:before="0" w:after="283"/>
              <w:rPr/>
            </w:pPr>
            <w:r>
              <w:rPr/>
              <w:t>Accordingly, there are no unrecognized tax benefits that, if recognized, would affect the effective tax rate. No interest or penalties have been accrued in the consolidated financial statements related to unrecognized tax benefits. The Company does not expect a significant increase or decrease in unrecognized tax benefits during the next 12 months. As of December 31, 2007, the Companys 2004 through 2007 tax years were open to examination by the Internal Revenue Service and major state taxing jurisdictions.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303"/>
        <w:gridCol w:w="133"/>
        <w:gridCol w:w="9769"/>
      </w:tblGrid>
      <w:tr>
        <w:trPr/>
        <w:tc>
          <w:tcPr>
            <w:tcW w:w="303" w:type="dxa"/>
            <w:tcBorders/>
            <w:shd w:fill="auto" w:val="clear"/>
          </w:tcPr>
          <w:p>
            <w:pPr>
              <w:pStyle w:val="TableContents"/>
              <w:spacing w:before="0" w:after="283"/>
              <w:jc w:val="left"/>
              <w:rPr>
                <w:b/>
              </w:rPr>
            </w:pPr>
            <w:r>
              <w:rPr>
                <w:b/>
              </w:rPr>
              <w:t>(5)</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b/>
              </w:rPr>
            </w:pPr>
            <w:r>
              <w:rPr>
                <w:b/>
              </w:rPr>
              <w:t>Long-Term Debt</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On December 16, 2005, the Company entered into a revolving line of credit arrangement with a commercial bank (the Line of Credit). Under the terms of the Line of Credit, the initial borrowing limit of $15,000,000 was reduced in increments of $1,250,000 on April 3, 2006; January 3, 2007; and April 3, 2007; and was to be reduced by an additional $1.25 million on January 3, 2008. The balance was due in full upon maturity on November 30, 2008. Interest was due monthly at the one-month LIBOR rate plus a margin determined on the basis of the Companys quarterly funded debt to EBITDA ratio. An availability fee equal to 0.1% per annum was charged on the difference between the borrowing limit and the outstanding principal balance.</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The Line of Credit was collateralized by substantially all of the Companys assets and contains certain conditions and covenants that prevented or restricted the Company from engaging in certain transactions without the consent of the lender. The Company was also required to maintain certain financial covenants, including a Funded Debt to EBITDA Ratio, a Liabilities to Tangible Net Worth Ratio, and a Fixed Charge Coverage Ratio. Among the other conditions and covenants of the Line of Credit, the most restrictive required that the Company abide by annual and quarterly reporting requirements; maintain its primary depository account with the commercial bank; not enter into new debt agreements that would cause the Companys total debt to exceed the Line of Credit borrowing limit by $500,000; not retire any long-term debt entered into prior to the date of the Line of Credit at a date in advance of its legal obligation to do so; not retire or otherwise acquire any of its capital stock; and not extend any credit or loan or advance any monies to any parent entity, subsidiary, officer, director, shareholder or any other affiliate, except that the Company could make loans to its employees in the ordinary course of business of up to $500,000. The Company repurchased and retired 200,000 shares of Series A-1 Participating Stock in April 2007; however a waiver for this repurchase was granted by the bank. As of June 30, 2007, the Line of Credit was paid in full.</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On June 15, 2007, the Company entered into an agreement for a $37 million senior credit facility with a new bank (the Credit Facility). The Credit Facility is comprised of a $17 million working capital line of credit and a $20 million term loan. The line of credit matures in two years while the term loan carries a five-year maturity. The Company will make equal monthly payments of principal and interest over the five-year term. Interest rates are based on 30-day LIBOR plus a margin that is determined by the Companys funded debt to EBITDA ratio. The Company entered into an interest rate swap agreement that applies a fixed annual LIBOR rate of 5.73% to 75% of the outstanding principal balance of the term loan. The margin ranges from 150-195 basis points on the line of credit (interest rate of 6.95% as of December 31, 2007) and from 165-210 basis points on the term loan (interest rate of 7.13% as of December 31, 2007). At funding, the Company was at the high end of the pricing range. In addition, there is an unused line fee on the line of credit of 10-20 basis points, depending on the Companys funded debt to EBITDA ratio. The Company paid an upfront commitment fee of $118,000 which is being amortized over the life of the Credit Facility. With the proceeds from the Credit Facility, the Company retired its previous Line of Credit.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4"/>
        <w:gridCol w:w="131"/>
        <w:gridCol w:w="9780"/>
      </w:tblGrid>
      <w:tr>
        <w:trPr/>
        <w:tc>
          <w:tcPr>
            <w:tcW w:w="294" w:type="dxa"/>
            <w:tcBorders/>
            <w:shd w:fill="auto" w:val="clear"/>
          </w:tcPr>
          <w:p>
            <w:pPr>
              <w:pStyle w:val="TableContents"/>
              <w:spacing w:before="0" w:after="283"/>
              <w:jc w:val="left"/>
              <w:rPr>
                <w:b/>
              </w:rPr>
            </w:pPr>
            <w:r>
              <w:rPr>
                <w:b/>
              </w:rPr>
              <w:t>(5)</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b/>
              </w:rPr>
            </w:pPr>
            <w:r>
              <w:rPr>
                <w:b/>
              </w:rPr>
              <w:t>Long-Term Debt, Continued</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The Credit Facility is collateralized by substantially all of the Companys assets and contains conditions and covenants that prevent or restrict the Company from engaging in certain transactions without the consent of the lender. The Company is also required to maintain certain financial covenants, including a leverage ratio and a fixed charge coverage ratio. Among the other conditions and covenants, the Credit Facility requires the Company to (i) abide by annual and quarterly reporting requirements; (ii) maintain its primary depository account with the commercial bank; (iii) not enter into new debt agreements that exceed $50,000; (iv) not incur capital expenditures in excess of $3,000,000 in any fiscal year; (v) not retire or otherwise acquire any of its capital stock; (vi) not extend any credit or loan or advance any monies to any person in excess of $50,000; and (vii) not make cash distributions to shareholders without the lenders prior consent. As of and during the year ended December 31, 2007 and as of March 31, 2008, the Company was in noncompliance with several of the negative covenants of the Credit Facility; however, the Company has requested and received waivers from the bank for the respective noncompliance. The Company had $849,898 in checks outstanding in excess of bank deposits in the Companys bank accounts as of December 31, 2007, which are included in the line of credit balance in the accompanying consolidated balance sheets and borrowings on revolving line of credit in the accompanying consolidated statements of cash flows. The bank does not require funding of the account until the checks are presented to the bank for payment.</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Long-term debt as of December 31, consisted of the following:</w:t>
            </w:r>
          </w:p>
        </w:tc>
      </w:tr>
    </w:tbl>
    <w:tbl>
      <w:tblPr>
        <w:tblW w:w="5000" w:type="pct"/>
        <w:jc w:val="center"/>
        <w:tblInd w:w="0" w:type="dxa"/>
        <w:tblCellMar>
          <w:top w:w="0" w:type="dxa"/>
          <w:left w:w="0" w:type="dxa"/>
          <w:bottom w:w="0" w:type="dxa"/>
          <w:right w:w="0" w:type="dxa"/>
        </w:tblCellMar>
      </w:tblPr>
      <w:tblGrid>
        <w:gridCol w:w="4115"/>
        <w:gridCol w:w="312"/>
        <w:gridCol w:w="298"/>
        <w:gridCol w:w="1202"/>
        <w:gridCol w:w="216"/>
        <w:gridCol w:w="312"/>
        <w:gridCol w:w="313"/>
        <w:gridCol w:w="1180"/>
        <w:gridCol w:w="223"/>
        <w:gridCol w:w="312"/>
        <w:gridCol w:w="295"/>
        <w:gridCol w:w="1171"/>
        <w:gridCol w:w="256"/>
      </w:tblGrid>
      <w:tr>
        <w:trPr/>
        <w:tc>
          <w:tcPr>
            <w:tcW w:w="411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16" w:type="dxa"/>
            <w:gridSpan w:val="3"/>
            <w:tcBorders/>
            <w:shd w:fill="auto" w:val="clear"/>
            <w:vAlign w:val="bottom"/>
          </w:tcPr>
          <w:p>
            <w:pPr>
              <w:pStyle w:val="TableContents"/>
              <w:spacing w:before="0" w:after="283"/>
              <w:jc w:val="center"/>
              <w:rPr>
                <w:b/>
              </w:rPr>
            </w:pPr>
            <w:r>
              <w:rPr>
                <w:b/>
              </w:rPr>
              <w:t>December 31,</w:t>
            </w:r>
          </w:p>
        </w:tc>
        <w:tc>
          <w:tcPr>
            <w:tcW w:w="312" w:type="dxa"/>
            <w:tcBorders/>
            <w:shd w:fill="auto" w:val="clear"/>
            <w:vAlign w:val="bottom"/>
          </w:tcPr>
          <w:p>
            <w:pPr>
              <w:pStyle w:val="TableContents"/>
              <w:spacing w:before="0" w:after="283"/>
              <w:rPr/>
            </w:pPr>
            <w:r>
              <w:rPr/>
              <w:t> </w:t>
            </w:r>
          </w:p>
        </w:tc>
        <w:tc>
          <w:tcPr>
            <w:tcW w:w="1716" w:type="dxa"/>
            <w:gridSpan w:val="3"/>
            <w:tcBorders/>
            <w:shd w:fill="auto" w:val="clear"/>
            <w:vAlign w:val="bottom"/>
          </w:tcPr>
          <w:p>
            <w:pPr>
              <w:pStyle w:val="TableContents"/>
              <w:spacing w:before="0" w:after="283"/>
              <w:jc w:val="center"/>
              <w:rPr>
                <w:b/>
              </w:rPr>
            </w:pPr>
            <w:r>
              <w:rPr>
                <w:b/>
              </w:rPr>
              <w:t>December 31,</w:t>
            </w:r>
          </w:p>
        </w:tc>
        <w:tc>
          <w:tcPr>
            <w:tcW w:w="312" w:type="dxa"/>
            <w:tcBorders/>
            <w:shd w:fill="auto" w:val="clear"/>
            <w:vAlign w:val="bottom"/>
          </w:tcPr>
          <w:p>
            <w:pPr>
              <w:pStyle w:val="TableContents"/>
              <w:spacing w:before="0" w:after="283"/>
              <w:rPr/>
            </w:pPr>
            <w:r>
              <w:rPr/>
              <w:t> </w:t>
            </w:r>
          </w:p>
        </w:tc>
        <w:tc>
          <w:tcPr>
            <w:tcW w:w="1722" w:type="dxa"/>
            <w:gridSpan w:val="3"/>
            <w:tcBorders/>
            <w:shd w:fill="auto" w:val="clear"/>
            <w:vAlign w:val="bottom"/>
          </w:tcPr>
          <w:p>
            <w:pPr>
              <w:pStyle w:val="TableContents"/>
              <w:spacing w:before="0" w:after="283"/>
              <w:jc w:val="center"/>
              <w:rPr>
                <w:b/>
              </w:rPr>
            </w:pPr>
            <w:r>
              <w:rPr>
                <w:b/>
              </w:rPr>
              <w:t>December 31,</w:t>
            </w:r>
          </w:p>
        </w:tc>
      </w:tr>
      <w:tr>
        <w:trPr/>
        <w:tc>
          <w:tcPr>
            <w:tcW w:w="411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16" w:type="dxa"/>
            <w:gridSpan w:val="3"/>
            <w:tcBorders/>
            <w:shd w:fill="auto" w:val="clear"/>
            <w:vAlign w:val="bottom"/>
          </w:tcPr>
          <w:p>
            <w:pPr>
              <w:pStyle w:val="TableContents"/>
              <w:spacing w:before="0" w:after="283"/>
              <w:jc w:val="center"/>
              <w:rPr>
                <w:b/>
              </w:rPr>
            </w:pPr>
            <w:r>
              <w:rPr>
                <w:b/>
              </w:rPr>
              <w:t>2005</w:t>
            </w:r>
          </w:p>
        </w:tc>
        <w:tc>
          <w:tcPr>
            <w:tcW w:w="312" w:type="dxa"/>
            <w:tcBorders/>
            <w:shd w:fill="auto" w:val="clear"/>
            <w:vAlign w:val="bottom"/>
          </w:tcPr>
          <w:p>
            <w:pPr>
              <w:pStyle w:val="TableContents"/>
              <w:spacing w:before="0" w:after="283"/>
              <w:rPr/>
            </w:pPr>
            <w:r>
              <w:rPr/>
              <w:t> </w:t>
            </w:r>
          </w:p>
        </w:tc>
        <w:tc>
          <w:tcPr>
            <w:tcW w:w="1716" w:type="dxa"/>
            <w:gridSpan w:val="3"/>
            <w:tcBorders/>
            <w:shd w:fill="auto" w:val="clear"/>
            <w:vAlign w:val="bottom"/>
          </w:tcPr>
          <w:p>
            <w:pPr>
              <w:pStyle w:val="TableContents"/>
              <w:spacing w:before="0" w:after="283"/>
              <w:jc w:val="center"/>
              <w:rPr>
                <w:b/>
              </w:rPr>
            </w:pPr>
            <w:r>
              <w:rPr>
                <w:b/>
              </w:rPr>
              <w:t>2006</w:t>
            </w:r>
          </w:p>
        </w:tc>
        <w:tc>
          <w:tcPr>
            <w:tcW w:w="312" w:type="dxa"/>
            <w:tcBorders/>
            <w:shd w:fill="auto" w:val="clear"/>
            <w:vAlign w:val="bottom"/>
          </w:tcPr>
          <w:p>
            <w:pPr>
              <w:pStyle w:val="TableContents"/>
              <w:spacing w:before="0" w:after="283"/>
              <w:rPr/>
            </w:pPr>
            <w:r>
              <w:rPr/>
              <w:t> </w:t>
            </w:r>
          </w:p>
        </w:tc>
        <w:tc>
          <w:tcPr>
            <w:tcW w:w="1722"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0"/>
              <w:ind w:left="225" w:right="0" w:hanging="225"/>
              <w:rPr/>
            </w:pPr>
            <w:r>
              <w:rPr/>
              <w:t> </w:t>
            </w:r>
          </w:p>
        </w:tc>
        <w:tc>
          <w:tcPr>
            <w:tcW w:w="31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4115" w:type="dxa"/>
            <w:tcBorders/>
            <w:shd w:fill="CCEEFF" w:val="clear"/>
            <w:vAlign w:val="bottom"/>
          </w:tcPr>
          <w:p>
            <w:pPr>
              <w:pStyle w:val="TableContents"/>
              <w:spacing w:before="0" w:after="0"/>
              <w:ind w:left="225" w:right="0" w:hanging="225"/>
              <w:rPr/>
            </w:pPr>
            <w:r>
              <w:rPr/>
              <w:t>Revolving line of credit with a commercial bank</w:t>
            </w:r>
          </w:p>
        </w:tc>
        <w:tc>
          <w:tcPr>
            <w:tcW w:w="312"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202" w:type="dxa"/>
            <w:tcBorders/>
            <w:shd w:fill="CCEEFF" w:val="clear"/>
            <w:vAlign w:val="bottom"/>
          </w:tcPr>
          <w:p>
            <w:pPr>
              <w:pStyle w:val="TableContents"/>
              <w:spacing w:before="0" w:after="283"/>
              <w:jc w:val="right"/>
              <w:rPr/>
            </w:pPr>
            <w:r>
              <w:rPr/>
              <w:t>13,125,867</w:t>
            </w:r>
          </w:p>
        </w:tc>
        <w:tc>
          <w:tcPr>
            <w:tcW w:w="21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7,380,721</w:t>
            </w:r>
          </w:p>
        </w:tc>
        <w:tc>
          <w:tcPr>
            <w:tcW w:w="22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right"/>
              <w:rPr/>
            </w:pPr>
            <w:r>
              <w:rPr/>
              <w:t>$</w:t>
            </w:r>
          </w:p>
        </w:tc>
        <w:tc>
          <w:tcPr>
            <w:tcW w:w="1171" w:type="dxa"/>
            <w:tcBorders/>
            <w:shd w:fill="CCEEFF" w:val="clear"/>
            <w:vAlign w:val="bottom"/>
          </w:tcPr>
          <w:p>
            <w:pPr>
              <w:pStyle w:val="TableContents"/>
              <w:spacing w:before="0" w:after="283"/>
              <w:jc w:val="right"/>
              <w:rPr/>
            </w:pPr>
            <w:r>
              <w:rPr/>
              <w:t>12,832,144</w:t>
            </w:r>
          </w:p>
        </w:tc>
        <w:tc>
          <w:tcPr>
            <w:tcW w:w="256" w:type="dxa"/>
            <w:tcBorders/>
            <w:shd w:fill="CCEEFF"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0"/>
              <w:ind w:left="225" w:right="0" w:hanging="225"/>
              <w:rPr/>
            </w:pPr>
            <w:r>
              <w:rPr/>
              <w:t>Term loan</w:t>
            </w:r>
          </w:p>
        </w:tc>
        <w:tc>
          <w:tcPr>
            <w:tcW w:w="31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w:t>
            </w:r>
          </w:p>
        </w:tc>
        <w:tc>
          <w:tcPr>
            <w:tcW w:w="21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17,952,163</w:t>
            </w:r>
          </w:p>
        </w:tc>
        <w:tc>
          <w:tcPr>
            <w:tcW w:w="256" w:type="dxa"/>
            <w:tcBorders/>
            <w:shd w:fill="auto" w:val="clear"/>
            <w:vAlign w:val="bottom"/>
          </w:tcPr>
          <w:p>
            <w:pPr>
              <w:pStyle w:val="TableContents"/>
              <w:spacing w:before="0" w:after="283"/>
              <w:rPr/>
            </w:pPr>
            <w:r>
              <w:rPr/>
              <w:t> </w:t>
            </w:r>
          </w:p>
        </w:tc>
      </w:tr>
      <w:tr>
        <w:trPr/>
        <w:tc>
          <w:tcPr>
            <w:tcW w:w="4115"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577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225" w:right="0" w:hanging="225"/>
              <w:rPr/>
            </w:pPr>
            <w:r>
              <w:rPr/>
              <w:t>Total long-term debt</w:t>
            </w:r>
          </w:p>
        </w:tc>
        <w:tc>
          <w:tcPr>
            <w:tcW w:w="312"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13,125,867</w:t>
            </w:r>
          </w:p>
        </w:tc>
        <w:tc>
          <w:tcPr>
            <w:tcW w:w="21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7,380,721</w:t>
            </w:r>
          </w:p>
        </w:tc>
        <w:tc>
          <w:tcPr>
            <w:tcW w:w="22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30,784,307</w:t>
            </w:r>
          </w:p>
        </w:tc>
        <w:tc>
          <w:tcPr>
            <w:tcW w:w="256" w:type="dxa"/>
            <w:tcBorders/>
            <w:shd w:fill="CCEEFF"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0"/>
              <w:ind w:left="225" w:right="0" w:hanging="225"/>
              <w:rPr/>
            </w:pPr>
            <w:r>
              <w:rPr/>
              <w:t>Less: current maturities of long-term debt</w:t>
            </w:r>
          </w:p>
        </w:tc>
        <w:tc>
          <w:tcPr>
            <w:tcW w:w="31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w:t>
            </w:r>
          </w:p>
        </w:tc>
        <w:tc>
          <w:tcPr>
            <w:tcW w:w="21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22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r>
              <w:rPr/>
              <w:t> </w:t>
            </w:r>
          </w:p>
        </w:tc>
        <w:tc>
          <w:tcPr>
            <w:tcW w:w="1171" w:type="dxa"/>
            <w:tcBorders/>
            <w:shd w:fill="auto" w:val="clear"/>
            <w:vAlign w:val="bottom"/>
          </w:tcPr>
          <w:p>
            <w:pPr>
              <w:pStyle w:val="TableContents"/>
              <w:spacing w:before="0" w:after="283"/>
              <w:jc w:val="right"/>
              <w:rPr/>
            </w:pPr>
            <w:r>
              <w:rPr/>
              <w:t>(4,000,000</w:t>
            </w:r>
          </w:p>
        </w:tc>
        <w:tc>
          <w:tcPr>
            <w:tcW w:w="256" w:type="dxa"/>
            <w:tcBorders/>
            <w:shd w:fill="auto" w:val="clear"/>
            <w:vAlign w:val="bottom"/>
          </w:tcPr>
          <w:p>
            <w:pPr>
              <w:pStyle w:val="TableContents"/>
              <w:spacing w:before="0" w:after="283"/>
              <w:rPr/>
            </w:pPr>
            <w:r>
              <w:rPr/>
              <w:t>)</w:t>
            </w:r>
          </w:p>
        </w:tc>
      </w:tr>
      <w:tr>
        <w:trPr/>
        <w:tc>
          <w:tcPr>
            <w:tcW w:w="4115"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577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225" w:right="0" w:hanging="225"/>
              <w:rPr/>
            </w:pPr>
            <w:r>
              <w:rPr/>
              <w:t>Total long-term debt, less current maturities</w:t>
            </w:r>
          </w:p>
        </w:tc>
        <w:tc>
          <w:tcPr>
            <w:tcW w:w="312"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202" w:type="dxa"/>
            <w:tcBorders/>
            <w:shd w:fill="CCEEFF" w:val="clear"/>
            <w:vAlign w:val="bottom"/>
          </w:tcPr>
          <w:p>
            <w:pPr>
              <w:pStyle w:val="TableContents"/>
              <w:spacing w:before="0" w:after="283"/>
              <w:jc w:val="right"/>
              <w:rPr/>
            </w:pPr>
            <w:r>
              <w:rPr/>
              <w:t>13,125,867</w:t>
            </w:r>
          </w:p>
        </w:tc>
        <w:tc>
          <w:tcPr>
            <w:tcW w:w="21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7,380,721</w:t>
            </w:r>
          </w:p>
        </w:tc>
        <w:tc>
          <w:tcPr>
            <w:tcW w:w="22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right"/>
              <w:rPr/>
            </w:pPr>
            <w:r>
              <w:rPr/>
              <w:t>$</w:t>
            </w:r>
          </w:p>
        </w:tc>
        <w:tc>
          <w:tcPr>
            <w:tcW w:w="1171" w:type="dxa"/>
            <w:tcBorders/>
            <w:shd w:fill="CCEEFF" w:val="clear"/>
            <w:vAlign w:val="bottom"/>
          </w:tcPr>
          <w:p>
            <w:pPr>
              <w:pStyle w:val="TableContents"/>
              <w:spacing w:before="0" w:after="283"/>
              <w:jc w:val="right"/>
              <w:rPr/>
            </w:pPr>
            <w:r>
              <w:rPr/>
              <w:t>26,784,307</w:t>
            </w:r>
          </w:p>
        </w:tc>
        <w:tc>
          <w:tcPr>
            <w:tcW w:w="256" w:type="dxa"/>
            <w:tcBorders/>
            <w:shd w:fill="CCEEFF" w:val="clear"/>
            <w:vAlign w:val="bottom"/>
          </w:tcPr>
          <w:p>
            <w:pPr>
              <w:pStyle w:val="TableContents"/>
              <w:spacing w:before="0" w:after="283"/>
              <w:rPr/>
            </w:pPr>
            <w:r>
              <w:rPr/>
              <w:t> </w:t>
            </w:r>
          </w:p>
        </w:tc>
      </w:tr>
      <w:tr>
        <w:trPr/>
        <w:tc>
          <w:tcPr>
            <w:tcW w:w="4115"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577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Future principal maturities of long-term debt as of December 31, 2007, are due in future years as follows:</w:t>
            </w:r>
          </w:p>
        </w:tc>
      </w:tr>
    </w:tbl>
    <w:tbl>
      <w:tblPr>
        <w:tblW w:w="5000" w:type="pct"/>
        <w:jc w:val="center"/>
        <w:tblInd w:w="0" w:type="dxa"/>
        <w:tblCellMar>
          <w:top w:w="0" w:type="dxa"/>
          <w:left w:w="0" w:type="dxa"/>
          <w:bottom w:w="0" w:type="dxa"/>
          <w:right w:w="0" w:type="dxa"/>
        </w:tblCellMar>
      </w:tblPr>
      <w:tblGrid>
        <w:gridCol w:w="8381"/>
        <w:gridCol w:w="417"/>
        <w:gridCol w:w="169"/>
        <w:gridCol w:w="1119"/>
        <w:gridCol w:w="119"/>
      </w:tblGrid>
      <w:tr>
        <w:trPr/>
        <w:tc>
          <w:tcPr>
            <w:tcW w:w="8381"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8381" w:type="dxa"/>
            <w:tcBorders/>
            <w:shd w:fill="auto" w:val="clear"/>
            <w:vAlign w:val="bottom"/>
          </w:tcPr>
          <w:p>
            <w:pPr>
              <w:pStyle w:val="TableContents"/>
              <w:spacing w:before="0" w:after="283"/>
              <w:jc w:val="left"/>
              <w:rPr/>
            </w:pPr>
            <w:r>
              <w:rPr/>
              <w:t>Year ending December 31,</w:t>
            </w:r>
          </w:p>
        </w:tc>
        <w:tc>
          <w:tcPr>
            <w:tcW w:w="41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10205" w:type="dxa"/>
            <w:gridSpan w:val="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8381" w:type="dxa"/>
            <w:tcBorders/>
            <w:shd w:fill="CCEEFF" w:val="clear"/>
            <w:vAlign w:val="bottom"/>
          </w:tcPr>
          <w:p>
            <w:pPr>
              <w:pStyle w:val="TableContents"/>
              <w:spacing w:before="0" w:after="0"/>
              <w:ind w:left="225" w:right="0" w:hanging="225"/>
              <w:rPr/>
            </w:pPr>
            <w:r>
              <w:rPr/>
              <w:t>2008</w:t>
            </w:r>
          </w:p>
        </w:tc>
        <w:tc>
          <w:tcPr>
            <w:tcW w:w="41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4,000,000</w:t>
            </w:r>
          </w:p>
        </w:tc>
        <w:tc>
          <w:tcPr>
            <w:tcW w:w="119" w:type="dxa"/>
            <w:tcBorders/>
            <w:shd w:fill="CCEEFF" w:val="clear"/>
            <w:vAlign w:val="bottom"/>
          </w:tcPr>
          <w:p>
            <w:pPr>
              <w:pStyle w:val="TableContents"/>
              <w:spacing w:before="0" w:after="283"/>
              <w:rPr/>
            </w:pPr>
            <w:r>
              <w:rPr/>
              <w:t> </w:t>
            </w:r>
          </w:p>
        </w:tc>
      </w:tr>
      <w:tr>
        <w:trPr/>
        <w:tc>
          <w:tcPr>
            <w:tcW w:w="8381" w:type="dxa"/>
            <w:tcBorders/>
            <w:shd w:fill="auto" w:val="clear"/>
            <w:vAlign w:val="bottom"/>
          </w:tcPr>
          <w:p>
            <w:pPr>
              <w:pStyle w:val="TableContents"/>
              <w:spacing w:before="0" w:after="0"/>
              <w:ind w:left="225" w:right="0" w:hanging="225"/>
              <w:rPr/>
            </w:pPr>
            <w:r>
              <w:rPr/>
              <w:t>2009</w:t>
            </w:r>
          </w:p>
        </w:tc>
        <w:tc>
          <w:tcPr>
            <w:tcW w:w="41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16,832,144</w:t>
            </w:r>
          </w:p>
        </w:tc>
        <w:tc>
          <w:tcPr>
            <w:tcW w:w="119" w:type="dxa"/>
            <w:tcBorders/>
            <w:shd w:fill="auto" w:val="clear"/>
            <w:vAlign w:val="bottom"/>
          </w:tcPr>
          <w:p>
            <w:pPr>
              <w:pStyle w:val="TableContents"/>
              <w:spacing w:before="0" w:after="283"/>
              <w:rPr/>
            </w:pPr>
            <w:r>
              <w:rPr/>
              <w:t> </w:t>
            </w:r>
          </w:p>
        </w:tc>
      </w:tr>
      <w:tr>
        <w:trPr/>
        <w:tc>
          <w:tcPr>
            <w:tcW w:w="8381" w:type="dxa"/>
            <w:tcBorders/>
            <w:shd w:fill="CCEEFF" w:val="clear"/>
            <w:vAlign w:val="bottom"/>
          </w:tcPr>
          <w:p>
            <w:pPr>
              <w:pStyle w:val="TableContents"/>
              <w:spacing w:before="0" w:after="0"/>
              <w:ind w:left="225" w:right="0" w:hanging="225"/>
              <w:rPr/>
            </w:pPr>
            <w:r>
              <w:rPr/>
              <w:t>2010</w:t>
            </w:r>
          </w:p>
        </w:tc>
        <w:tc>
          <w:tcPr>
            <w:tcW w:w="41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4,000,000</w:t>
            </w:r>
          </w:p>
        </w:tc>
        <w:tc>
          <w:tcPr>
            <w:tcW w:w="119" w:type="dxa"/>
            <w:tcBorders/>
            <w:shd w:fill="CCEEFF" w:val="clear"/>
            <w:vAlign w:val="bottom"/>
          </w:tcPr>
          <w:p>
            <w:pPr>
              <w:pStyle w:val="TableContents"/>
              <w:spacing w:before="0" w:after="283"/>
              <w:rPr/>
            </w:pPr>
            <w:r>
              <w:rPr/>
              <w:t> </w:t>
            </w:r>
          </w:p>
        </w:tc>
      </w:tr>
      <w:tr>
        <w:trPr/>
        <w:tc>
          <w:tcPr>
            <w:tcW w:w="8381" w:type="dxa"/>
            <w:tcBorders/>
            <w:shd w:fill="auto" w:val="clear"/>
            <w:vAlign w:val="bottom"/>
          </w:tcPr>
          <w:p>
            <w:pPr>
              <w:pStyle w:val="TableContents"/>
              <w:spacing w:before="0" w:after="0"/>
              <w:ind w:left="225" w:right="0" w:hanging="225"/>
              <w:rPr/>
            </w:pPr>
            <w:r>
              <w:rPr/>
              <w:t>2011</w:t>
            </w:r>
          </w:p>
        </w:tc>
        <w:tc>
          <w:tcPr>
            <w:tcW w:w="41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4,000,000</w:t>
            </w:r>
          </w:p>
        </w:tc>
        <w:tc>
          <w:tcPr>
            <w:tcW w:w="119" w:type="dxa"/>
            <w:tcBorders/>
            <w:shd w:fill="auto" w:val="clear"/>
            <w:vAlign w:val="bottom"/>
          </w:tcPr>
          <w:p>
            <w:pPr>
              <w:pStyle w:val="TableContents"/>
              <w:spacing w:before="0" w:after="283"/>
              <w:rPr/>
            </w:pPr>
            <w:r>
              <w:rPr/>
              <w:t> </w:t>
            </w:r>
          </w:p>
        </w:tc>
      </w:tr>
      <w:tr>
        <w:trPr/>
        <w:tc>
          <w:tcPr>
            <w:tcW w:w="8381" w:type="dxa"/>
            <w:tcBorders/>
            <w:shd w:fill="CCEEFF" w:val="clear"/>
            <w:vAlign w:val="bottom"/>
          </w:tcPr>
          <w:p>
            <w:pPr>
              <w:pStyle w:val="TableContents"/>
              <w:spacing w:before="0" w:after="0"/>
              <w:ind w:left="225" w:right="0" w:hanging="225"/>
              <w:rPr/>
            </w:pPr>
            <w:r>
              <w:rPr/>
              <w:t>2012</w:t>
            </w:r>
          </w:p>
        </w:tc>
        <w:tc>
          <w:tcPr>
            <w:tcW w:w="41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1,952,163</w:t>
            </w:r>
          </w:p>
        </w:tc>
        <w:tc>
          <w:tcPr>
            <w:tcW w:w="119" w:type="dxa"/>
            <w:tcBorders/>
            <w:shd w:fill="CCEEFF" w:val="clear"/>
            <w:vAlign w:val="bottom"/>
          </w:tcPr>
          <w:p>
            <w:pPr>
              <w:pStyle w:val="TableContents"/>
              <w:spacing w:before="0" w:after="283"/>
              <w:rPr/>
            </w:pPr>
            <w:r>
              <w:rPr/>
              <w:t> </w:t>
            </w:r>
          </w:p>
        </w:tc>
      </w:tr>
      <w:tr>
        <w:trPr/>
        <w:tc>
          <w:tcPr>
            <w:tcW w:w="8381" w:type="dxa"/>
            <w:tcBorders/>
            <w:shd w:fill="auto" w:val="clear"/>
            <w:vAlign w:val="center"/>
          </w:tcPr>
          <w:p>
            <w:pPr>
              <w:pStyle w:val="TableContents"/>
              <w:spacing w:before="0" w:after="0"/>
              <w:ind w:left="225" w:right="0" w:hanging="225"/>
              <w:rPr/>
            </w:pPr>
            <w:r>
              <w:rPr/>
              <w:t> </w:t>
            </w:r>
          </w:p>
        </w:tc>
        <w:tc>
          <w:tcPr>
            <w:tcW w:w="417"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8381" w:type="dxa"/>
            <w:tcBorders/>
            <w:shd w:fill="auto" w:val="clear"/>
            <w:vAlign w:val="bottom"/>
          </w:tcPr>
          <w:p>
            <w:pPr>
              <w:pStyle w:val="TableContents"/>
              <w:spacing w:before="0" w:after="0"/>
              <w:ind w:left="225" w:right="0" w:hanging="225"/>
              <w:rPr/>
            </w:pPr>
            <w:r>
              <w:rPr/>
              <w:t> </w:t>
            </w:r>
          </w:p>
        </w:tc>
        <w:tc>
          <w:tcPr>
            <w:tcW w:w="41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1119" w:type="dxa"/>
            <w:tcBorders/>
            <w:shd w:fill="auto" w:val="clear"/>
            <w:vAlign w:val="bottom"/>
          </w:tcPr>
          <w:p>
            <w:pPr>
              <w:pStyle w:val="TableContents"/>
              <w:spacing w:before="0" w:after="283"/>
              <w:jc w:val="right"/>
              <w:rPr/>
            </w:pPr>
            <w:r>
              <w:rPr/>
              <w:t>30,784,307</w:t>
            </w:r>
          </w:p>
        </w:tc>
        <w:tc>
          <w:tcPr>
            <w:tcW w:w="119" w:type="dxa"/>
            <w:tcBorders/>
            <w:shd w:fill="auto" w:val="clear"/>
            <w:vAlign w:val="bottom"/>
          </w:tcPr>
          <w:p>
            <w:pPr>
              <w:pStyle w:val="TableContents"/>
              <w:spacing w:before="0" w:after="283"/>
              <w:rPr/>
            </w:pPr>
            <w:r>
              <w:rPr/>
              <w:t> </w:t>
            </w:r>
          </w:p>
        </w:tc>
      </w:tr>
      <w:tr>
        <w:trPr/>
        <w:tc>
          <w:tcPr>
            <w:tcW w:w="8381" w:type="dxa"/>
            <w:tcBorders/>
            <w:shd w:fill="auto" w:val="clear"/>
            <w:vAlign w:val="center"/>
          </w:tcPr>
          <w:p>
            <w:pPr>
              <w:pStyle w:val="TableContents"/>
              <w:spacing w:before="0" w:after="0"/>
              <w:ind w:left="225" w:right="0" w:hanging="225"/>
              <w:rPr/>
            </w:pPr>
            <w:r>
              <w:rPr/>
              <w:t> </w:t>
            </w:r>
          </w:p>
        </w:tc>
        <w:tc>
          <w:tcPr>
            <w:tcW w:w="417"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9"/>
        <w:gridCol w:w="131"/>
        <w:gridCol w:w="9775"/>
      </w:tblGrid>
      <w:tr>
        <w:trPr/>
        <w:tc>
          <w:tcPr>
            <w:tcW w:w="299" w:type="dxa"/>
            <w:tcBorders/>
            <w:shd w:fill="auto" w:val="clear"/>
          </w:tcPr>
          <w:p>
            <w:pPr>
              <w:pStyle w:val="TableContents"/>
              <w:spacing w:before="0" w:after="283"/>
              <w:jc w:val="left"/>
              <w:rPr>
                <w:b/>
              </w:rPr>
            </w:pPr>
            <w:r>
              <w:rPr>
                <w:b/>
              </w:rPr>
              <w:t>(6)</w:t>
            </w:r>
          </w:p>
        </w:tc>
        <w:tc>
          <w:tcPr>
            <w:tcW w:w="131" w:type="dxa"/>
            <w:tcBorders/>
            <w:shd w:fill="auto" w:val="clear"/>
          </w:tcPr>
          <w:p>
            <w:pPr>
              <w:pStyle w:val="TableContents"/>
              <w:spacing w:before="0" w:after="283"/>
              <w:rPr/>
            </w:pPr>
            <w:r>
              <w:rPr/>
              <w:t> </w:t>
            </w:r>
          </w:p>
        </w:tc>
        <w:tc>
          <w:tcPr>
            <w:tcW w:w="9775" w:type="dxa"/>
            <w:tcBorders/>
            <w:shd w:fill="auto" w:val="clear"/>
          </w:tcPr>
          <w:p>
            <w:pPr>
              <w:pStyle w:val="TableContents"/>
              <w:spacing w:before="0" w:after="283"/>
              <w:rPr>
                <w:b/>
              </w:rPr>
            </w:pPr>
            <w:r>
              <w:rPr>
                <w:b/>
              </w:rPr>
              <w:t>Convertible Subordinated Debentures, Participating Stock and Options</w:t>
            </w:r>
          </w:p>
        </w:tc>
      </w:tr>
      <w:tr>
        <w:trPr/>
        <w:tc>
          <w:tcPr>
            <w:tcW w:w="299" w:type="dxa"/>
            <w:tcBorders/>
            <w:shd w:fill="auto" w:val="clear"/>
            <w:vAlign w:val="center"/>
          </w:tcPr>
          <w:p>
            <w:pPr>
              <w:pStyle w:val="TableContents"/>
              <w:spacing w:before="0" w:after="283"/>
              <w:rPr/>
            </w:pPr>
            <w:r>
              <w:rPr/>
              <w:t> </w:t>
            </w:r>
          </w:p>
        </w:tc>
        <w:tc>
          <w:tcPr>
            <w:tcW w:w="9906" w:type="dxa"/>
            <w:gridSpan w:val="2"/>
            <w:tcBorders/>
            <w:shd w:fill="auto" w:val="clear"/>
          </w:tcPr>
          <w:p>
            <w:pPr>
              <w:pStyle w:val="TableContents"/>
              <w:spacing w:before="0" w:after="283"/>
              <w:rPr>
                <w:sz w:val="4"/>
                <w:szCs w:val="4"/>
              </w:rPr>
            </w:pPr>
            <w:r>
              <w:rPr>
                <w:sz w:val="4"/>
                <w:szCs w:val="4"/>
              </w:rPr>
            </w:r>
          </w:p>
        </w:tc>
      </w:tr>
      <w:tr>
        <w:trPr/>
        <w:tc>
          <w:tcPr>
            <w:tcW w:w="29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75" w:type="dxa"/>
            <w:tcBorders/>
            <w:shd w:fill="auto" w:val="clear"/>
          </w:tcPr>
          <w:p>
            <w:pPr>
              <w:pStyle w:val="TableContents"/>
              <w:spacing w:before="0" w:after="283"/>
              <w:rPr/>
            </w:pPr>
            <w:r>
              <w:rPr/>
              <w:t>A private placement of $8,260,775 convertible subordinated debentures (the 1998 debentures) which are automatically convertible to common stock upon an initial public offering where the gross offering is not less than $5 million and the shares of common stock sold are at a price per share of not less than $24, a merger or the sale of substantially all of the Companys assets, or are voluntarily convertible for five years at the holders option at a conversion price of $20 per share, was authorized and fully subscribed during 1998. Interest on the outstanding 1998 debentures is payable quarterly at a rate of 6.5%, and the 1998 debentures mature in 15 years.</w:t>
            </w:r>
          </w:p>
        </w:tc>
      </w:tr>
      <w:tr>
        <w:trPr/>
        <w:tc>
          <w:tcPr>
            <w:tcW w:w="299" w:type="dxa"/>
            <w:tcBorders/>
            <w:shd w:fill="auto" w:val="clear"/>
            <w:vAlign w:val="center"/>
          </w:tcPr>
          <w:p>
            <w:pPr>
              <w:pStyle w:val="TableContents"/>
              <w:spacing w:before="0" w:after="283"/>
              <w:rPr/>
            </w:pPr>
            <w:r>
              <w:rPr/>
              <w:t> </w:t>
            </w:r>
          </w:p>
        </w:tc>
        <w:tc>
          <w:tcPr>
            <w:tcW w:w="9906" w:type="dxa"/>
            <w:gridSpan w:val="2"/>
            <w:tcBorders/>
            <w:shd w:fill="auto" w:val="clear"/>
          </w:tcPr>
          <w:p>
            <w:pPr>
              <w:pStyle w:val="TableContents"/>
              <w:spacing w:before="0" w:after="283"/>
              <w:rPr>
                <w:sz w:val="4"/>
                <w:szCs w:val="4"/>
              </w:rPr>
            </w:pPr>
            <w:r>
              <w:rPr>
                <w:sz w:val="4"/>
                <w:szCs w:val="4"/>
              </w:rPr>
            </w:r>
          </w:p>
        </w:tc>
      </w:tr>
      <w:tr>
        <w:trPr/>
        <w:tc>
          <w:tcPr>
            <w:tcW w:w="29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75" w:type="dxa"/>
            <w:tcBorders/>
            <w:shd w:fill="auto" w:val="clear"/>
          </w:tcPr>
          <w:p>
            <w:pPr>
              <w:pStyle w:val="TableContents"/>
              <w:spacing w:before="0" w:after="283"/>
              <w:rPr/>
            </w:pPr>
            <w:r>
              <w:rPr/>
              <w:t>In April 1999, the Company authorized and fully subscribed a private placement of $15,047,600 convertible subordinated debentures (the 1999 debentures) which are automatically convertible to common stock upon an initial public offering, merger, or other significant event (which would result in a valuation of $40 per share after the transaction), or are voluntarily convertible for five years at the holders option at a conversion price of $24 per share. Interest on the outstanding 1999 debentures is payable quarterly at an initial rate of 6.4%. During November 2002, the interest rate was reduced to 6.4% unless the prime rate exceeds 6.4% in which case interest is at prime. Interest is currently payable at prime (8.25% at December 31, 2006) and any difference is accrued and will be payable at maturity. The maturity date for the 1999 debentures was June 30, 2007. The Company repaid and retired $3,864,000 of long-term debt in June 2007, representing the 1999 convertible subordinated debentures. Additionally, the Company paid $194,000 of deferred interest the 1999 debenture holders had earned between November 2002 and August 2005. This interest had been deferred in accordance with the terms of an Amendment that the 1999 debenture holders agreed to in November 2002. In August 2001, the Company entered into exchange agreements with certain holders of the $16,547,600 outstanding 1999 debentures in which certain holders exchanged their 1999 debentures for shares of the Companys Series A-1 participating stock. Under the exchange agreement, the holder of the outstanding 1999 debentures received one share of Series A-1 participating stock for every $10 of outstanding debentures. Each Series A-1 holder is entitled to one vote per share owned. This exchange transaction resulted in the issuance of 1,112,000 shares of Series A-1 participating stock and the retirement of $11,120,000 of the 1999 debentures. The Company granted certain shareholders warrants to purchase 145,648 shares of its Series A-1 participating stock at an option price of $10 per share which was exercisable on or before September 6, 2006. No warrants have ever been exercised and expired on September 6, 2006.</w:t>
            </w:r>
          </w:p>
        </w:tc>
      </w:tr>
      <w:tr>
        <w:trPr/>
        <w:tc>
          <w:tcPr>
            <w:tcW w:w="299" w:type="dxa"/>
            <w:tcBorders/>
            <w:shd w:fill="auto" w:val="clear"/>
            <w:vAlign w:val="center"/>
          </w:tcPr>
          <w:p>
            <w:pPr>
              <w:pStyle w:val="TableContents"/>
              <w:spacing w:before="0" w:after="283"/>
              <w:rPr/>
            </w:pPr>
            <w:r>
              <w:rPr/>
              <w:t> </w:t>
            </w:r>
          </w:p>
        </w:tc>
        <w:tc>
          <w:tcPr>
            <w:tcW w:w="9906" w:type="dxa"/>
            <w:gridSpan w:val="2"/>
            <w:tcBorders/>
            <w:shd w:fill="auto" w:val="clear"/>
          </w:tcPr>
          <w:p>
            <w:pPr>
              <w:pStyle w:val="TableContents"/>
              <w:spacing w:before="0" w:after="283"/>
              <w:rPr>
                <w:sz w:val="4"/>
                <w:szCs w:val="4"/>
              </w:rPr>
            </w:pPr>
            <w:r>
              <w:rPr>
                <w:sz w:val="4"/>
                <w:szCs w:val="4"/>
              </w:rPr>
            </w:r>
          </w:p>
        </w:tc>
      </w:tr>
      <w:tr>
        <w:trPr/>
        <w:tc>
          <w:tcPr>
            <w:tcW w:w="299"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75" w:type="dxa"/>
            <w:tcBorders/>
            <w:shd w:fill="auto" w:val="clear"/>
          </w:tcPr>
          <w:p>
            <w:pPr>
              <w:pStyle w:val="TableContents"/>
              <w:spacing w:before="0" w:after="283"/>
              <w:rPr/>
            </w:pPr>
            <w:r>
              <w:rPr/>
              <w:t>In August 2001, the Company entered into stock purchase agreements for its Series A-2 participating stock. The purchase price was $9.90 per share and was payable in either cash or payment to the bank for which an unsecured note payable of the Company is guaranteed by the individual purchaser of Series A-2 participating stock. This stock purchase transaction resulted in the issuance of 1,415,981 shares of Series A-2 participating stock and the retirement of $2,545,750 unsecured notes payable to banks. During 2002, an additional 100,609 shares of Series A-2 participating stock was issued.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2"/>
        <w:gridCol w:w="131"/>
        <w:gridCol w:w="9782"/>
      </w:tblGrid>
      <w:tr>
        <w:trPr/>
        <w:tc>
          <w:tcPr>
            <w:tcW w:w="292" w:type="dxa"/>
            <w:tcBorders/>
            <w:shd w:fill="auto" w:val="clear"/>
          </w:tcPr>
          <w:p>
            <w:pPr>
              <w:pStyle w:val="TableContents"/>
              <w:spacing w:before="0" w:after="283"/>
              <w:jc w:val="left"/>
              <w:rPr>
                <w:b/>
              </w:rPr>
            </w:pPr>
            <w:r>
              <w:rPr>
                <w:b/>
              </w:rPr>
              <w:t>(6)</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b/>
              </w:rPr>
            </w:pPr>
            <w:r>
              <w:rPr>
                <w:b/>
              </w:rPr>
              <w:t>Convertible Subordinated Debentures, Participating Stock and Options, Continued</w:t>
            </w:r>
          </w:p>
        </w:tc>
      </w:tr>
      <w:tr>
        <w:trPr/>
        <w:tc>
          <w:tcPr>
            <w:tcW w:w="292" w:type="dxa"/>
            <w:tcBorders/>
            <w:shd w:fill="auto" w:val="clear"/>
            <w:vAlign w:val="center"/>
          </w:tcPr>
          <w:p>
            <w:pPr>
              <w:pStyle w:val="TableContents"/>
              <w:spacing w:before="0" w:after="283"/>
              <w:rPr/>
            </w:pPr>
            <w:r>
              <w:rPr/>
              <w:t> </w:t>
            </w:r>
          </w:p>
        </w:tc>
        <w:tc>
          <w:tcPr>
            <w:tcW w:w="9913" w:type="dxa"/>
            <w:gridSpan w:val="2"/>
            <w:tcBorders/>
            <w:shd w:fill="auto" w:val="clea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pPr>
            <w:r>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$13,957,000, $18,749,000 and $1,240,000 as of December 31, 2005, 2006 and 2007, respectively.</w:t>
            </w:r>
          </w:p>
        </w:tc>
      </w:tr>
      <w:tr>
        <w:trPr/>
        <w:tc>
          <w:tcPr>
            <w:tcW w:w="292" w:type="dxa"/>
            <w:tcBorders/>
            <w:shd w:fill="auto" w:val="clear"/>
            <w:vAlign w:val="center"/>
          </w:tcPr>
          <w:p>
            <w:pPr>
              <w:pStyle w:val="TableContents"/>
              <w:spacing w:before="0" w:after="283"/>
              <w:rPr/>
            </w:pPr>
            <w:r>
              <w:rPr/>
              <w:t> </w:t>
            </w:r>
          </w:p>
        </w:tc>
        <w:tc>
          <w:tcPr>
            <w:tcW w:w="9913" w:type="dxa"/>
            <w:gridSpan w:val="2"/>
            <w:tcBorders/>
            <w:shd w:fill="auto" w:val="clea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pPr>
            <w:r>
              <w:rPr/>
              <w:t>In August 2001, the Company entered into exchange agreements with certain holders of the $8,260,775 outstanding 1998 debentures in which certain holders exchanged their 1998 debentures for shares of the Companys Series B participating stock. Each Series B holder is entitled to one vote per share owned. Under the exchange agreement, the holder of the outstanding 1998 debentures received one share of Series B participating stock for every $10 of outstanding debentures. This exchange resulted in the issuance of 614,988 shares of Series B participating stock and the retirement of $6,194,880 of the 1998 debentures. Additionally, the Series A-2 holders purchased option rights to purchase 758,295 shares of common stock (see Note 8). On April 3, 2007, the Companys board of directors authorized management to secure the necessary funds to make a dividend payment to the holders of Series A-2 Participating Stock by June 30, 2007. The Company made payments totaling $21.3 million to the Series A-2 Participating Stock holders, representing dividends accrued through the applicable payment dates in June 2007. Dividends continue to accumulate at the annual rate of 16.54%, but will not be accrued by the Company until they are approved and authorized by the board of directors.</w:t>
            </w:r>
          </w:p>
        </w:tc>
      </w:tr>
      <w:tr>
        <w:trPr/>
        <w:tc>
          <w:tcPr>
            <w:tcW w:w="292" w:type="dxa"/>
            <w:tcBorders/>
            <w:shd w:fill="auto" w:val="clear"/>
            <w:vAlign w:val="center"/>
          </w:tcPr>
          <w:p>
            <w:pPr>
              <w:pStyle w:val="TableContents"/>
              <w:spacing w:before="0" w:after="283"/>
              <w:rPr/>
            </w:pPr>
            <w:r>
              <w:rPr/>
              <w:t> </w:t>
            </w:r>
          </w:p>
        </w:tc>
        <w:tc>
          <w:tcPr>
            <w:tcW w:w="9913" w:type="dxa"/>
            <w:gridSpan w:val="2"/>
            <w:tcBorders/>
            <w:shd w:fill="auto" w:val="clea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pPr>
            <w:r>
              <w:rPr/>
              <w:t>Pursuant to EITF 00-19, Accounting for Derivative Financial Instruments Indexed to, and Potentially Settled in, a Companys Own Stock, management has determined that the Series A-2 option rights should be classified as a liability. However, the fair value of these option rights was calculated using the Black-Scholes Option Pricing Model and deemed to be immaterial. In addition, as of December 31, 2007 this liability for the option rights would be reclassified to additional paid-in capital upon completion of an initial public offering.</w:t>
            </w:r>
          </w:p>
        </w:tc>
      </w:tr>
      <w:tr>
        <w:trPr/>
        <w:tc>
          <w:tcPr>
            <w:tcW w:w="292" w:type="dxa"/>
            <w:tcBorders/>
            <w:shd w:fill="auto" w:val="clear"/>
            <w:vAlign w:val="center"/>
          </w:tcPr>
          <w:p>
            <w:pPr>
              <w:pStyle w:val="TableContents"/>
              <w:spacing w:before="0" w:after="283"/>
              <w:rPr/>
            </w:pPr>
            <w:r>
              <w:rPr/>
              <w:t> </w:t>
            </w:r>
          </w:p>
        </w:tc>
        <w:tc>
          <w:tcPr>
            <w:tcW w:w="9913" w:type="dxa"/>
            <w:gridSpan w:val="2"/>
            <w:tcBorders/>
            <w:shd w:fill="auto" w:val="clea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pPr>
            <w:r>
              <w:rPr/>
              <w:t>There are also 21,000 options outstanding that were granted in 1999 to the Companys board of directors. These options can be exercised at an exercise price of $20.00 per share. If not exercised by 2009, the options will terminate. None of these options are required to be converted to common stock upon filing of an initial public offering.</w:t>
            </w:r>
          </w:p>
        </w:tc>
      </w:tr>
      <w:tr>
        <w:trPr/>
        <w:tc>
          <w:tcPr>
            <w:tcW w:w="292" w:type="dxa"/>
            <w:tcBorders/>
            <w:shd w:fill="auto" w:val="clear"/>
            <w:vAlign w:val="center"/>
          </w:tcPr>
          <w:p>
            <w:pPr>
              <w:pStyle w:val="TableContents"/>
              <w:spacing w:before="0" w:after="283"/>
              <w:rPr/>
            </w:pPr>
            <w:r>
              <w:rPr/>
              <w:t> </w:t>
            </w:r>
          </w:p>
        </w:tc>
        <w:tc>
          <w:tcPr>
            <w:tcW w:w="9913" w:type="dxa"/>
            <w:gridSpan w:val="2"/>
            <w:tcBorders/>
            <w:shd w:fill="auto" w:val="clea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2" w:type="dxa"/>
            <w:tcBorders/>
            <w:shd w:fill="auto" w:val="clear"/>
          </w:tcPr>
          <w:p>
            <w:pPr>
              <w:pStyle w:val="TableContents"/>
              <w:spacing w:before="0" w:after="283"/>
              <w:rPr/>
            </w:pPr>
            <w:r>
              <w:rPr/>
              <w:t>Each share of participating stock is convertible, at the option of the holder, into the number of fully paid and nonassessable shares of common stock determined by dividing the applicable original price by the conversion price applicable to that share in effect at the date of conversion, initially on a one-for-one basis. The Company may at any time require the conversion of all of the outstanding shares of the various series of participating stock if (a) the Company is at such time effecting a initial public offering or (b) at any time in which the holders of a majority of the then outstanding shares of such series of participating stock elect to convert their shares into common stock. None of the various series of participating stock were converted to common stock in connection with the Companys filing and subsequent suspension of its IPO during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0"/>
        <w:gridCol w:w="131"/>
        <w:gridCol w:w="9784"/>
      </w:tblGrid>
      <w:tr>
        <w:trPr/>
        <w:tc>
          <w:tcPr>
            <w:tcW w:w="290" w:type="dxa"/>
            <w:tcBorders/>
            <w:shd w:fill="auto" w:val="clear"/>
          </w:tcPr>
          <w:p>
            <w:pPr>
              <w:pStyle w:val="TableContents"/>
              <w:spacing w:before="0" w:after="283"/>
              <w:jc w:val="left"/>
              <w:rPr>
                <w:b/>
              </w:rPr>
            </w:pPr>
            <w:r>
              <w:rPr>
                <w:b/>
              </w:rPr>
              <w:t>(6)</w:t>
            </w:r>
          </w:p>
        </w:tc>
        <w:tc>
          <w:tcPr>
            <w:tcW w:w="131" w:type="dxa"/>
            <w:tcBorders/>
            <w:shd w:fill="auto" w:val="clear"/>
          </w:tcPr>
          <w:p>
            <w:pPr>
              <w:pStyle w:val="TableContents"/>
              <w:spacing w:before="0" w:after="283"/>
              <w:rPr/>
            </w:pPr>
            <w:r>
              <w:rPr/>
              <w:t> </w:t>
            </w:r>
          </w:p>
        </w:tc>
        <w:tc>
          <w:tcPr>
            <w:tcW w:w="9784" w:type="dxa"/>
            <w:tcBorders/>
            <w:shd w:fill="auto" w:val="clear"/>
          </w:tcPr>
          <w:p>
            <w:pPr>
              <w:pStyle w:val="TableContents"/>
              <w:spacing w:before="0" w:after="283"/>
              <w:rPr>
                <w:b/>
              </w:rPr>
            </w:pPr>
            <w:r>
              <w:rPr>
                <w:b/>
              </w:rPr>
              <w:t>Convertible Subordinated Debentures, Participating Stock and Options, Continued</w:t>
            </w:r>
          </w:p>
        </w:tc>
      </w:tr>
      <w:tr>
        <w:trPr/>
        <w:tc>
          <w:tcPr>
            <w:tcW w:w="290" w:type="dxa"/>
            <w:tcBorders/>
            <w:shd w:fill="auto" w:val="clear"/>
            <w:vAlign w:val="center"/>
          </w:tcPr>
          <w:p>
            <w:pPr>
              <w:pStyle w:val="TableContents"/>
              <w:spacing w:before="0" w:after="283"/>
              <w:rPr/>
            </w:pPr>
            <w:r>
              <w:rPr/>
              <w:t> </w:t>
            </w:r>
          </w:p>
        </w:tc>
        <w:tc>
          <w:tcPr>
            <w:tcW w:w="9915" w:type="dxa"/>
            <w:gridSpan w:val="2"/>
            <w:tcBorders/>
            <w:shd w:fill="auto" w:val="clear"/>
          </w:tcPr>
          <w:p>
            <w:pPr>
              <w:pStyle w:val="TableContents"/>
              <w:spacing w:before="0" w:after="283"/>
              <w:rPr>
                <w:sz w:val="4"/>
                <w:szCs w:val="4"/>
              </w:rPr>
            </w:pPr>
            <w:r>
              <w:rPr>
                <w:sz w:val="4"/>
                <w:szCs w:val="4"/>
              </w:rPr>
            </w:r>
          </w:p>
        </w:tc>
      </w:tr>
      <w:tr>
        <w:trPr/>
        <w:tc>
          <w:tcPr>
            <w:tcW w:w="290"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4" w:type="dxa"/>
            <w:tcBorders/>
            <w:shd w:fill="auto" w:val="clear"/>
          </w:tcPr>
          <w:p>
            <w:pPr>
              <w:pStyle w:val="TableContents"/>
              <w:spacing w:before="0" w:after="283"/>
              <w:rPr/>
            </w:pPr>
            <w:r>
              <w:rPr/>
              <w:t>The Series A-1 participating stock has a liquidation value of $10 per share plus 8.0% per annum. The Series B participating stock has a liquidation value of $10 per share plus 6.0% per annum. Both the Series A-1 and B participating stocks are subordinate in liquidation to the Series A-2 participating stock and do not provide for dividends. As of December 31, 2005, December 31, 2006 and December 31, 2007, there were 795,374, 795,374 and 126,010, respectively, shares of the Companys Series A-2 participating stock held by directors of the Company. In addition, approximately $2,448,200 was paid to such directors of the Company during June 2007 representing the accumulated unaccrued dividends related to the Series A-2 participating stock for the period from August 2001 through June 2007.</w:t>
            </w:r>
          </w:p>
        </w:tc>
      </w:tr>
      <w:tr>
        <w:trPr/>
        <w:tc>
          <w:tcPr>
            <w:tcW w:w="290" w:type="dxa"/>
            <w:tcBorders/>
            <w:shd w:fill="auto" w:val="clear"/>
            <w:vAlign w:val="center"/>
          </w:tcPr>
          <w:p>
            <w:pPr>
              <w:pStyle w:val="TableContents"/>
              <w:spacing w:before="0" w:after="283"/>
              <w:rPr/>
            </w:pPr>
            <w:r>
              <w:rPr/>
              <w:t> </w:t>
            </w:r>
          </w:p>
        </w:tc>
        <w:tc>
          <w:tcPr>
            <w:tcW w:w="9915" w:type="dxa"/>
            <w:gridSpan w:val="2"/>
            <w:tcBorders/>
            <w:shd w:fill="auto" w:val="clear"/>
          </w:tcPr>
          <w:p>
            <w:pPr>
              <w:pStyle w:val="TableContents"/>
              <w:spacing w:before="0" w:after="283"/>
              <w:rPr>
                <w:sz w:val="4"/>
                <w:szCs w:val="4"/>
              </w:rPr>
            </w:pPr>
            <w:r>
              <w:rPr>
                <w:sz w:val="4"/>
                <w:szCs w:val="4"/>
              </w:rPr>
            </w:r>
          </w:p>
        </w:tc>
      </w:tr>
      <w:tr>
        <w:trPr/>
        <w:tc>
          <w:tcPr>
            <w:tcW w:w="290" w:type="dxa"/>
            <w:tcBorders/>
            <w:shd w:fill="auto" w:val="clear"/>
          </w:tcPr>
          <w:p>
            <w:pPr>
              <w:pStyle w:val="TableContents"/>
              <w:spacing w:before="0" w:after="283"/>
              <w:jc w:val="left"/>
              <w:rPr/>
            </w:pPr>
            <w:r>
              <w:rPr/>
              <w:t> </w:t>
            </w:r>
          </w:p>
        </w:tc>
        <w:tc>
          <w:tcPr>
            <w:tcW w:w="131" w:type="dxa"/>
            <w:tcBorders/>
            <w:shd w:fill="auto" w:val="clear"/>
          </w:tcPr>
          <w:p>
            <w:pPr>
              <w:pStyle w:val="TableContents"/>
              <w:spacing w:before="0" w:after="283"/>
              <w:rPr/>
            </w:pPr>
            <w:r>
              <w:rPr/>
              <w:t> </w:t>
            </w:r>
          </w:p>
        </w:tc>
        <w:tc>
          <w:tcPr>
            <w:tcW w:w="9784" w:type="dxa"/>
            <w:tcBorders/>
            <w:shd w:fill="auto" w:val="clear"/>
          </w:tcPr>
          <w:p>
            <w:pPr>
              <w:pStyle w:val="TableContents"/>
              <w:spacing w:before="0" w:after="283"/>
              <w:rPr/>
            </w:pPr>
            <w:r>
              <w:rPr/>
              <w:t>Below is a summary of the outstanding 1998 and 1999 debentures:</w:t>
            </w:r>
          </w:p>
        </w:tc>
      </w:tr>
    </w:tbl>
    <w:tbl>
      <w:tblPr>
        <w:tblW w:w="5000" w:type="pct"/>
        <w:jc w:val="center"/>
        <w:tblInd w:w="0" w:type="dxa"/>
        <w:tblCellMar>
          <w:top w:w="0" w:type="dxa"/>
          <w:left w:w="0" w:type="dxa"/>
          <w:bottom w:w="0" w:type="dxa"/>
          <w:right w:w="0" w:type="dxa"/>
        </w:tblCellMar>
      </w:tblPr>
      <w:tblGrid>
        <w:gridCol w:w="4110"/>
        <w:gridCol w:w="313"/>
        <w:gridCol w:w="309"/>
        <w:gridCol w:w="1148"/>
        <w:gridCol w:w="260"/>
        <w:gridCol w:w="313"/>
        <w:gridCol w:w="300"/>
        <w:gridCol w:w="1163"/>
        <w:gridCol w:w="254"/>
        <w:gridCol w:w="313"/>
        <w:gridCol w:w="336"/>
        <w:gridCol w:w="1101"/>
        <w:gridCol w:w="285"/>
      </w:tblGrid>
      <w:tr>
        <w:trPr/>
        <w:tc>
          <w:tcPr>
            <w:tcW w:w="411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December 31,</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December 31,</w:t>
            </w:r>
          </w:p>
        </w:tc>
        <w:tc>
          <w:tcPr>
            <w:tcW w:w="313" w:type="dxa"/>
            <w:tcBorders/>
            <w:shd w:fill="auto" w:val="clear"/>
            <w:vAlign w:val="bottom"/>
          </w:tcPr>
          <w:p>
            <w:pPr>
              <w:pStyle w:val="TableContents"/>
              <w:spacing w:before="0" w:after="283"/>
              <w:rPr/>
            </w:pPr>
            <w:r>
              <w:rPr/>
              <w:t> </w:t>
            </w:r>
          </w:p>
        </w:tc>
        <w:tc>
          <w:tcPr>
            <w:tcW w:w="1722" w:type="dxa"/>
            <w:gridSpan w:val="3"/>
            <w:tcBorders/>
            <w:shd w:fill="auto" w:val="clear"/>
            <w:vAlign w:val="bottom"/>
          </w:tcPr>
          <w:p>
            <w:pPr>
              <w:pStyle w:val="TableContents"/>
              <w:spacing w:before="0" w:after="283"/>
              <w:jc w:val="center"/>
              <w:rPr>
                <w:b/>
              </w:rPr>
            </w:pPr>
            <w:r>
              <w:rPr>
                <w:b/>
              </w:rPr>
              <w:t>December 31,</w:t>
            </w:r>
          </w:p>
        </w:tc>
      </w:tr>
      <w:tr>
        <w:trPr/>
        <w:tc>
          <w:tcPr>
            <w:tcW w:w="411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2005</w:t>
            </w:r>
          </w:p>
        </w:tc>
        <w:tc>
          <w:tcPr>
            <w:tcW w:w="313" w:type="dxa"/>
            <w:tcBorders/>
            <w:shd w:fill="auto" w:val="clear"/>
            <w:vAlign w:val="bottom"/>
          </w:tcPr>
          <w:p>
            <w:pPr>
              <w:pStyle w:val="TableContents"/>
              <w:spacing w:before="0" w:after="283"/>
              <w:rPr/>
            </w:pPr>
            <w:r>
              <w:rPr/>
              <w:t> </w:t>
            </w:r>
          </w:p>
        </w:tc>
        <w:tc>
          <w:tcPr>
            <w:tcW w:w="1717" w:type="dxa"/>
            <w:gridSpan w:val="3"/>
            <w:tcBorders/>
            <w:shd w:fill="auto" w:val="clear"/>
            <w:vAlign w:val="bottom"/>
          </w:tcPr>
          <w:p>
            <w:pPr>
              <w:pStyle w:val="TableContents"/>
              <w:spacing w:before="0" w:after="283"/>
              <w:jc w:val="center"/>
              <w:rPr>
                <w:b/>
              </w:rPr>
            </w:pPr>
            <w:r>
              <w:rPr>
                <w:b/>
              </w:rPr>
              <w:t>2006</w:t>
            </w:r>
          </w:p>
        </w:tc>
        <w:tc>
          <w:tcPr>
            <w:tcW w:w="313" w:type="dxa"/>
            <w:tcBorders/>
            <w:shd w:fill="auto" w:val="clear"/>
            <w:vAlign w:val="bottom"/>
          </w:tcPr>
          <w:p>
            <w:pPr>
              <w:pStyle w:val="TableContents"/>
              <w:spacing w:before="0" w:after="283"/>
              <w:rPr/>
            </w:pPr>
            <w:r>
              <w:rPr/>
              <w:t> </w:t>
            </w:r>
          </w:p>
        </w:tc>
        <w:tc>
          <w:tcPr>
            <w:tcW w:w="1722" w:type="dxa"/>
            <w:gridSpan w:val="3"/>
            <w:tcBorders/>
            <w:shd w:fill="auto" w:val="clear"/>
            <w:vAlign w:val="bottom"/>
          </w:tcPr>
          <w:p>
            <w:pPr>
              <w:pStyle w:val="TableContents"/>
              <w:spacing w:before="0" w:after="283"/>
              <w:jc w:val="center"/>
              <w:rPr>
                <w:b/>
              </w:rPr>
            </w:pPr>
            <w:r>
              <w:rPr>
                <w:b/>
              </w:rPr>
              <w:t>2007</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0" w:type="dxa"/>
            <w:tcBorders/>
            <w:shd w:fill="CCEEFF" w:val="clear"/>
            <w:vAlign w:val="bottom"/>
          </w:tcPr>
          <w:p>
            <w:pPr>
              <w:pStyle w:val="TableContents"/>
              <w:spacing w:before="0" w:after="0"/>
              <w:ind w:left="225" w:right="0" w:hanging="225"/>
              <w:rPr/>
            </w:pPr>
            <w:r>
              <w:rPr/>
              <w:t>1998 debentures</w:t>
            </w:r>
          </w:p>
        </w:tc>
        <w:tc>
          <w:tcPr>
            <w:tcW w:w="31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w:t>
            </w:r>
          </w:p>
        </w:tc>
        <w:tc>
          <w:tcPr>
            <w:tcW w:w="1148" w:type="dxa"/>
            <w:tcBorders/>
            <w:shd w:fill="CCEEFF" w:val="clear"/>
            <w:vAlign w:val="bottom"/>
          </w:tcPr>
          <w:p>
            <w:pPr>
              <w:pStyle w:val="TableContents"/>
              <w:spacing w:before="0" w:after="283"/>
              <w:jc w:val="right"/>
              <w:rPr/>
            </w:pPr>
            <w:r>
              <w:rPr/>
              <w:t>526,853</w:t>
            </w:r>
          </w:p>
        </w:tc>
        <w:tc>
          <w:tcPr>
            <w:tcW w:w="2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466,227</w:t>
            </w:r>
          </w:p>
        </w:tc>
        <w:tc>
          <w:tcPr>
            <w:tcW w:w="254"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403,660</w:t>
            </w:r>
          </w:p>
        </w:tc>
        <w:tc>
          <w:tcPr>
            <w:tcW w:w="285" w:type="dxa"/>
            <w:tcBorders/>
            <w:shd w:fill="CCEEFF"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0"/>
              <w:ind w:left="225" w:right="0" w:hanging="225"/>
              <w:rPr/>
            </w:pPr>
            <w:r>
              <w:rPr/>
              <w:t>1999 debentures</w:t>
            </w:r>
          </w:p>
        </w:tc>
        <w:tc>
          <w:tcPr>
            <w:tcW w:w="31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3,864,000</w:t>
            </w:r>
          </w:p>
        </w:tc>
        <w:tc>
          <w:tcPr>
            <w:tcW w:w="2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3,864,000</w:t>
            </w:r>
          </w:p>
        </w:tc>
        <w:tc>
          <w:tcPr>
            <w:tcW w:w="254"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285" w:type="dxa"/>
            <w:tcBorders/>
            <w:shd w:fill="auto" w:val="clear"/>
            <w:vAlign w:val="bottom"/>
          </w:tcPr>
          <w:p>
            <w:pPr>
              <w:pStyle w:val="TableContents"/>
              <w:spacing w:before="0" w:after="283"/>
              <w:rPr/>
            </w:pPr>
            <w:r>
              <w:rPr/>
              <w:t> </w:t>
            </w:r>
          </w:p>
        </w:tc>
      </w:tr>
      <w:tr>
        <w:trPr/>
        <w:tc>
          <w:tcPr>
            <w:tcW w:w="411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5782"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0" w:type="dxa"/>
            <w:tcBorders/>
            <w:shd w:fill="CCEEFF" w:val="clear"/>
            <w:vAlign w:val="bottom"/>
          </w:tcPr>
          <w:p>
            <w:pPr>
              <w:pStyle w:val="TableContents"/>
              <w:spacing w:before="0" w:after="0"/>
              <w:ind w:left="225" w:right="0" w:hanging="225"/>
              <w:rPr/>
            </w:pPr>
            <w:r>
              <w:rPr/>
              <w:t> </w:t>
            </w:r>
          </w:p>
        </w:tc>
        <w:tc>
          <w:tcPr>
            <w:tcW w:w="31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4,390,853</w:t>
            </w:r>
          </w:p>
        </w:tc>
        <w:tc>
          <w:tcPr>
            <w:tcW w:w="2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4,330,227</w:t>
            </w:r>
          </w:p>
        </w:tc>
        <w:tc>
          <w:tcPr>
            <w:tcW w:w="254"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403,660</w:t>
            </w:r>
          </w:p>
        </w:tc>
        <w:tc>
          <w:tcPr>
            <w:tcW w:w="285" w:type="dxa"/>
            <w:tcBorders/>
            <w:shd w:fill="CCEEFF"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0"/>
              <w:ind w:left="225" w:right="0" w:hanging="225"/>
              <w:rPr/>
            </w:pPr>
            <w:r>
              <w:rPr/>
              <w:t>Less current maturities of 1998 and 1999 debentures</w:t>
            </w:r>
          </w:p>
        </w:tc>
        <w:tc>
          <w:tcPr>
            <w:tcW w:w="31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 </w:t>
            </w:r>
          </w:p>
        </w:tc>
        <w:tc>
          <w:tcPr>
            <w:tcW w:w="1148" w:type="dxa"/>
            <w:tcBorders/>
            <w:shd w:fill="auto" w:val="clear"/>
            <w:vAlign w:val="bottom"/>
          </w:tcPr>
          <w:p>
            <w:pPr>
              <w:pStyle w:val="TableContents"/>
              <w:spacing w:before="0" w:after="283"/>
              <w:jc w:val="right"/>
              <w:rPr/>
            </w:pPr>
            <w:r>
              <w:rPr/>
              <w:t>(58,881</w:t>
            </w:r>
          </w:p>
        </w:tc>
        <w:tc>
          <w:tcPr>
            <w:tcW w:w="260" w:type="dxa"/>
            <w:tcBorders/>
            <w:shd w:fill="auto" w:val="clear"/>
            <w:vAlign w:val="bottom"/>
          </w:tcPr>
          <w:p>
            <w:pPr>
              <w:pStyle w:val="TableContents"/>
              <w:spacing w:before="0" w:after="283"/>
              <w:rPr/>
            </w:pPr>
            <w:r>
              <w:rPr/>
              <w:t>)</w:t>
            </w:r>
          </w:p>
        </w:tc>
        <w:tc>
          <w:tcPr>
            <w:tcW w:w="313"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 </w:t>
            </w:r>
          </w:p>
        </w:tc>
        <w:tc>
          <w:tcPr>
            <w:tcW w:w="1163" w:type="dxa"/>
            <w:tcBorders/>
            <w:shd w:fill="auto" w:val="clear"/>
            <w:vAlign w:val="bottom"/>
          </w:tcPr>
          <w:p>
            <w:pPr>
              <w:pStyle w:val="TableContents"/>
              <w:spacing w:before="0" w:after="283"/>
              <w:jc w:val="right"/>
              <w:rPr/>
            </w:pPr>
            <w:r>
              <w:rPr/>
              <w:t>(3,926,802</w:t>
            </w:r>
          </w:p>
        </w:tc>
        <w:tc>
          <w:tcPr>
            <w:tcW w:w="254" w:type="dxa"/>
            <w:tcBorders/>
            <w:shd w:fill="auto" w:val="clear"/>
            <w:vAlign w:val="bottom"/>
          </w:tcPr>
          <w:p>
            <w:pPr>
              <w:pStyle w:val="TableContents"/>
              <w:spacing w:before="0" w:after="283"/>
              <w:rPr/>
            </w:pPr>
            <w:r>
              <w:rPr/>
              <w:t>)</w:t>
            </w:r>
          </w:p>
        </w:tc>
        <w:tc>
          <w:tcPr>
            <w:tcW w:w="31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pPr>
            <w:r>
              <w:rPr/>
              <w:t> </w:t>
            </w:r>
          </w:p>
        </w:tc>
        <w:tc>
          <w:tcPr>
            <w:tcW w:w="1101" w:type="dxa"/>
            <w:tcBorders/>
            <w:shd w:fill="auto" w:val="clear"/>
            <w:vAlign w:val="bottom"/>
          </w:tcPr>
          <w:p>
            <w:pPr>
              <w:pStyle w:val="TableContents"/>
              <w:spacing w:before="0" w:after="283"/>
              <w:jc w:val="right"/>
              <w:rPr/>
            </w:pPr>
            <w:r>
              <w:rPr/>
              <w:t>(66,736</w:t>
            </w:r>
          </w:p>
        </w:tc>
        <w:tc>
          <w:tcPr>
            <w:tcW w:w="285" w:type="dxa"/>
            <w:tcBorders/>
            <w:shd w:fill="auto" w:val="clear"/>
            <w:vAlign w:val="bottom"/>
          </w:tcPr>
          <w:p>
            <w:pPr>
              <w:pStyle w:val="TableContents"/>
              <w:spacing w:before="0" w:after="283"/>
              <w:rPr/>
            </w:pPr>
            <w:r>
              <w:rPr/>
              <w:t>)</w:t>
            </w:r>
          </w:p>
        </w:tc>
      </w:tr>
      <w:tr>
        <w:trPr/>
        <w:tc>
          <w:tcPr>
            <w:tcW w:w="411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5782"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110" w:type="dxa"/>
            <w:tcBorders/>
            <w:shd w:fill="CCEEFF" w:val="clear"/>
            <w:vAlign w:val="bottom"/>
          </w:tcPr>
          <w:p>
            <w:pPr>
              <w:pStyle w:val="TableContents"/>
              <w:spacing w:before="0" w:after="0"/>
              <w:ind w:left="225" w:right="0" w:hanging="225"/>
              <w:rPr/>
            </w:pPr>
            <w:r>
              <w:rPr/>
              <w:t>Total debentures, less current maturities</w:t>
            </w:r>
          </w:p>
        </w:tc>
        <w:tc>
          <w:tcPr>
            <w:tcW w:w="31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w:t>
            </w:r>
          </w:p>
        </w:tc>
        <w:tc>
          <w:tcPr>
            <w:tcW w:w="1148" w:type="dxa"/>
            <w:tcBorders/>
            <w:shd w:fill="CCEEFF" w:val="clear"/>
            <w:vAlign w:val="bottom"/>
          </w:tcPr>
          <w:p>
            <w:pPr>
              <w:pStyle w:val="TableContents"/>
              <w:spacing w:before="0" w:after="283"/>
              <w:jc w:val="right"/>
              <w:rPr/>
            </w:pPr>
            <w:r>
              <w:rPr/>
              <w:t>4,331,972</w:t>
            </w:r>
          </w:p>
        </w:tc>
        <w:tc>
          <w:tcPr>
            <w:tcW w:w="2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403,425</w:t>
            </w:r>
          </w:p>
        </w:tc>
        <w:tc>
          <w:tcPr>
            <w:tcW w:w="254"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336,924</w:t>
            </w:r>
          </w:p>
        </w:tc>
        <w:tc>
          <w:tcPr>
            <w:tcW w:w="285" w:type="dxa"/>
            <w:tcBorders/>
            <w:shd w:fill="CCEEFF" w:val="clear"/>
            <w:vAlign w:val="bottom"/>
          </w:tcPr>
          <w:p>
            <w:pPr>
              <w:pStyle w:val="TableContents"/>
              <w:spacing w:before="0" w:after="283"/>
              <w:rPr/>
            </w:pPr>
            <w:r>
              <w:rPr/>
              <w:t> </w:t>
            </w:r>
          </w:p>
        </w:tc>
      </w:tr>
      <w:tr>
        <w:trPr/>
        <w:tc>
          <w:tcPr>
            <w:tcW w:w="411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5782"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96"/>
        <w:gridCol w:w="131"/>
        <w:gridCol w:w="9778"/>
      </w:tblGrid>
      <w:tr>
        <w:trPr/>
        <w:tc>
          <w:tcPr>
            <w:tcW w:w="296" w:type="dxa"/>
            <w:tcBorders/>
            <w:shd w:fill="auto" w:val="clear"/>
          </w:tcPr>
          <w:p>
            <w:pPr>
              <w:pStyle w:val="TableContents"/>
              <w:spacing w:before="0" w:after="283"/>
              <w:jc w:val="left"/>
              <w:rPr>
                <w:b/>
              </w:rPr>
            </w:pPr>
            <w:r>
              <w:rPr>
                <w:b/>
              </w:rPr>
              <w:t>(7)</w:t>
            </w:r>
          </w:p>
        </w:tc>
        <w:tc>
          <w:tcPr>
            <w:tcW w:w="131"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Shareholders Equity</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Common Stock</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is authorized to issue 35,000,000 shares of common stock with a par value of $0.01 per share. There were no shares issued or outstanding for all periods presented.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Participating Stock</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is authorized to issue 15,000,000 shares of participating stock with a par value of $0.01 per share. Of the authorized shares of participating stock, 3,756,496 shares are designated Series A-1 Participating Stock, 2,500,000 shares are designated Series A-2 Participating Stock, and 682,038 shares are designated Series B Participating Stock. The balance of shares of authorized participating stock may be issued from time to time in one or more series as the board of directors may determine. See Note 6 for the rights, preferences and conversion features of the related participating stock series.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6"/>
        <w:gridCol w:w="131"/>
        <w:gridCol w:w="9778"/>
      </w:tblGrid>
      <w:tr>
        <w:trPr/>
        <w:tc>
          <w:tcPr>
            <w:tcW w:w="296" w:type="dxa"/>
            <w:tcBorders/>
            <w:shd w:fill="auto" w:val="clear"/>
          </w:tcPr>
          <w:p>
            <w:pPr>
              <w:pStyle w:val="TableContents"/>
              <w:spacing w:before="0" w:after="283"/>
              <w:jc w:val="left"/>
              <w:rPr>
                <w:b/>
              </w:rPr>
            </w:pPr>
            <w:r>
              <w:rPr>
                <w:b/>
              </w:rPr>
              <w:t>(7)</w:t>
            </w:r>
          </w:p>
        </w:tc>
        <w:tc>
          <w:tcPr>
            <w:tcW w:w="131"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Shareholders Equity, Continued</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(b)</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b/>
                <w:i/>
              </w:rPr>
            </w:pPr>
            <w:r>
              <w:rPr>
                <w:b/>
                <w:i/>
              </w:rPr>
              <w:t>Participating Stock, Continued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On June 15, 2007, the Companys board of directors approved employment agreements for the three Company officers, John Thedford, Chief Executive Officer, Woody Whitcomb, Chief Financial Officer and Lawrence Kahlden, Chief Operating Officer. The employment agreements were documented and executed by the Company. The agreements cover a three-year period from January 1, 2007 through December 31, 2009 and establish compensation, including a one-time grant of 640,008 shares of Series A-1 Participating Stock, divided among the three officers. An additional 45,715 shares of Series A-1 Participating Stock were granted to an outside consultant. The grant price was set at $6.00 per share (based on a recent stock transaction) and resulted in a charge to compensation expense of approximately $6.5 million (including approximately $2.4 million of taxes paid on behalf of the officers) during the year ended December 31,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(c)</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b/>
                <w:i/>
              </w:rPr>
            </w:pPr>
            <w:r>
              <w:rPr>
                <w:b/>
                <w:i/>
              </w:rPr>
              <w:t>Treasury Stock</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Treasury stock is recorded at cost. During the year ended December 31, 2007, the Company repurchased shares of Series A-1 and B Participating Stock which were immediately sold or retired.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During February 2007, the Company repurchased 377,123 shares of Series A-1 Participating Stock for $2,262,736 and 150,000 shares of Series B Participating Stock for $900,000 (for a total of $3,162,736) from a former director of the Company (who resigned in July 2007) and immediately re-sold these shares to a group of investors which included a director, three officers and four other existing unrelated shareholders of the Company.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During April 2007, the Company repurchased 200,000 shares of Series A-1 Participating Stock from an unrelated shareholder for $1,200,000. The Company immediately retired the shares upon redemption.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(d)</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b/>
                <w:i/>
              </w:rPr>
            </w:pPr>
            <w:r>
              <w:rPr>
                <w:b/>
                <w:i/>
              </w:rPr>
              <w:t>Receivable from Shareholder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During 2002, the Company loaned a key employee, who is also its chief executive officer and a shareholder, approximately $954,000 in order to purchase 95,425 shares of the Companys Series A-1 Participating Stock. During 2005, the Company entered into an employment agreement with this same key employee. Under the provisions of the agreement, the Company advanced an additional amount of approximately $754,000 for the purpose of purchasing 87,707 additional shares of the Companys Series A-1 Participating Stock and consolidated the payments made with the previously outstanding note receivable from that shareholder. Pursuant to the consolidated promissory note and pledge agreement between the key employee and the Company, payment of the indebtedness was secured by 183,132 shares of Series A-1 Participating Stock held by the Company. Upon the occurrence of a default, the Company had the right to reassign, sell or otherwise dispose of the pledged shares. The promissory note did not contain performance goals, nor did it contain any loan forgiveness provisions. The employment agreement expired during 2005.</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296"/>
        <w:gridCol w:w="131"/>
        <w:gridCol w:w="9778"/>
      </w:tblGrid>
      <w:tr>
        <w:trPr/>
        <w:tc>
          <w:tcPr>
            <w:tcW w:w="296" w:type="dxa"/>
            <w:tcBorders/>
            <w:shd w:fill="auto" w:val="clear"/>
          </w:tcPr>
          <w:p>
            <w:pPr>
              <w:pStyle w:val="TableContents"/>
              <w:spacing w:before="0" w:after="283"/>
              <w:jc w:val="left"/>
              <w:rPr>
                <w:b/>
              </w:rPr>
            </w:pPr>
            <w:r>
              <w:rPr>
                <w:b/>
              </w:rPr>
              <w:t>(7)</w:t>
            </w:r>
          </w:p>
        </w:tc>
        <w:tc>
          <w:tcPr>
            <w:tcW w:w="131" w:type="dxa"/>
            <w:tcBorders/>
            <w:shd w:fill="auto" w:val="clear"/>
          </w:tcPr>
          <w:p>
            <w:pPr>
              <w:pStyle w:val="TableContents"/>
              <w:spacing w:before="0" w:after="283"/>
              <w:rPr/>
            </w:pPr>
            <w:r>
              <w:rPr/>
              <w:t> </w:t>
            </w:r>
          </w:p>
        </w:tc>
        <w:tc>
          <w:tcPr>
            <w:tcW w:w="9778" w:type="dxa"/>
            <w:tcBorders/>
            <w:shd w:fill="auto" w:val="clear"/>
          </w:tcPr>
          <w:p>
            <w:pPr>
              <w:pStyle w:val="TableContents"/>
              <w:spacing w:before="0" w:after="283"/>
              <w:rPr>
                <w:b/>
              </w:rPr>
            </w:pPr>
            <w:r>
              <w:rPr>
                <w:b/>
              </w:rPr>
              <w:t>Shareholders Equity, Continued</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Receivable from Shareholder, Continued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had classified the note as contra-equity in the accompanying consolidated balance sheets. In June 2007, pursuant to the Companys employment agreement with its chief executive officer, the Company forgave the indebtedness owed to the Company by its chief executive officer in the aggregate amount of approximately $1.7 million. This amount was recorded as compensation expense in the Companys consolidated financial statements in June 2007. As of December 31, 2005, December 31, 2006 and December 31, 2007, the total amount of the consolidated note receivable from the shareholder is approximately $1,706,000, $1,708,000 and $0, respectively.</w:t>
            </w:r>
          </w:p>
        </w:tc>
      </w:tr>
    </w:tbl>
    <w:tbl>
      <w:tblPr>
        <w:tblW w:w="5000" w:type="pct"/>
        <w:jc w:val="left"/>
        <w:tblInd w:w="0" w:type="dxa"/>
        <w:tblCellMar>
          <w:top w:w="0" w:type="dxa"/>
          <w:left w:w="0" w:type="dxa"/>
          <w:bottom w:w="0" w:type="dxa"/>
          <w:right w:w="0" w:type="dxa"/>
        </w:tblCellMar>
      </w:tblPr>
      <w:tblGrid>
        <w:gridCol w:w="303"/>
        <w:gridCol w:w="133"/>
        <w:gridCol w:w="9769"/>
      </w:tblGrid>
      <w:tr>
        <w:trPr/>
        <w:tc>
          <w:tcPr>
            <w:tcW w:w="303" w:type="dxa"/>
            <w:tcBorders/>
            <w:shd w:fill="auto" w:val="clear"/>
          </w:tcPr>
          <w:p>
            <w:pPr>
              <w:pStyle w:val="TableContents"/>
              <w:spacing w:before="0" w:after="283"/>
              <w:jc w:val="left"/>
              <w:rPr>
                <w:b/>
              </w:rPr>
            </w:pPr>
            <w:r>
              <w:rPr>
                <w:b/>
              </w:rPr>
              <w:t>(8)</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b/>
              </w:rPr>
            </w:pPr>
            <w:r>
              <w:rPr>
                <w:b/>
              </w:rPr>
              <w:t>Stock Options and Option Rights</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In 1999, the board of directors and shareholders approved an Incentive Stock Option Plan for non-employee board members (the Board Plan). The maximum number of options reserved is 100,000 at an option price to be determined by the board of directors or a committee of the board to reflect market value at the date of grant. In July 1999, 21,000 options at an option price of $20 were granted under the Board Plan and are fully exercisable at the date of grant for a period of 10 years.</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In 2001, the board of directors and stockholders approved a plan to offer $21 million of Series A-2 participating stock at a price of $9.90 per share. In conjunction with this offering, investors purchased an option for $0.10 per share under an Option Right Agreement. The option is exercisable for ten years and provides the holder with the option to either: (a) purchase one-half share of common stock at a price of $.01 per share for every share of Series A-2 participating stock purchased; or (b) receive a liquidation preference in the amount of $2.70 for every Option Right purchased. As of December 31, 2006, the Series A-2 holders are entitled to purchase 1,516,590 option rights, which would entitle them to purchase 758,295 shares of common stock. All option rights have been purchased but none have ever been exercised.</w:t>
            </w:r>
          </w:p>
        </w:tc>
      </w:tr>
      <w:tr>
        <w:trPr/>
        <w:tc>
          <w:tcPr>
            <w:tcW w:w="303" w:type="dxa"/>
            <w:tcBorders/>
            <w:shd w:fill="auto" w:val="clear"/>
            <w:vAlign w:val="center"/>
          </w:tcPr>
          <w:p>
            <w:pPr>
              <w:pStyle w:val="TableContents"/>
              <w:spacing w:before="0" w:after="283"/>
              <w:rPr/>
            </w:pPr>
            <w:r>
              <w:rPr/>
              <w:t> </w:t>
            </w:r>
          </w:p>
        </w:tc>
        <w:tc>
          <w:tcPr>
            <w:tcW w:w="9902" w:type="dxa"/>
            <w:gridSpan w:val="2"/>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The following table summarizes information about stock option activity under the Board Plan during 2005 and 2006:</w:t>
            </w:r>
          </w:p>
        </w:tc>
      </w:tr>
    </w:tbl>
    <w:tbl>
      <w:tblPr>
        <w:tblW w:w="5000" w:type="pct"/>
        <w:jc w:val="center"/>
        <w:tblInd w:w="0" w:type="dxa"/>
        <w:tblCellMar>
          <w:top w:w="0" w:type="dxa"/>
          <w:left w:w="0" w:type="dxa"/>
          <w:bottom w:w="0" w:type="dxa"/>
          <w:right w:w="0" w:type="dxa"/>
        </w:tblCellMar>
      </w:tblPr>
      <w:tblGrid>
        <w:gridCol w:w="8773"/>
        <w:gridCol w:w="505"/>
        <w:gridCol w:w="115"/>
        <w:gridCol w:w="693"/>
        <w:gridCol w:w="119"/>
      </w:tblGrid>
      <w:tr>
        <w:trPr/>
        <w:tc>
          <w:tcPr>
            <w:tcW w:w="8773"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8773" w:type="dxa"/>
            <w:tcBorders>
              <w:bottom w:val="single" w:sz="2" w:space="0" w:color="000000"/>
            </w:tcBorders>
            <w:shd w:fill="auto" w:val="clear"/>
            <w:tcMar>
              <w:bottom w:w="28" w:type="dxa"/>
            </w:tcMar>
            <w:vAlign w:val="bottom"/>
          </w:tcPr>
          <w:p>
            <w:pPr>
              <w:pStyle w:val="TableContents"/>
              <w:spacing w:before="0" w:after="283"/>
              <w:rPr/>
            </w:pPr>
            <w:r>
              <w:rPr/>
              <w:t> </w:t>
            </w:r>
          </w:p>
        </w:tc>
        <w:tc>
          <w:tcPr>
            <w:tcW w:w="505" w:type="dxa"/>
            <w:tcBorders>
              <w:bottom w:val="single" w:sz="2" w:space="0" w:color="000000"/>
            </w:tcBorders>
            <w:shd w:fill="auto" w:val="clear"/>
            <w:tcMar>
              <w:bottom w:w="28" w:type="dxa"/>
            </w:tcMar>
            <w:vAlign w:val="bottom"/>
          </w:tcPr>
          <w:p>
            <w:pPr>
              <w:pStyle w:val="TableContents"/>
              <w:spacing w:before="0" w:after="283"/>
              <w:rPr/>
            </w:pPr>
            <w:r>
              <w:rPr/>
              <w:t> </w:t>
            </w:r>
          </w:p>
        </w:tc>
        <w:tc>
          <w:tcPr>
            <w:tcW w:w="808" w:type="dxa"/>
            <w:gridSpan w:val="2"/>
            <w:tcBorders>
              <w:bottom w:val="single" w:sz="2" w:space="0" w:color="000000"/>
            </w:tcBorders>
            <w:shd w:fill="auto" w:val="clear"/>
            <w:tcMar>
              <w:bottom w:w="28" w:type="dxa"/>
            </w:tcMar>
            <w:vAlign w:val="bottom"/>
          </w:tcPr>
          <w:p>
            <w:pPr>
              <w:pStyle w:val="TableContents"/>
              <w:spacing w:before="0" w:after="283"/>
              <w:jc w:val="right"/>
              <w:rPr>
                <w:b/>
              </w:rPr>
            </w:pPr>
            <w:r>
              <w:rPr>
                <w:b/>
              </w:rPr>
              <w:t>Shares</w:t>
            </w:r>
          </w:p>
        </w:tc>
        <w:tc>
          <w:tcPr>
            <w:tcW w:w="119"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Balance, December 31, 2005</w:t>
            </w:r>
          </w:p>
        </w:tc>
        <w:tc>
          <w:tcPr>
            <w:tcW w:w="50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21,000</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450" w:right="0" w:hanging="225"/>
              <w:rPr/>
            </w:pPr>
            <w:r>
              <w:rPr/>
              <w:t>Options granted</w:t>
            </w:r>
          </w:p>
        </w:tc>
        <w:tc>
          <w:tcPr>
            <w:tcW w:w="5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450" w:right="0" w:hanging="225"/>
              <w:rPr/>
            </w:pPr>
            <w:r>
              <w:rPr/>
              <w:t>Options exercised</w:t>
            </w:r>
          </w:p>
        </w:tc>
        <w:tc>
          <w:tcPr>
            <w:tcW w:w="50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450" w:right="0" w:hanging="225"/>
              <w:rPr/>
            </w:pPr>
            <w:r>
              <w:rPr/>
              <w:t>Options forfeited</w:t>
            </w:r>
          </w:p>
        </w:tc>
        <w:tc>
          <w:tcPr>
            <w:tcW w:w="5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8773" w:type="dxa"/>
            <w:tcBorders/>
            <w:shd w:fill="auto" w:val="clear"/>
            <w:vAlign w:val="center"/>
          </w:tcPr>
          <w:p>
            <w:pPr>
              <w:pStyle w:val="TableContents"/>
              <w:spacing w:before="0" w:after="0"/>
              <w:ind w:left="225" w:right="0" w:hanging="225"/>
              <w:rPr/>
            </w:pPr>
            <w:r>
              <w:rPr/>
              <w:t> </w:t>
            </w:r>
          </w:p>
        </w:tc>
        <w:tc>
          <w:tcPr>
            <w:tcW w:w="505" w:type="dxa"/>
            <w:tcBorders/>
            <w:shd w:fill="auto" w:val="clear"/>
            <w:vAlign w:val="center"/>
          </w:tcPr>
          <w:p>
            <w:pPr>
              <w:pStyle w:val="TableContents"/>
              <w:spacing w:before="0" w:after="283"/>
              <w:rPr/>
            </w:pPr>
            <w:r>
              <w:rPr/>
              <w:t> </w:t>
            </w:r>
          </w:p>
        </w:tc>
        <w:tc>
          <w:tcPr>
            <w:tcW w:w="8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Balance, December 31, 2006</w:t>
            </w:r>
          </w:p>
        </w:tc>
        <w:tc>
          <w:tcPr>
            <w:tcW w:w="50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21,000</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450" w:right="0" w:hanging="225"/>
              <w:rPr/>
            </w:pPr>
            <w:r>
              <w:rPr/>
              <w:t>Options granted</w:t>
            </w:r>
          </w:p>
        </w:tc>
        <w:tc>
          <w:tcPr>
            <w:tcW w:w="5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450" w:right="0" w:hanging="225"/>
              <w:rPr/>
            </w:pPr>
            <w:r>
              <w:rPr/>
              <w:t>Options exercised</w:t>
            </w:r>
          </w:p>
        </w:tc>
        <w:tc>
          <w:tcPr>
            <w:tcW w:w="50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450" w:right="0" w:hanging="225"/>
              <w:rPr/>
            </w:pPr>
            <w:r>
              <w:rPr/>
              <w:t>Options forfeited</w:t>
            </w:r>
          </w:p>
        </w:tc>
        <w:tc>
          <w:tcPr>
            <w:tcW w:w="5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8773" w:type="dxa"/>
            <w:tcBorders/>
            <w:shd w:fill="auto" w:val="clear"/>
            <w:vAlign w:val="center"/>
          </w:tcPr>
          <w:p>
            <w:pPr>
              <w:pStyle w:val="TableContents"/>
              <w:spacing w:before="0" w:after="0"/>
              <w:ind w:left="225" w:right="0" w:hanging="225"/>
              <w:rPr/>
            </w:pPr>
            <w:r>
              <w:rPr/>
              <w:t> </w:t>
            </w:r>
          </w:p>
        </w:tc>
        <w:tc>
          <w:tcPr>
            <w:tcW w:w="505" w:type="dxa"/>
            <w:tcBorders/>
            <w:shd w:fill="auto" w:val="clear"/>
            <w:vAlign w:val="center"/>
          </w:tcPr>
          <w:p>
            <w:pPr>
              <w:pStyle w:val="TableContents"/>
              <w:spacing w:before="0" w:after="283"/>
              <w:rPr/>
            </w:pPr>
            <w:r>
              <w:rPr/>
              <w:t> </w:t>
            </w:r>
          </w:p>
        </w:tc>
        <w:tc>
          <w:tcPr>
            <w:tcW w:w="8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Balance, December 31, 2007</w:t>
            </w:r>
          </w:p>
        </w:tc>
        <w:tc>
          <w:tcPr>
            <w:tcW w:w="50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21,000</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center"/>
          </w:tcPr>
          <w:p>
            <w:pPr>
              <w:pStyle w:val="TableContents"/>
              <w:spacing w:before="0" w:after="0"/>
              <w:ind w:left="225" w:right="0" w:hanging="225"/>
              <w:rPr/>
            </w:pPr>
            <w:r>
              <w:rPr/>
              <w:t> </w:t>
            </w:r>
          </w:p>
        </w:tc>
        <w:tc>
          <w:tcPr>
            <w:tcW w:w="505" w:type="dxa"/>
            <w:tcBorders/>
            <w:shd w:fill="auto" w:val="clear"/>
            <w:vAlign w:val="center"/>
          </w:tcPr>
          <w:p>
            <w:pPr>
              <w:pStyle w:val="TableContents"/>
              <w:spacing w:before="0" w:after="283"/>
              <w:rPr/>
            </w:pPr>
            <w:r>
              <w:rPr/>
              <w:t> </w:t>
            </w:r>
          </w:p>
        </w:tc>
        <w:tc>
          <w:tcPr>
            <w:tcW w:w="8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302"/>
        <w:gridCol w:w="133"/>
        <w:gridCol w:w="9770"/>
      </w:tblGrid>
      <w:tr>
        <w:trPr/>
        <w:tc>
          <w:tcPr>
            <w:tcW w:w="302" w:type="dxa"/>
            <w:tcBorders/>
            <w:shd w:fill="auto" w:val="clear"/>
          </w:tcPr>
          <w:p>
            <w:pPr>
              <w:pStyle w:val="TableContents"/>
              <w:spacing w:before="0" w:after="283"/>
              <w:jc w:val="left"/>
              <w:rPr>
                <w:b/>
              </w:rPr>
            </w:pPr>
            <w:r>
              <w:rPr>
                <w:b/>
              </w:rPr>
              <w:t>(8)</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b/>
              </w:rPr>
            </w:pPr>
            <w:r>
              <w:rPr>
                <w:b/>
              </w:rPr>
              <w:t>Stock Options and Option Rights, Continued</w:t>
            </w:r>
          </w:p>
        </w:tc>
      </w:tr>
      <w:tr>
        <w:trPr/>
        <w:tc>
          <w:tcPr>
            <w:tcW w:w="302" w:type="dxa"/>
            <w:tcBorders/>
            <w:shd w:fill="auto" w:val="clear"/>
            <w:vAlign w:val="center"/>
          </w:tcPr>
          <w:p>
            <w:pPr>
              <w:pStyle w:val="TableContents"/>
              <w:spacing w:before="0" w:after="283"/>
              <w:rPr/>
            </w:pPr>
            <w:r>
              <w:rPr/>
              <w:t> </w:t>
            </w:r>
          </w:p>
        </w:tc>
        <w:tc>
          <w:tcPr>
            <w:tcW w:w="9903" w:type="dxa"/>
            <w:gridSpan w:val="2"/>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70" w:type="dxa"/>
            <w:tcBorders/>
            <w:shd w:fill="auto" w:val="clear"/>
          </w:tcPr>
          <w:p>
            <w:pPr>
              <w:pStyle w:val="TableContents"/>
              <w:spacing w:before="0" w:after="283"/>
              <w:rPr/>
            </w:pPr>
            <w:r>
              <w:rPr/>
              <w:t>The status of stock options outstanding under the Board Plan as of December 31, 2007 is as follows:</w:t>
            </w:r>
          </w:p>
        </w:tc>
      </w:tr>
    </w:tbl>
    <w:tbl>
      <w:tblPr>
        <w:tblW w:w="5000" w:type="pct"/>
        <w:jc w:val="center"/>
        <w:tblInd w:w="0" w:type="dxa"/>
        <w:tblCellMar>
          <w:top w:w="0" w:type="dxa"/>
          <w:left w:w="0" w:type="dxa"/>
          <w:bottom w:w="0" w:type="dxa"/>
          <w:right w:w="0" w:type="dxa"/>
        </w:tblCellMar>
      </w:tblPr>
      <w:tblGrid>
        <w:gridCol w:w="2048"/>
        <w:gridCol w:w="208"/>
        <w:gridCol w:w="177"/>
        <w:gridCol w:w="1039"/>
        <w:gridCol w:w="182"/>
        <w:gridCol w:w="208"/>
        <w:gridCol w:w="236"/>
        <w:gridCol w:w="1112"/>
        <w:gridCol w:w="240"/>
        <w:gridCol w:w="208"/>
        <w:gridCol w:w="337"/>
        <w:gridCol w:w="1025"/>
        <w:gridCol w:w="197"/>
        <w:gridCol w:w="207"/>
        <w:gridCol w:w="170"/>
        <w:gridCol w:w="965"/>
        <w:gridCol w:w="175"/>
        <w:gridCol w:w="208"/>
        <w:gridCol w:w="370"/>
        <w:gridCol w:w="671"/>
        <w:gridCol w:w="222"/>
      </w:tblGrid>
      <w:tr>
        <w:trPr/>
        <w:tc>
          <w:tcPr>
            <w:tcW w:w="204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r>
      <w:tr>
        <w:trPr/>
        <w:tc>
          <w:tcPr>
            <w:tcW w:w="204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588" w:type="dxa"/>
            <w:gridSpan w:val="3"/>
            <w:tcBorders/>
            <w:shd w:fill="auto" w:val="clear"/>
            <w:vAlign w:val="bottom"/>
          </w:tcPr>
          <w:p>
            <w:pPr>
              <w:pStyle w:val="TableContents"/>
              <w:spacing w:before="0" w:after="283"/>
              <w:jc w:val="center"/>
              <w:rPr>
                <w:b/>
              </w:rPr>
            </w:pPr>
            <w:r>
              <w:rPr>
                <w:b/>
              </w:rPr>
              <w:t>Weighted</w:t>
            </w:r>
          </w:p>
        </w:tc>
        <w:tc>
          <w:tcPr>
            <w:tcW w:w="208" w:type="dxa"/>
            <w:tcBorders/>
            <w:shd w:fill="auto" w:val="clear"/>
            <w:vAlign w:val="bottom"/>
          </w:tcPr>
          <w:p>
            <w:pPr>
              <w:pStyle w:val="TableContents"/>
              <w:spacing w:before="0" w:after="283"/>
              <w:rPr/>
            </w:pPr>
            <w:r>
              <w:rPr/>
              <w:t> </w:t>
            </w:r>
          </w:p>
        </w:tc>
        <w:tc>
          <w:tcPr>
            <w:tcW w:w="1559" w:type="dxa"/>
            <w:gridSpan w:val="3"/>
            <w:tcBorders/>
            <w:shd w:fill="auto" w:val="clear"/>
            <w:vAlign w:val="bottom"/>
          </w:tcPr>
          <w:p>
            <w:pPr>
              <w:pStyle w:val="TableContents"/>
              <w:spacing w:before="0" w:after="283"/>
              <w:jc w:val="center"/>
              <w:rPr>
                <w:b/>
              </w:rPr>
            </w:pPr>
            <w:r>
              <w:rPr>
                <w:b/>
              </w:rPr>
              <w:t>Weighted</w:t>
            </w:r>
          </w:p>
        </w:tc>
        <w:tc>
          <w:tcPr>
            <w:tcW w:w="20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63" w:type="dxa"/>
            <w:gridSpan w:val="3"/>
            <w:tcBorders/>
            <w:shd w:fill="auto" w:val="clear"/>
            <w:vAlign w:val="bottom"/>
          </w:tcPr>
          <w:p>
            <w:pPr>
              <w:pStyle w:val="TableContents"/>
              <w:spacing w:before="0" w:after="283"/>
              <w:jc w:val="center"/>
              <w:rPr>
                <w:b/>
              </w:rPr>
            </w:pPr>
            <w:r>
              <w:rPr>
                <w:b/>
              </w:rPr>
              <w:t>Aggregate</w:t>
            </w:r>
          </w:p>
        </w:tc>
      </w:tr>
      <w:tr>
        <w:trPr/>
        <w:tc>
          <w:tcPr>
            <w:tcW w:w="2048" w:type="dxa"/>
            <w:tcBorders/>
            <w:shd w:fill="auto" w:val="clear"/>
            <w:vAlign w:val="bottom"/>
          </w:tcPr>
          <w:p>
            <w:pPr>
              <w:pStyle w:val="TableContents"/>
              <w:spacing w:before="0" w:after="283"/>
              <w:jc w:val="center"/>
              <w:rPr>
                <w:b/>
              </w:rPr>
            </w:pPr>
            <w:r>
              <w:rPr>
                <w:b/>
              </w:rPr>
              <w:t>Exercise</w:t>
            </w:r>
          </w:p>
        </w:tc>
        <w:tc>
          <w:tcPr>
            <w:tcW w:w="208" w:type="dxa"/>
            <w:tcBorders/>
            <w:shd w:fill="auto" w:val="clear"/>
            <w:vAlign w:val="bottom"/>
          </w:tcPr>
          <w:p>
            <w:pPr>
              <w:pStyle w:val="TableContents"/>
              <w:spacing w:before="0" w:after="283"/>
              <w:rPr/>
            </w:pPr>
            <w:r>
              <w:rPr/>
              <w:t> </w:t>
            </w:r>
          </w:p>
        </w:tc>
        <w:tc>
          <w:tcPr>
            <w:tcW w:w="1398" w:type="dxa"/>
            <w:gridSpan w:val="3"/>
            <w:tcBorders/>
            <w:shd w:fill="auto" w:val="clear"/>
            <w:vAlign w:val="bottom"/>
          </w:tcPr>
          <w:p>
            <w:pPr>
              <w:pStyle w:val="TableContents"/>
              <w:spacing w:before="0" w:after="283"/>
              <w:jc w:val="center"/>
              <w:rPr>
                <w:b/>
              </w:rPr>
            </w:pPr>
            <w:r>
              <w:rPr>
                <w:b/>
              </w:rPr>
              <w:t>Number</w:t>
            </w:r>
          </w:p>
        </w:tc>
        <w:tc>
          <w:tcPr>
            <w:tcW w:w="208" w:type="dxa"/>
            <w:tcBorders/>
            <w:shd w:fill="auto" w:val="clear"/>
            <w:vAlign w:val="bottom"/>
          </w:tcPr>
          <w:p>
            <w:pPr>
              <w:pStyle w:val="TableContents"/>
              <w:spacing w:before="0" w:after="283"/>
              <w:rPr/>
            </w:pPr>
            <w:r>
              <w:rPr/>
              <w:t> </w:t>
            </w:r>
          </w:p>
        </w:tc>
        <w:tc>
          <w:tcPr>
            <w:tcW w:w="1588" w:type="dxa"/>
            <w:gridSpan w:val="3"/>
            <w:tcBorders/>
            <w:shd w:fill="auto" w:val="clear"/>
            <w:vAlign w:val="bottom"/>
          </w:tcPr>
          <w:p>
            <w:pPr>
              <w:pStyle w:val="TableContents"/>
              <w:spacing w:before="0" w:after="283"/>
              <w:jc w:val="center"/>
              <w:rPr>
                <w:b/>
              </w:rPr>
            </w:pPr>
            <w:r>
              <w:rPr>
                <w:b/>
              </w:rPr>
              <w:t>average</w:t>
            </w:r>
          </w:p>
        </w:tc>
        <w:tc>
          <w:tcPr>
            <w:tcW w:w="208" w:type="dxa"/>
            <w:tcBorders/>
            <w:shd w:fill="auto" w:val="clear"/>
            <w:vAlign w:val="bottom"/>
          </w:tcPr>
          <w:p>
            <w:pPr>
              <w:pStyle w:val="TableContents"/>
              <w:spacing w:before="0" w:after="283"/>
              <w:rPr/>
            </w:pPr>
            <w:r>
              <w:rPr/>
              <w:t> </w:t>
            </w:r>
          </w:p>
        </w:tc>
        <w:tc>
          <w:tcPr>
            <w:tcW w:w="1559" w:type="dxa"/>
            <w:gridSpan w:val="3"/>
            <w:tcBorders/>
            <w:shd w:fill="auto" w:val="clear"/>
            <w:vAlign w:val="bottom"/>
          </w:tcPr>
          <w:p>
            <w:pPr>
              <w:pStyle w:val="TableContents"/>
              <w:spacing w:before="0" w:after="283"/>
              <w:jc w:val="center"/>
              <w:rPr>
                <w:b/>
              </w:rPr>
            </w:pPr>
            <w:r>
              <w:rPr>
                <w:b/>
              </w:rPr>
              <w:t>average</w:t>
            </w:r>
          </w:p>
        </w:tc>
        <w:tc>
          <w:tcPr>
            <w:tcW w:w="207" w:type="dxa"/>
            <w:tcBorders/>
            <w:shd w:fill="auto" w:val="clear"/>
            <w:vAlign w:val="bottom"/>
          </w:tcPr>
          <w:p>
            <w:pPr>
              <w:pStyle w:val="TableContents"/>
              <w:spacing w:before="0" w:after="283"/>
              <w:rPr/>
            </w:pPr>
            <w:r>
              <w:rPr/>
              <w:t> </w:t>
            </w:r>
          </w:p>
        </w:tc>
        <w:tc>
          <w:tcPr>
            <w:tcW w:w="1310" w:type="dxa"/>
            <w:gridSpan w:val="3"/>
            <w:tcBorders/>
            <w:shd w:fill="auto" w:val="clear"/>
            <w:vAlign w:val="bottom"/>
          </w:tcPr>
          <w:p>
            <w:pPr>
              <w:pStyle w:val="TableContents"/>
              <w:spacing w:before="0" w:after="283"/>
              <w:jc w:val="center"/>
              <w:rPr>
                <w:b/>
              </w:rPr>
            </w:pPr>
            <w:r>
              <w:rPr>
                <w:b/>
              </w:rPr>
              <w:t>Number</w:t>
            </w:r>
          </w:p>
        </w:tc>
        <w:tc>
          <w:tcPr>
            <w:tcW w:w="208" w:type="dxa"/>
            <w:tcBorders/>
            <w:shd w:fill="auto" w:val="clear"/>
            <w:vAlign w:val="bottom"/>
          </w:tcPr>
          <w:p>
            <w:pPr>
              <w:pStyle w:val="TableContents"/>
              <w:spacing w:before="0" w:after="283"/>
              <w:rPr/>
            </w:pPr>
            <w:r>
              <w:rPr/>
              <w:t> </w:t>
            </w:r>
          </w:p>
        </w:tc>
        <w:tc>
          <w:tcPr>
            <w:tcW w:w="1263" w:type="dxa"/>
            <w:gridSpan w:val="3"/>
            <w:tcBorders/>
            <w:shd w:fill="auto" w:val="clear"/>
            <w:vAlign w:val="bottom"/>
          </w:tcPr>
          <w:p>
            <w:pPr>
              <w:pStyle w:val="TableContents"/>
              <w:spacing w:before="0" w:after="283"/>
              <w:jc w:val="center"/>
              <w:rPr>
                <w:b/>
              </w:rPr>
            </w:pPr>
            <w:r>
              <w:rPr>
                <w:b/>
              </w:rPr>
              <w:t>intrinsic</w:t>
            </w:r>
          </w:p>
        </w:tc>
      </w:tr>
      <w:tr>
        <w:trPr/>
        <w:tc>
          <w:tcPr>
            <w:tcW w:w="2048" w:type="dxa"/>
            <w:tcBorders/>
            <w:shd w:fill="auto" w:val="clear"/>
            <w:vAlign w:val="bottom"/>
          </w:tcPr>
          <w:p>
            <w:pPr>
              <w:pStyle w:val="TableContents"/>
              <w:spacing w:before="0" w:after="283"/>
              <w:jc w:val="center"/>
              <w:rPr>
                <w:b/>
              </w:rPr>
            </w:pPr>
            <w:r>
              <w:rPr>
                <w:b/>
              </w:rPr>
              <w:t>Price</w:t>
            </w:r>
          </w:p>
        </w:tc>
        <w:tc>
          <w:tcPr>
            <w:tcW w:w="208" w:type="dxa"/>
            <w:tcBorders/>
            <w:shd w:fill="auto" w:val="clear"/>
            <w:vAlign w:val="bottom"/>
          </w:tcPr>
          <w:p>
            <w:pPr>
              <w:pStyle w:val="TableContents"/>
              <w:spacing w:before="0" w:after="283"/>
              <w:rPr/>
            </w:pPr>
            <w:r>
              <w:rPr/>
              <w:t> </w:t>
            </w:r>
          </w:p>
        </w:tc>
        <w:tc>
          <w:tcPr>
            <w:tcW w:w="1398" w:type="dxa"/>
            <w:gridSpan w:val="3"/>
            <w:tcBorders/>
            <w:shd w:fill="auto" w:val="clear"/>
            <w:vAlign w:val="bottom"/>
          </w:tcPr>
          <w:p>
            <w:pPr>
              <w:pStyle w:val="TableContents"/>
              <w:spacing w:before="0" w:after="283"/>
              <w:jc w:val="center"/>
              <w:rPr>
                <w:b/>
              </w:rPr>
            </w:pPr>
            <w:r>
              <w:rPr>
                <w:b/>
              </w:rPr>
              <w:t>outstanding</w:t>
            </w:r>
          </w:p>
        </w:tc>
        <w:tc>
          <w:tcPr>
            <w:tcW w:w="208" w:type="dxa"/>
            <w:tcBorders/>
            <w:shd w:fill="auto" w:val="clear"/>
            <w:vAlign w:val="bottom"/>
          </w:tcPr>
          <w:p>
            <w:pPr>
              <w:pStyle w:val="TableContents"/>
              <w:spacing w:before="0" w:after="283"/>
              <w:rPr/>
            </w:pPr>
            <w:r>
              <w:rPr/>
              <w:t> </w:t>
            </w:r>
          </w:p>
        </w:tc>
        <w:tc>
          <w:tcPr>
            <w:tcW w:w="1588" w:type="dxa"/>
            <w:gridSpan w:val="3"/>
            <w:tcBorders/>
            <w:shd w:fill="auto" w:val="clear"/>
            <w:vAlign w:val="bottom"/>
          </w:tcPr>
          <w:p>
            <w:pPr>
              <w:pStyle w:val="TableContents"/>
              <w:spacing w:before="0" w:after="283"/>
              <w:jc w:val="center"/>
              <w:rPr>
                <w:b/>
              </w:rPr>
            </w:pPr>
            <w:r>
              <w:rPr>
                <w:b/>
              </w:rPr>
              <w:t>remaining life</w:t>
            </w:r>
          </w:p>
        </w:tc>
        <w:tc>
          <w:tcPr>
            <w:tcW w:w="208" w:type="dxa"/>
            <w:tcBorders/>
            <w:shd w:fill="auto" w:val="clear"/>
            <w:vAlign w:val="bottom"/>
          </w:tcPr>
          <w:p>
            <w:pPr>
              <w:pStyle w:val="TableContents"/>
              <w:spacing w:before="0" w:after="283"/>
              <w:rPr/>
            </w:pPr>
            <w:r>
              <w:rPr/>
              <w:t> </w:t>
            </w:r>
          </w:p>
        </w:tc>
        <w:tc>
          <w:tcPr>
            <w:tcW w:w="1559" w:type="dxa"/>
            <w:gridSpan w:val="3"/>
            <w:tcBorders/>
            <w:shd w:fill="auto" w:val="clear"/>
            <w:vAlign w:val="bottom"/>
          </w:tcPr>
          <w:p>
            <w:pPr>
              <w:pStyle w:val="TableContents"/>
              <w:spacing w:before="0" w:after="283"/>
              <w:jc w:val="center"/>
              <w:rPr>
                <w:b/>
              </w:rPr>
            </w:pPr>
            <w:r>
              <w:rPr>
                <w:b/>
              </w:rPr>
              <w:t>exercise price</w:t>
            </w:r>
          </w:p>
        </w:tc>
        <w:tc>
          <w:tcPr>
            <w:tcW w:w="207" w:type="dxa"/>
            <w:tcBorders/>
            <w:shd w:fill="auto" w:val="clear"/>
            <w:vAlign w:val="bottom"/>
          </w:tcPr>
          <w:p>
            <w:pPr>
              <w:pStyle w:val="TableContents"/>
              <w:spacing w:before="0" w:after="283"/>
              <w:rPr/>
            </w:pPr>
            <w:r>
              <w:rPr/>
              <w:t> </w:t>
            </w:r>
          </w:p>
        </w:tc>
        <w:tc>
          <w:tcPr>
            <w:tcW w:w="1310" w:type="dxa"/>
            <w:gridSpan w:val="3"/>
            <w:tcBorders/>
            <w:shd w:fill="auto" w:val="clear"/>
            <w:vAlign w:val="bottom"/>
          </w:tcPr>
          <w:p>
            <w:pPr>
              <w:pStyle w:val="TableContents"/>
              <w:spacing w:before="0" w:after="283"/>
              <w:jc w:val="center"/>
              <w:rPr>
                <w:b/>
              </w:rPr>
            </w:pPr>
            <w:r>
              <w:rPr>
                <w:b/>
              </w:rPr>
              <w:t>exercisable</w:t>
            </w:r>
          </w:p>
        </w:tc>
        <w:tc>
          <w:tcPr>
            <w:tcW w:w="208" w:type="dxa"/>
            <w:tcBorders/>
            <w:shd w:fill="auto" w:val="clear"/>
            <w:vAlign w:val="bottom"/>
          </w:tcPr>
          <w:p>
            <w:pPr>
              <w:pStyle w:val="TableContents"/>
              <w:spacing w:before="0" w:after="283"/>
              <w:rPr/>
            </w:pPr>
            <w:r>
              <w:rPr/>
              <w:t> </w:t>
            </w:r>
          </w:p>
        </w:tc>
        <w:tc>
          <w:tcPr>
            <w:tcW w:w="1263" w:type="dxa"/>
            <w:gridSpan w:val="3"/>
            <w:tcBorders/>
            <w:shd w:fill="auto" w:val="clear"/>
            <w:vAlign w:val="bottom"/>
          </w:tcPr>
          <w:p>
            <w:pPr>
              <w:pStyle w:val="TableContents"/>
              <w:spacing w:before="0" w:after="283"/>
              <w:jc w:val="center"/>
              <w:rPr>
                <w:b/>
              </w:rPr>
            </w:pPr>
            <w:r>
              <w:rPr>
                <w:b/>
              </w:rPr>
              <w:t>value</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48" w:type="dxa"/>
            <w:tcBorders/>
            <w:shd w:fill="auto" w:val="clear"/>
            <w:vAlign w:val="bottom"/>
          </w:tcPr>
          <w:p>
            <w:pPr>
              <w:pStyle w:val="TableContents"/>
              <w:spacing w:before="0" w:after="0"/>
              <w:ind w:left="225" w:right="0" w:hanging="225"/>
              <w:rPr/>
            </w:pPr>
            <w:r>
              <w:rPr/>
              <w:t>$20.00</w:t>
            </w:r>
          </w:p>
        </w:tc>
        <w:tc>
          <w:tcPr>
            <w:tcW w:w="20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21,000</w:t>
            </w:r>
          </w:p>
        </w:tc>
        <w:tc>
          <w:tcPr>
            <w:tcW w:w="18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2.50</w:t>
            </w:r>
          </w:p>
        </w:tc>
        <w:tc>
          <w:tcPr>
            <w:tcW w:w="24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pPr>
            <w:r>
              <w:rPr/>
              <w:t>$</w:t>
            </w:r>
          </w:p>
        </w:tc>
        <w:tc>
          <w:tcPr>
            <w:tcW w:w="1025" w:type="dxa"/>
            <w:tcBorders/>
            <w:shd w:fill="auto" w:val="clear"/>
            <w:vAlign w:val="bottom"/>
          </w:tcPr>
          <w:p>
            <w:pPr>
              <w:pStyle w:val="TableContents"/>
              <w:spacing w:before="0" w:after="283"/>
              <w:jc w:val="right"/>
              <w:rPr/>
            </w:pPr>
            <w:r>
              <w:rPr/>
              <w:t>20.00</w:t>
            </w:r>
          </w:p>
        </w:tc>
        <w:tc>
          <w:tcPr>
            <w:tcW w:w="19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jc w:val="right"/>
              <w:rPr/>
            </w:pPr>
            <w:r>
              <w:rPr/>
              <w:t>21,000</w:t>
            </w:r>
          </w:p>
        </w:tc>
        <w:tc>
          <w:tcPr>
            <w:tcW w:w="1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671" w:type="dxa"/>
            <w:tcBorders/>
            <w:shd w:fill="auto" w:val="clear"/>
            <w:vAlign w:val="bottom"/>
          </w:tcPr>
          <w:p>
            <w:pPr>
              <w:pStyle w:val="TableContents"/>
              <w:spacing w:before="0" w:after="283"/>
              <w:jc w:val="right"/>
              <w:rPr/>
            </w:pPr>
            <w:r>
              <w:rPr/>
              <w:t>  </w:t>
            </w:r>
            <w:r>
              <w:rPr/>
              <w:t></w:t>
            </w:r>
          </w:p>
        </w:tc>
        <w:tc>
          <w:tcPr>
            <w:tcW w:w="222" w:type="dxa"/>
            <w:tcBorders/>
            <w:shd w:fill="auto" w:val="clear"/>
            <w:vAlign w:val="bottom"/>
          </w:tcPr>
          <w:p>
            <w:pPr>
              <w:pStyle w:val="TableContents"/>
              <w:spacing w:before="0" w:after="283"/>
              <w:rPr/>
            </w:pPr>
            <w:r>
              <w:rPr/>
              <w:t> </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1"/>
        <w:gridCol w:w="135"/>
        <w:gridCol w:w="9649"/>
      </w:tblGrid>
      <w:tr>
        <w:trPr/>
        <w:tc>
          <w:tcPr>
            <w:tcW w:w="421" w:type="dxa"/>
            <w:tcBorders/>
            <w:shd w:fill="auto" w:val="clear"/>
          </w:tcPr>
          <w:p>
            <w:pPr>
              <w:pStyle w:val="TableContents"/>
              <w:spacing w:before="0" w:after="283"/>
              <w:jc w:val="left"/>
              <w:rPr>
                <w:b/>
              </w:rPr>
            </w:pPr>
            <w:r>
              <w:rPr>
                <w:b/>
              </w:rPr>
              <w:t>(9)</w:t>
            </w:r>
          </w:p>
        </w:tc>
        <w:tc>
          <w:tcPr>
            <w:tcW w:w="135" w:type="dxa"/>
            <w:tcBorders/>
            <w:shd w:fill="auto" w:val="clear"/>
          </w:tcPr>
          <w:p>
            <w:pPr>
              <w:pStyle w:val="TableContents"/>
              <w:spacing w:before="0" w:after="283"/>
              <w:rPr/>
            </w:pPr>
            <w:r>
              <w:rPr/>
              <w:t> </w:t>
            </w:r>
          </w:p>
        </w:tc>
        <w:tc>
          <w:tcPr>
            <w:tcW w:w="9649" w:type="dxa"/>
            <w:tcBorders/>
            <w:shd w:fill="auto" w:val="clear"/>
          </w:tcPr>
          <w:p>
            <w:pPr>
              <w:pStyle w:val="TableContents"/>
              <w:spacing w:before="0" w:after="283"/>
              <w:rPr>
                <w:b/>
              </w:rPr>
            </w:pPr>
            <w:r>
              <w:rPr>
                <w:b/>
              </w:rPr>
              <w:t>Employee Benefit Plan</w:t>
            </w:r>
          </w:p>
        </w:tc>
      </w:tr>
      <w:tr>
        <w:trPr/>
        <w:tc>
          <w:tcPr>
            <w:tcW w:w="421" w:type="dxa"/>
            <w:tcBorders/>
            <w:shd w:fill="auto" w:val="clear"/>
            <w:vAlign w:val="center"/>
          </w:tcPr>
          <w:p>
            <w:pPr>
              <w:pStyle w:val="TableContents"/>
              <w:spacing w:before="0" w:after="283"/>
              <w:rPr/>
            </w:pPr>
            <w:r>
              <w:rPr/>
              <w:t> </w:t>
            </w:r>
          </w:p>
        </w:tc>
        <w:tc>
          <w:tcPr>
            <w:tcW w:w="9784" w:type="dxa"/>
            <w:gridSpan w:val="2"/>
            <w:tcBorders/>
            <w:shd w:fill="auto" w:val="clear"/>
          </w:tcPr>
          <w:p>
            <w:pPr>
              <w:pStyle w:val="TableContents"/>
              <w:spacing w:before="0" w:after="283"/>
              <w:rPr>
                <w:sz w:val="4"/>
                <w:szCs w:val="4"/>
              </w:rPr>
            </w:pPr>
            <w:r>
              <w:rPr>
                <w:sz w:val="4"/>
                <w:szCs w:val="4"/>
              </w:rPr>
            </w:r>
          </w:p>
        </w:tc>
      </w:tr>
      <w:tr>
        <w:trPr/>
        <w:tc>
          <w:tcPr>
            <w:tcW w:w="421" w:type="dxa"/>
            <w:tcBorders/>
            <w:shd w:fill="auto" w:val="clear"/>
          </w:tcPr>
          <w:p>
            <w:pPr>
              <w:pStyle w:val="TableContents"/>
              <w:spacing w:before="0" w:after="283"/>
              <w:jc w:val="left"/>
              <w:rPr/>
            </w:pPr>
            <w:r>
              <w:rPr/>
              <w:t> </w:t>
            </w:r>
          </w:p>
        </w:tc>
        <w:tc>
          <w:tcPr>
            <w:tcW w:w="135" w:type="dxa"/>
            <w:tcBorders/>
            <w:shd w:fill="auto" w:val="clear"/>
          </w:tcPr>
          <w:p>
            <w:pPr>
              <w:pStyle w:val="TableContents"/>
              <w:spacing w:before="0" w:after="283"/>
              <w:rPr/>
            </w:pPr>
            <w:r>
              <w:rPr/>
              <w:t> </w:t>
            </w:r>
          </w:p>
        </w:tc>
        <w:tc>
          <w:tcPr>
            <w:tcW w:w="9649" w:type="dxa"/>
            <w:tcBorders/>
            <w:shd w:fill="auto" w:val="clear"/>
          </w:tcPr>
          <w:p>
            <w:pPr>
              <w:pStyle w:val="TableContents"/>
              <w:spacing w:before="0" w:after="283"/>
              <w:rPr/>
            </w:pPr>
            <w:r>
              <w:rPr/>
              <w:t>The Company has a defined contribution plan (the Plan) qualifying under Section 401(k) of the Internal Revenue Code. Substantially all team members who have met certain service requirements are eligible for participation in the Plan. Participants may defer and contribute to the Plan up to 25% of their compensation not to exceed the IRS limit. The participants contributions vest immediately, while the Company contributions vest over five years. The Company increased its discretionary contribution match during 2006 to 100% of the participants contributions, not to exceed $5,000 in any Plan year. The Companys contribution to the Plan totaled approximately $94,100, $169,900 and $279,300 for the years ended December 31, 2005, 2006 and 2007, respectively.</w:t>
            </w:r>
          </w:p>
        </w:tc>
      </w:tr>
      <w:tr>
        <w:trPr/>
        <w:tc>
          <w:tcPr>
            <w:tcW w:w="421" w:type="dxa"/>
            <w:tcBorders/>
            <w:shd w:fill="auto" w:val="clear"/>
            <w:vAlign w:val="center"/>
          </w:tcPr>
          <w:p>
            <w:pPr>
              <w:pStyle w:val="TableContents"/>
              <w:spacing w:before="0" w:after="283"/>
              <w:rPr/>
            </w:pPr>
            <w:r>
              <w:rPr/>
              <w:t> </w:t>
            </w:r>
          </w:p>
        </w:tc>
        <w:tc>
          <w:tcPr>
            <w:tcW w:w="9784" w:type="dxa"/>
            <w:gridSpan w:val="2"/>
            <w:tcBorders/>
            <w:shd w:fill="auto" w:val="clear"/>
          </w:tcPr>
          <w:p>
            <w:pPr>
              <w:pStyle w:val="TableContents"/>
              <w:spacing w:before="0" w:after="283"/>
              <w:rPr>
                <w:sz w:val="4"/>
                <w:szCs w:val="4"/>
              </w:rPr>
            </w:pPr>
            <w:r>
              <w:rPr>
                <w:sz w:val="4"/>
                <w:szCs w:val="4"/>
              </w:rPr>
            </w:r>
          </w:p>
        </w:tc>
      </w:tr>
      <w:tr>
        <w:trPr/>
        <w:tc>
          <w:tcPr>
            <w:tcW w:w="421" w:type="dxa"/>
            <w:tcBorders/>
            <w:shd w:fill="auto" w:val="clear"/>
          </w:tcPr>
          <w:p>
            <w:pPr>
              <w:pStyle w:val="TableContents"/>
              <w:spacing w:before="0" w:after="283"/>
              <w:jc w:val="left"/>
              <w:rPr>
                <w:b/>
              </w:rPr>
            </w:pPr>
            <w:r>
              <w:rPr>
                <w:b/>
              </w:rPr>
              <w:t>(10)</w:t>
            </w:r>
          </w:p>
        </w:tc>
        <w:tc>
          <w:tcPr>
            <w:tcW w:w="135" w:type="dxa"/>
            <w:tcBorders/>
            <w:shd w:fill="auto" w:val="clear"/>
          </w:tcPr>
          <w:p>
            <w:pPr>
              <w:pStyle w:val="TableContents"/>
              <w:spacing w:before="0" w:after="283"/>
              <w:rPr/>
            </w:pPr>
            <w:r>
              <w:rPr/>
              <w:t> </w:t>
            </w:r>
          </w:p>
        </w:tc>
        <w:tc>
          <w:tcPr>
            <w:tcW w:w="9649" w:type="dxa"/>
            <w:tcBorders/>
            <w:shd w:fill="auto" w:val="clear"/>
          </w:tcPr>
          <w:p>
            <w:pPr>
              <w:pStyle w:val="TableContents"/>
              <w:spacing w:before="0" w:after="283"/>
              <w:rPr>
                <w:b/>
              </w:rPr>
            </w:pPr>
            <w:r>
              <w:rPr>
                <w:b/>
              </w:rPr>
              <w:t>Commitments and Contingencies</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Operating Leases</w:t>
            </w:r>
          </w:p>
        </w:tc>
      </w:tr>
    </w:tbl>
    <w:tbl>
      <w:tblPr>
        <w:tblW w:w="5000" w:type="pct"/>
        <w:jc w:val="left"/>
        <w:tblInd w:w="0" w:type="dxa"/>
        <w:tblCellMar>
          <w:top w:w="0" w:type="dxa"/>
          <w:left w:w="0" w:type="dxa"/>
          <w:bottom w:w="0" w:type="dxa"/>
          <w:right w:w="0" w:type="dxa"/>
        </w:tblCellMar>
      </w:tblPr>
      <w:tblGrid>
        <w:gridCol w:w="612"/>
        <w:gridCol w:w="305"/>
        <w:gridCol w:w="102"/>
        <w:gridCol w:w="9186"/>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xml:space="preserve">The Company leases its store level and administrative facilities under operating leases. Future minimum rentals due under non-cancelable leases including closed stores are as follows for each of the years ending December 31: </w:t>
            </w:r>
          </w:p>
        </w:tc>
      </w:tr>
    </w:tbl>
    <w:p>
      <w:pPr>
        <w:pStyle w:val="TextBody"/>
        <w:spacing w:before="120" w:after="283"/>
        <w:jc w:val="left"/>
        <w:rPr/>
      </w:pPr>
      <w:r>
        <w:rPr/>
        <w:t xml:space="preserve">      </w:t>
      </w:r>
    </w:p>
    <w:tbl>
      <w:tblPr>
        <w:tblW w:w="5000" w:type="pct"/>
        <w:jc w:val="center"/>
        <w:tblInd w:w="0" w:type="dxa"/>
        <w:tblCellMar>
          <w:top w:w="0" w:type="dxa"/>
          <w:left w:w="0" w:type="dxa"/>
          <w:bottom w:w="0" w:type="dxa"/>
          <w:right w:w="0" w:type="dxa"/>
        </w:tblCellMar>
      </w:tblPr>
      <w:tblGrid>
        <w:gridCol w:w="8289"/>
        <w:gridCol w:w="481"/>
        <w:gridCol w:w="175"/>
        <w:gridCol w:w="1131"/>
        <w:gridCol w:w="129"/>
      </w:tblGrid>
      <w:tr>
        <w:trPr/>
        <w:tc>
          <w:tcPr>
            <w:tcW w:w="828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289" w:type="dxa"/>
            <w:tcBorders/>
            <w:shd w:fill="CCEEFF" w:val="clear"/>
            <w:vAlign w:val="bottom"/>
          </w:tcPr>
          <w:p>
            <w:pPr>
              <w:pStyle w:val="TableContents"/>
              <w:spacing w:before="0" w:after="0"/>
              <w:ind w:left="225" w:right="0" w:hanging="225"/>
              <w:rPr/>
            </w:pPr>
            <w:r>
              <w:rPr/>
              <w:t>2008</w:t>
            </w:r>
          </w:p>
        </w:tc>
        <w:tc>
          <w:tcPr>
            <w:tcW w:w="48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4,941,000</w:t>
            </w:r>
          </w:p>
        </w:tc>
        <w:tc>
          <w:tcPr>
            <w:tcW w:w="129" w:type="dxa"/>
            <w:tcBorders/>
            <w:shd w:fill="CCEEFF" w:val="clear"/>
            <w:vAlign w:val="bottom"/>
          </w:tcPr>
          <w:p>
            <w:pPr>
              <w:pStyle w:val="TableContents"/>
              <w:spacing w:before="0" w:after="283"/>
              <w:rPr/>
            </w:pPr>
            <w:r>
              <w:rPr/>
              <w:t> </w:t>
            </w:r>
          </w:p>
        </w:tc>
      </w:tr>
      <w:tr>
        <w:trPr/>
        <w:tc>
          <w:tcPr>
            <w:tcW w:w="8289" w:type="dxa"/>
            <w:tcBorders/>
            <w:shd w:fill="auto" w:val="clear"/>
            <w:vAlign w:val="bottom"/>
          </w:tcPr>
          <w:p>
            <w:pPr>
              <w:pStyle w:val="TableContents"/>
              <w:spacing w:before="0" w:after="0"/>
              <w:ind w:left="225" w:right="0" w:hanging="225"/>
              <w:rPr/>
            </w:pPr>
            <w:r>
              <w:rPr/>
              <w:t>2009</w:t>
            </w:r>
          </w:p>
        </w:tc>
        <w:tc>
          <w:tcPr>
            <w:tcW w:w="48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4,174,000</w:t>
            </w:r>
          </w:p>
        </w:tc>
        <w:tc>
          <w:tcPr>
            <w:tcW w:w="129" w:type="dxa"/>
            <w:tcBorders/>
            <w:shd w:fill="auto" w:val="clear"/>
            <w:vAlign w:val="bottom"/>
          </w:tcPr>
          <w:p>
            <w:pPr>
              <w:pStyle w:val="TableContents"/>
              <w:spacing w:before="0" w:after="283"/>
              <w:rPr/>
            </w:pPr>
            <w:r>
              <w:rPr/>
              <w:t> </w:t>
            </w:r>
          </w:p>
        </w:tc>
      </w:tr>
      <w:tr>
        <w:trPr/>
        <w:tc>
          <w:tcPr>
            <w:tcW w:w="8289" w:type="dxa"/>
            <w:tcBorders/>
            <w:shd w:fill="CCEEFF" w:val="clear"/>
            <w:vAlign w:val="bottom"/>
          </w:tcPr>
          <w:p>
            <w:pPr>
              <w:pStyle w:val="TableContents"/>
              <w:spacing w:before="0" w:after="0"/>
              <w:ind w:left="225" w:right="0" w:hanging="225"/>
              <w:rPr/>
            </w:pPr>
            <w:r>
              <w:rPr/>
              <w:t>2010</w:t>
            </w:r>
          </w:p>
        </w:tc>
        <w:tc>
          <w:tcPr>
            <w:tcW w:w="48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3,682,000</w:t>
            </w:r>
          </w:p>
        </w:tc>
        <w:tc>
          <w:tcPr>
            <w:tcW w:w="129" w:type="dxa"/>
            <w:tcBorders/>
            <w:shd w:fill="CCEEFF" w:val="clear"/>
            <w:vAlign w:val="bottom"/>
          </w:tcPr>
          <w:p>
            <w:pPr>
              <w:pStyle w:val="TableContents"/>
              <w:spacing w:before="0" w:after="283"/>
              <w:rPr/>
            </w:pPr>
            <w:r>
              <w:rPr/>
              <w:t> </w:t>
            </w:r>
          </w:p>
        </w:tc>
      </w:tr>
      <w:tr>
        <w:trPr/>
        <w:tc>
          <w:tcPr>
            <w:tcW w:w="8289" w:type="dxa"/>
            <w:tcBorders/>
            <w:shd w:fill="auto" w:val="clear"/>
            <w:vAlign w:val="bottom"/>
          </w:tcPr>
          <w:p>
            <w:pPr>
              <w:pStyle w:val="TableContents"/>
              <w:spacing w:before="0" w:after="0"/>
              <w:ind w:left="225" w:right="0" w:hanging="225"/>
              <w:rPr/>
            </w:pPr>
            <w:r>
              <w:rPr/>
              <w:t>2011</w:t>
            </w:r>
          </w:p>
        </w:tc>
        <w:tc>
          <w:tcPr>
            <w:tcW w:w="48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2,720,000</w:t>
            </w:r>
          </w:p>
        </w:tc>
        <w:tc>
          <w:tcPr>
            <w:tcW w:w="129" w:type="dxa"/>
            <w:tcBorders/>
            <w:shd w:fill="auto" w:val="clear"/>
            <w:vAlign w:val="bottom"/>
          </w:tcPr>
          <w:p>
            <w:pPr>
              <w:pStyle w:val="TableContents"/>
              <w:spacing w:before="0" w:after="283"/>
              <w:rPr/>
            </w:pPr>
            <w:r>
              <w:rPr/>
              <w:t> </w:t>
            </w:r>
          </w:p>
        </w:tc>
      </w:tr>
      <w:tr>
        <w:trPr/>
        <w:tc>
          <w:tcPr>
            <w:tcW w:w="8289" w:type="dxa"/>
            <w:tcBorders/>
            <w:shd w:fill="CCEEFF" w:val="clear"/>
            <w:vAlign w:val="bottom"/>
          </w:tcPr>
          <w:p>
            <w:pPr>
              <w:pStyle w:val="TableContents"/>
              <w:spacing w:before="0" w:after="0"/>
              <w:ind w:left="225" w:right="0" w:hanging="225"/>
              <w:rPr/>
            </w:pPr>
            <w:r>
              <w:rPr/>
              <w:t>2012</w:t>
            </w:r>
          </w:p>
        </w:tc>
        <w:tc>
          <w:tcPr>
            <w:tcW w:w="48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2,415,000</w:t>
            </w:r>
          </w:p>
        </w:tc>
        <w:tc>
          <w:tcPr>
            <w:tcW w:w="129" w:type="dxa"/>
            <w:tcBorders/>
            <w:shd w:fill="CCEEFF" w:val="clear"/>
            <w:vAlign w:val="bottom"/>
          </w:tcPr>
          <w:p>
            <w:pPr>
              <w:pStyle w:val="TableContents"/>
              <w:spacing w:before="0" w:after="283"/>
              <w:rPr/>
            </w:pPr>
            <w:r>
              <w:rPr/>
              <w:t> </w:t>
            </w:r>
          </w:p>
        </w:tc>
      </w:tr>
      <w:tr>
        <w:trPr/>
        <w:tc>
          <w:tcPr>
            <w:tcW w:w="8289" w:type="dxa"/>
            <w:tcBorders/>
            <w:shd w:fill="auto" w:val="clear"/>
            <w:vAlign w:val="bottom"/>
          </w:tcPr>
          <w:p>
            <w:pPr>
              <w:pStyle w:val="TableContents"/>
              <w:spacing w:before="0" w:after="0"/>
              <w:ind w:left="225" w:right="0" w:hanging="225"/>
              <w:rPr/>
            </w:pPr>
            <w:r>
              <w:rPr/>
              <w:t>Thereafter</w:t>
            </w:r>
          </w:p>
        </w:tc>
        <w:tc>
          <w:tcPr>
            <w:tcW w:w="48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3,930,000</w:t>
            </w:r>
          </w:p>
        </w:tc>
        <w:tc>
          <w:tcPr>
            <w:tcW w:w="129" w:type="dxa"/>
            <w:tcBorders/>
            <w:shd w:fill="auto" w:val="clear"/>
            <w:vAlign w:val="bottom"/>
          </w:tcPr>
          <w:p>
            <w:pPr>
              <w:pStyle w:val="TableContents"/>
              <w:spacing w:before="0" w:after="283"/>
              <w:rPr/>
            </w:pPr>
            <w:r>
              <w:rPr/>
              <w:t> </w:t>
            </w:r>
          </w:p>
        </w:tc>
      </w:tr>
      <w:tr>
        <w:trPr/>
        <w:tc>
          <w:tcPr>
            <w:tcW w:w="8289"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3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8289" w:type="dxa"/>
            <w:tcBorders/>
            <w:shd w:fill="CCEEFF" w:val="clear"/>
            <w:vAlign w:val="bottom"/>
          </w:tcPr>
          <w:p>
            <w:pPr>
              <w:pStyle w:val="TableContents"/>
              <w:spacing w:before="0" w:after="0"/>
              <w:ind w:left="225" w:right="0" w:hanging="225"/>
              <w:rPr/>
            </w:pPr>
            <w:r>
              <w:rPr/>
              <w:t> </w:t>
            </w:r>
          </w:p>
        </w:tc>
        <w:tc>
          <w:tcPr>
            <w:tcW w:w="48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21,862,000</w:t>
            </w:r>
          </w:p>
        </w:tc>
        <w:tc>
          <w:tcPr>
            <w:tcW w:w="129" w:type="dxa"/>
            <w:tcBorders/>
            <w:shd w:fill="CCEEFF" w:val="clear"/>
            <w:vAlign w:val="bottom"/>
          </w:tcPr>
          <w:p>
            <w:pPr>
              <w:pStyle w:val="TableContents"/>
              <w:spacing w:before="0" w:after="283"/>
              <w:rPr/>
            </w:pPr>
            <w:r>
              <w:rPr/>
              <w:t> </w:t>
            </w:r>
          </w:p>
        </w:tc>
      </w:tr>
      <w:tr>
        <w:trPr/>
        <w:tc>
          <w:tcPr>
            <w:tcW w:w="8289"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3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12"/>
        <w:gridCol w:w="306"/>
        <w:gridCol w:w="102"/>
        <w:gridCol w:w="9185"/>
      </w:tblGrid>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xml:space="preserve">Rent expense totaled approximately $4,497,000, $4,686,000 and $5,069,000 for the years ended December 31, 2005, 2006 and 2007, respectively. Most of the Companys leases have renewal options for one or two three- to five-year periods.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423"/>
        <w:gridCol w:w="135"/>
        <w:gridCol w:w="9647"/>
      </w:tblGrid>
      <w:tr>
        <w:trPr/>
        <w:tc>
          <w:tcPr>
            <w:tcW w:w="423" w:type="dxa"/>
            <w:tcBorders/>
            <w:shd w:fill="auto" w:val="clear"/>
          </w:tcPr>
          <w:p>
            <w:pPr>
              <w:pStyle w:val="TableContents"/>
              <w:spacing w:before="0" w:after="283"/>
              <w:jc w:val="left"/>
              <w:rPr>
                <w:b/>
              </w:rPr>
            </w:pPr>
            <w:r>
              <w:rPr>
                <w:b/>
              </w:rPr>
              <w:t>(10)</w:t>
            </w:r>
          </w:p>
        </w:tc>
        <w:tc>
          <w:tcPr>
            <w:tcW w:w="135" w:type="dxa"/>
            <w:tcBorders/>
            <w:shd w:fill="auto" w:val="clear"/>
          </w:tcPr>
          <w:p>
            <w:pPr>
              <w:pStyle w:val="TableContents"/>
              <w:spacing w:before="0" w:after="283"/>
              <w:rPr/>
            </w:pPr>
            <w:r>
              <w:rPr/>
              <w:t> </w:t>
            </w:r>
          </w:p>
        </w:tc>
        <w:tc>
          <w:tcPr>
            <w:tcW w:w="9647" w:type="dxa"/>
            <w:tcBorders/>
            <w:shd w:fill="auto" w:val="clear"/>
          </w:tcPr>
          <w:p>
            <w:pPr>
              <w:pStyle w:val="TableContents"/>
              <w:spacing w:before="0" w:after="283"/>
              <w:rPr>
                <w:b/>
              </w:rPr>
            </w:pPr>
            <w:r>
              <w:rPr>
                <w:b/>
              </w:rPr>
              <w:t>Commitments and Contingencies, Continued</w:t>
            </w:r>
          </w:p>
        </w:tc>
      </w:tr>
    </w:tbl>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(a)</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Operating Leases, Continued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subleases some of the above facilities. Future minimum rentals expected under these subleases are as follows for the years ending December 31:</w:t>
            </w:r>
          </w:p>
        </w:tc>
      </w:tr>
    </w:tbl>
    <w:tbl>
      <w:tblPr>
        <w:tblW w:w="5000" w:type="pct"/>
        <w:jc w:val="center"/>
        <w:tblInd w:w="0" w:type="dxa"/>
        <w:tblCellMar>
          <w:top w:w="0" w:type="dxa"/>
          <w:left w:w="0" w:type="dxa"/>
          <w:bottom w:w="0" w:type="dxa"/>
          <w:right w:w="0" w:type="dxa"/>
        </w:tblCellMar>
      </w:tblPr>
      <w:tblGrid>
        <w:gridCol w:w="8600"/>
        <w:gridCol w:w="507"/>
        <w:gridCol w:w="155"/>
        <w:gridCol w:w="819"/>
        <w:gridCol w:w="124"/>
      </w:tblGrid>
      <w:tr>
        <w:trPr/>
        <w:tc>
          <w:tcPr>
            <w:tcW w:w="8600"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225" w:right="0" w:hanging="225"/>
              <w:rPr/>
            </w:pPr>
            <w:r>
              <w:rPr/>
              <w:t>2008</w:t>
            </w:r>
          </w:p>
        </w:tc>
        <w:tc>
          <w:tcPr>
            <w:tcW w:w="50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72,000</w:t>
            </w:r>
          </w:p>
        </w:tc>
        <w:tc>
          <w:tcPr>
            <w:tcW w:w="124"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225" w:right="0" w:hanging="225"/>
              <w:rPr/>
            </w:pPr>
            <w:r>
              <w:rPr/>
              <w:t>2009</w:t>
            </w:r>
          </w:p>
        </w:tc>
        <w:tc>
          <w:tcPr>
            <w:tcW w:w="50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27,000</w:t>
            </w:r>
          </w:p>
        </w:tc>
        <w:tc>
          <w:tcPr>
            <w:tcW w:w="124"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225" w:right="0" w:hanging="225"/>
              <w:rPr/>
            </w:pPr>
            <w:r>
              <w:rPr/>
              <w:t>2010</w:t>
            </w:r>
          </w:p>
        </w:tc>
        <w:tc>
          <w:tcPr>
            <w:tcW w:w="50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24,000</w:t>
            </w:r>
          </w:p>
        </w:tc>
        <w:tc>
          <w:tcPr>
            <w:tcW w:w="124"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225" w:right="0" w:hanging="225"/>
              <w:rPr/>
            </w:pPr>
            <w:r>
              <w:rPr/>
              <w:t>2011</w:t>
            </w:r>
          </w:p>
        </w:tc>
        <w:tc>
          <w:tcPr>
            <w:tcW w:w="50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2,000</w:t>
            </w:r>
          </w:p>
        </w:tc>
        <w:tc>
          <w:tcPr>
            <w:tcW w:w="124"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225" w:right="0" w:hanging="225"/>
              <w:rPr/>
            </w:pPr>
            <w:r>
              <w:rPr/>
              <w:t>2012</w:t>
            </w:r>
          </w:p>
        </w:tc>
        <w:tc>
          <w:tcPr>
            <w:tcW w:w="50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r>
      <w:tr>
        <w:trPr/>
        <w:tc>
          <w:tcPr>
            <w:tcW w:w="8600" w:type="dxa"/>
            <w:tcBorders/>
            <w:shd w:fill="auto" w:val="clear"/>
            <w:vAlign w:val="center"/>
          </w:tcPr>
          <w:p>
            <w:pPr>
              <w:pStyle w:val="TableContents"/>
              <w:spacing w:before="0" w:after="0"/>
              <w:ind w:left="225" w:right="0" w:hanging="225"/>
              <w:rPr/>
            </w:pPr>
            <w:r>
              <w:rPr/>
              <w:t> </w:t>
            </w:r>
          </w:p>
        </w:tc>
        <w:tc>
          <w:tcPr>
            <w:tcW w:w="507" w:type="dxa"/>
            <w:tcBorders/>
            <w:shd w:fill="auto" w:val="clear"/>
            <w:vAlign w:val="center"/>
          </w:tcPr>
          <w:p>
            <w:pPr>
              <w:pStyle w:val="TableContents"/>
              <w:spacing w:before="0" w:after="283"/>
              <w:rPr/>
            </w:pPr>
            <w:r>
              <w:rPr/>
              <w:t> </w:t>
            </w:r>
          </w:p>
        </w:tc>
        <w:tc>
          <w:tcPr>
            <w:tcW w:w="9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8600" w:type="dxa"/>
            <w:tcBorders/>
            <w:shd w:fill="auto" w:val="clear"/>
            <w:vAlign w:val="bottom"/>
          </w:tcPr>
          <w:p>
            <w:pPr>
              <w:pStyle w:val="TableContents"/>
              <w:spacing w:before="0" w:after="0"/>
              <w:ind w:left="225" w:right="0" w:hanging="225"/>
              <w:rPr/>
            </w:pPr>
            <w:r>
              <w:rPr/>
              <w:t> </w:t>
            </w:r>
          </w:p>
        </w:tc>
        <w:tc>
          <w:tcPr>
            <w:tcW w:w="50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125,000</w:t>
            </w:r>
          </w:p>
        </w:tc>
        <w:tc>
          <w:tcPr>
            <w:tcW w:w="124" w:type="dxa"/>
            <w:tcBorders/>
            <w:shd w:fill="auto" w:val="clear"/>
            <w:vAlign w:val="bottom"/>
          </w:tcPr>
          <w:p>
            <w:pPr>
              <w:pStyle w:val="TableContents"/>
              <w:spacing w:before="0" w:after="283"/>
              <w:rPr/>
            </w:pPr>
            <w:r>
              <w:rPr/>
              <w:t> </w:t>
            </w:r>
          </w:p>
        </w:tc>
      </w:tr>
      <w:tr>
        <w:trPr/>
        <w:tc>
          <w:tcPr>
            <w:tcW w:w="8600" w:type="dxa"/>
            <w:tcBorders/>
            <w:shd w:fill="auto" w:val="clear"/>
            <w:vAlign w:val="center"/>
          </w:tcPr>
          <w:p>
            <w:pPr>
              <w:pStyle w:val="TableContents"/>
              <w:spacing w:before="0" w:after="0"/>
              <w:ind w:left="225" w:right="0" w:hanging="225"/>
              <w:rPr/>
            </w:pPr>
            <w:r>
              <w:rPr/>
              <w:t> </w:t>
            </w:r>
          </w:p>
        </w:tc>
        <w:tc>
          <w:tcPr>
            <w:tcW w:w="507"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Rental income received from subleases totaled approximately $214,900, $164,000 and $157,600 for the years ended December 31, 2005, 2006 and 2007, respectively, and has been recorded as a reduction of rent expense in the accompanying consolidated statements of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Legal Proceedings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Losses from Hurricanes and Insurance Recoveries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During 2005, the State of Florida was hit by a hurricane which damaged some of the Companys pawnshop locations. In addition, business interruption losses were incurred at several of the Companys pawnshop locations as a result of the hurricane that hit Florida. The total business interruption insurance recoveries recognized during the year ended 2005 totaled approximately $59,000 and is included in net sales in the accompanying consolidated statements of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 connection with the hurricane losses described above, the Company also recorded receivables of approximately $79,000 for damage at the affected pawnshop locations which is included in prepaid expenses and other in the accompanying consolidated balance sheet as of December 31, 2005.</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423"/>
        <w:gridCol w:w="135"/>
        <w:gridCol w:w="9647"/>
      </w:tblGrid>
      <w:tr>
        <w:trPr/>
        <w:tc>
          <w:tcPr>
            <w:tcW w:w="423" w:type="dxa"/>
            <w:tcBorders/>
            <w:shd w:fill="auto" w:val="clear"/>
          </w:tcPr>
          <w:p>
            <w:pPr>
              <w:pStyle w:val="TableContents"/>
              <w:spacing w:before="0" w:after="283"/>
              <w:jc w:val="left"/>
              <w:rPr>
                <w:b/>
              </w:rPr>
            </w:pPr>
            <w:r>
              <w:rPr>
                <w:b/>
              </w:rPr>
              <w:t>(10)</w:t>
            </w:r>
          </w:p>
        </w:tc>
        <w:tc>
          <w:tcPr>
            <w:tcW w:w="135" w:type="dxa"/>
            <w:tcBorders/>
            <w:shd w:fill="auto" w:val="clear"/>
          </w:tcPr>
          <w:p>
            <w:pPr>
              <w:pStyle w:val="TableContents"/>
              <w:spacing w:before="0" w:after="283"/>
              <w:rPr/>
            </w:pPr>
            <w:r>
              <w:rPr/>
              <w:t> </w:t>
            </w:r>
          </w:p>
        </w:tc>
        <w:tc>
          <w:tcPr>
            <w:tcW w:w="9647" w:type="dxa"/>
            <w:tcBorders/>
            <w:shd w:fill="auto" w:val="clear"/>
          </w:tcPr>
          <w:p>
            <w:pPr>
              <w:pStyle w:val="TableContents"/>
              <w:spacing w:before="0" w:after="283"/>
              <w:rPr>
                <w:b/>
              </w:rPr>
            </w:pPr>
            <w:r>
              <w:rPr>
                <w:b/>
              </w:rPr>
              <w:t>Commitments and Contingencies, Continued</w:t>
            </w:r>
          </w:p>
        </w:tc>
      </w:tr>
    </w:tbl>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(d)</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Gain from Theft and Insurance Recoveries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During 2005, one of the Companys locations in Tampa was the victim of a burglary. A receivable of approximately $526,000 for insurance reimbursement on stolen assets and business interruption has been included in prepaid expenses and other assets in the accompanying consolidated balance sheets. Related gains from insurance proceeds of approximately $182,000 and $240,000 are included in net sales and service charge revenues, respectively, for the year ended December 31, 2005. Included in cost of sales are losses related to inventory write-offs of approximately $297,000 for the year ended December 31, 2005. The total insurance reimbursement of $530,000 was received during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During 2007, one of the Companys locations in West Palm Beach was the victim of a burglary. A receivable of approximately $789,000 for insurance reimbursement on stolen assets and business interruption has been included in prepaid expenses and other assets in the accompanying consolidated balance sheets. Related gains from insurance proceeds of approximately $388,000 and $132,000 are included in net sales and service charge revenues, respectively, for the year ended December 31, 2007. The total insurance reimbursement of $1,168,000 was received during 2008.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During October 2007, one of the Companys pawn store locations in Tampa was the victim of a burglary. A receivable of approximately $235,000 for insurance reimbursement on stolen assets has been included in prepaid expenses and other assets in the accompanying consolidated balance sheets.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During December 2007, one of the Companys pawn store locations in Atlanta Georgia was the victim of a robbery. A report has been filed with the Companys Insurance Company; however, the claim amount has not yet been finalized.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VALUE FINANCIAL SERVICES, INC. AND SUBSIDIARY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Statements(Continued)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Years Ended December 31, 2005, 2006 and 2007 </w:t>
      </w:r>
    </w:p>
    <w:tbl>
      <w:tblPr>
        <w:tblW w:w="5000" w:type="pct"/>
        <w:jc w:val="left"/>
        <w:tblInd w:w="0" w:type="dxa"/>
        <w:tblCellMar>
          <w:top w:w="0" w:type="dxa"/>
          <w:left w:w="0" w:type="dxa"/>
          <w:bottom w:w="0" w:type="dxa"/>
          <w:right w:w="0" w:type="dxa"/>
        </w:tblCellMar>
      </w:tblPr>
      <w:tblGrid>
        <w:gridCol w:w="417"/>
        <w:gridCol w:w="135"/>
        <w:gridCol w:w="9653"/>
      </w:tblGrid>
      <w:tr>
        <w:trPr/>
        <w:tc>
          <w:tcPr>
            <w:tcW w:w="417" w:type="dxa"/>
            <w:tcBorders/>
            <w:shd w:fill="auto" w:val="clear"/>
          </w:tcPr>
          <w:p>
            <w:pPr>
              <w:pStyle w:val="TableContents"/>
              <w:spacing w:before="0" w:after="283"/>
              <w:jc w:val="left"/>
              <w:rPr>
                <w:b/>
              </w:rPr>
            </w:pPr>
            <w:r>
              <w:rPr>
                <w:b/>
              </w:rPr>
              <w:t>(11)</w:t>
            </w:r>
          </w:p>
        </w:tc>
        <w:tc>
          <w:tcPr>
            <w:tcW w:w="135" w:type="dxa"/>
            <w:tcBorders/>
            <w:shd w:fill="auto" w:val="clear"/>
          </w:tcPr>
          <w:p>
            <w:pPr>
              <w:pStyle w:val="TableContents"/>
              <w:spacing w:before="0" w:after="283"/>
              <w:rPr/>
            </w:pPr>
            <w:r>
              <w:rPr/>
              <w:t> </w:t>
            </w:r>
          </w:p>
        </w:tc>
        <w:tc>
          <w:tcPr>
            <w:tcW w:w="9653" w:type="dxa"/>
            <w:tcBorders/>
            <w:shd w:fill="auto" w:val="clear"/>
          </w:tcPr>
          <w:p>
            <w:pPr>
              <w:pStyle w:val="TableContents"/>
              <w:spacing w:before="0" w:after="283"/>
              <w:rPr>
                <w:b/>
              </w:rPr>
            </w:pPr>
            <w:r>
              <w:rPr>
                <w:b/>
              </w:rPr>
              <w:t>Fair Values of Financial Instruments</w:t>
            </w:r>
          </w:p>
        </w:tc>
      </w:tr>
      <w:tr>
        <w:trPr/>
        <w:tc>
          <w:tcPr>
            <w:tcW w:w="417" w:type="dxa"/>
            <w:tcBorders/>
            <w:shd w:fill="auto" w:val="clear"/>
            <w:vAlign w:val="center"/>
          </w:tcPr>
          <w:p>
            <w:pPr>
              <w:pStyle w:val="TableContents"/>
              <w:spacing w:before="0" w:after="283"/>
              <w:rPr/>
            </w:pPr>
            <w:r>
              <w:rPr/>
              <w:t> </w:t>
            </w:r>
          </w:p>
        </w:tc>
        <w:tc>
          <w:tcPr>
            <w:tcW w:w="9788" w:type="dxa"/>
            <w:gridSpan w:val="2"/>
            <w:tcBorders/>
            <w:shd w:fill="auto" w:val="clear"/>
          </w:tcPr>
          <w:p>
            <w:pPr>
              <w:pStyle w:val="TableContents"/>
              <w:spacing w:before="0" w:after="283"/>
              <w:rPr>
                <w:sz w:val="4"/>
                <w:szCs w:val="4"/>
              </w:rPr>
            </w:pPr>
            <w:r>
              <w:rPr>
                <w:sz w:val="4"/>
                <w:szCs w:val="4"/>
              </w:rPr>
            </w:r>
          </w:p>
        </w:tc>
      </w:tr>
      <w:tr>
        <w:trPr/>
        <w:tc>
          <w:tcPr>
            <w:tcW w:w="417" w:type="dxa"/>
            <w:tcBorders/>
            <w:shd w:fill="auto" w:val="clear"/>
          </w:tcPr>
          <w:p>
            <w:pPr>
              <w:pStyle w:val="TableContents"/>
              <w:spacing w:before="0" w:after="283"/>
              <w:jc w:val="left"/>
              <w:rPr/>
            </w:pPr>
            <w:r>
              <w:rPr/>
              <w:t> </w:t>
            </w:r>
          </w:p>
        </w:tc>
        <w:tc>
          <w:tcPr>
            <w:tcW w:w="135" w:type="dxa"/>
            <w:tcBorders/>
            <w:shd w:fill="auto" w:val="clear"/>
          </w:tcPr>
          <w:p>
            <w:pPr>
              <w:pStyle w:val="TableContents"/>
              <w:spacing w:before="0" w:after="283"/>
              <w:rPr/>
            </w:pPr>
            <w:r>
              <w:rPr/>
              <w:t> </w:t>
            </w:r>
          </w:p>
        </w:tc>
        <w:tc>
          <w:tcPr>
            <w:tcW w:w="9653" w:type="dxa"/>
            <w:tcBorders/>
            <w:shd w:fill="auto" w:val="clear"/>
          </w:tcPr>
          <w:p>
            <w:pPr>
              <w:pStyle w:val="TableContents"/>
              <w:spacing w:before="0" w:after="283"/>
              <w:rPr/>
            </w:pPr>
            <w:r>
              <w:rPr/>
              <w:t>The carrying amounts and estimated fair values of financial instruments as of December 31, 2005, December 31, 2006 and December 31, 2007 were as follows:</w:t>
            </w:r>
          </w:p>
        </w:tc>
      </w:tr>
    </w:tbl>
    <w:tbl>
      <w:tblPr>
        <w:tblW w:w="5000" w:type="pct"/>
        <w:jc w:val="center"/>
        <w:tblInd w:w="0" w:type="dxa"/>
        <w:tblCellMar>
          <w:top w:w="0" w:type="dxa"/>
          <w:left w:w="0" w:type="dxa"/>
          <w:bottom w:w="0" w:type="dxa"/>
          <w:right w:w="0" w:type="dxa"/>
        </w:tblCellMar>
      </w:tblPr>
      <w:tblGrid>
        <w:gridCol w:w="1314"/>
        <w:gridCol w:w="115"/>
        <w:gridCol w:w="172"/>
        <w:gridCol w:w="1100"/>
        <w:gridCol w:w="93"/>
        <w:gridCol w:w="115"/>
        <w:gridCol w:w="172"/>
        <w:gridCol w:w="1100"/>
        <w:gridCol w:w="93"/>
        <w:gridCol w:w="115"/>
        <w:gridCol w:w="172"/>
        <w:gridCol w:w="1100"/>
        <w:gridCol w:w="93"/>
        <w:gridCol w:w="115"/>
        <w:gridCol w:w="172"/>
        <w:gridCol w:w="1100"/>
        <w:gridCol w:w="93"/>
        <w:gridCol w:w="114"/>
        <w:gridCol w:w="172"/>
        <w:gridCol w:w="1100"/>
        <w:gridCol w:w="93"/>
        <w:gridCol w:w="115"/>
        <w:gridCol w:w="172"/>
        <w:gridCol w:w="1100"/>
        <w:gridCol w:w="105"/>
      </w:tblGrid>
      <w:tr>
        <w:trPr/>
        <w:tc>
          <w:tcPr>
            <w:tcW w:w="13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1314" w:type="dxa"/>
            <w:tcBorders>
              <w:bottom w:val="single" w:sz="2" w:space="0" w:color="000000"/>
            </w:tcBorders>
            <w:shd w:fill="auto" w:val="clear"/>
            <w:tcMar>
              <w:bottom w:w="28" w:type="dxa"/>
            </w:tcMar>
            <w:vAlign w:val="bottom"/>
          </w:tcPr>
          <w:p>
            <w:pPr>
              <w:pStyle w:val="TableContents"/>
              <w:spacing w:before="0" w:after="283"/>
              <w:rPr/>
            </w:pPr>
            <w:r>
              <w:rPr/>
              <w:t> </w:t>
            </w:r>
          </w:p>
        </w:tc>
        <w:tc>
          <w:tcPr>
            <w:tcW w:w="115" w:type="dxa"/>
            <w:tcBorders>
              <w:bottom w:val="single" w:sz="2" w:space="0" w:color="000000"/>
            </w:tcBorders>
            <w:shd w:fill="auto" w:val="clear"/>
            <w:tcMar>
              <w:bottom w:w="28" w:type="dxa"/>
            </w:tcMar>
            <w:vAlign w:val="bottom"/>
          </w:tcPr>
          <w:p>
            <w:pPr>
              <w:pStyle w:val="TableContents"/>
              <w:spacing w:before="0" w:after="283"/>
              <w:rPr/>
            </w:pPr>
            <w:r>
              <w:rPr/>
              <w:t> </w:t>
            </w:r>
          </w:p>
        </w:tc>
        <w:tc>
          <w:tcPr>
            <w:tcW w:w="284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2005</w:t>
            </w:r>
          </w:p>
        </w:tc>
        <w:tc>
          <w:tcPr>
            <w:tcW w:w="115" w:type="dxa"/>
            <w:tcBorders>
              <w:bottom w:val="single" w:sz="2" w:space="0" w:color="000000"/>
            </w:tcBorders>
            <w:shd w:fill="auto" w:val="clear"/>
            <w:tcMar>
              <w:bottom w:w="28" w:type="dxa"/>
            </w:tcMar>
            <w:vAlign w:val="bottom"/>
          </w:tcPr>
          <w:p>
            <w:pPr>
              <w:pStyle w:val="TableContents"/>
              <w:spacing w:before="0" w:after="283"/>
              <w:rPr/>
            </w:pPr>
            <w:r>
              <w:rPr/>
              <w:t> </w:t>
            </w:r>
          </w:p>
        </w:tc>
        <w:tc>
          <w:tcPr>
            <w:tcW w:w="284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2857"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r>
      <w:tr>
        <w:trPr/>
        <w:tc>
          <w:tcPr>
            <w:tcW w:w="13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Carrying</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Estimated</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Carrying</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Estimated</w:t>
            </w:r>
          </w:p>
        </w:tc>
        <w:tc>
          <w:tcPr>
            <w:tcW w:w="114"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Carrying</w:t>
            </w:r>
          </w:p>
        </w:tc>
        <w:tc>
          <w:tcPr>
            <w:tcW w:w="115" w:type="dxa"/>
            <w:tcBorders/>
            <w:shd w:fill="auto" w:val="clear"/>
            <w:vAlign w:val="bottom"/>
          </w:tcPr>
          <w:p>
            <w:pPr>
              <w:pStyle w:val="TableContents"/>
              <w:spacing w:before="0" w:after="283"/>
              <w:rPr/>
            </w:pPr>
            <w:r>
              <w:rPr/>
              <w:t> </w:t>
            </w:r>
          </w:p>
        </w:tc>
        <w:tc>
          <w:tcPr>
            <w:tcW w:w="1377" w:type="dxa"/>
            <w:gridSpan w:val="3"/>
            <w:tcBorders/>
            <w:shd w:fill="auto" w:val="clear"/>
            <w:vAlign w:val="bottom"/>
          </w:tcPr>
          <w:p>
            <w:pPr>
              <w:pStyle w:val="TableContents"/>
              <w:spacing w:before="0" w:after="283"/>
              <w:jc w:val="center"/>
              <w:rPr>
                <w:b/>
              </w:rPr>
            </w:pPr>
            <w:r>
              <w:rPr>
                <w:b/>
              </w:rPr>
              <w:t>Estimated</w:t>
            </w:r>
          </w:p>
        </w:tc>
      </w:tr>
      <w:tr>
        <w:trPr/>
        <w:tc>
          <w:tcPr>
            <w:tcW w:w="13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Value</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Fair Value</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Value</w:t>
            </w:r>
          </w:p>
        </w:tc>
        <w:tc>
          <w:tcPr>
            <w:tcW w:w="115"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Fair Value</w:t>
            </w:r>
          </w:p>
        </w:tc>
        <w:tc>
          <w:tcPr>
            <w:tcW w:w="114"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spacing w:before="0" w:after="283"/>
              <w:jc w:val="center"/>
              <w:rPr>
                <w:b/>
              </w:rPr>
            </w:pPr>
            <w:r>
              <w:rPr>
                <w:b/>
              </w:rPr>
              <w:t>Value</w:t>
            </w:r>
          </w:p>
        </w:tc>
        <w:tc>
          <w:tcPr>
            <w:tcW w:w="115" w:type="dxa"/>
            <w:tcBorders/>
            <w:shd w:fill="auto" w:val="clear"/>
            <w:vAlign w:val="bottom"/>
          </w:tcPr>
          <w:p>
            <w:pPr>
              <w:pStyle w:val="TableContents"/>
              <w:spacing w:before="0" w:after="283"/>
              <w:rPr/>
            </w:pPr>
            <w:r>
              <w:rPr/>
              <w:t> </w:t>
            </w:r>
          </w:p>
        </w:tc>
        <w:tc>
          <w:tcPr>
            <w:tcW w:w="1377" w:type="dxa"/>
            <w:gridSpan w:val="3"/>
            <w:tcBorders/>
            <w:shd w:fill="auto" w:val="clear"/>
            <w:vAlign w:val="bottom"/>
          </w:tcPr>
          <w:p>
            <w:pPr>
              <w:pStyle w:val="TableContents"/>
              <w:spacing w:before="0" w:after="283"/>
              <w:jc w:val="center"/>
              <w:rPr>
                <w:b/>
              </w:rPr>
            </w:pPr>
            <w:r>
              <w:rPr>
                <w:b/>
              </w:rPr>
              <w:t>Fair Value</w:t>
            </w:r>
          </w:p>
        </w:tc>
      </w:tr>
      <w:tr>
        <w:trPr/>
        <w:tc>
          <w:tcPr>
            <w:tcW w:w="10205"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314" w:type="dxa"/>
            <w:tcBorders/>
            <w:shd w:fill="auto" w:val="clear"/>
            <w:vAlign w:val="bottom"/>
          </w:tcPr>
          <w:p>
            <w:pPr>
              <w:pStyle w:val="TableContents"/>
              <w:spacing w:before="0" w:after="0"/>
              <w:ind w:left="225" w:right="0" w:hanging="225"/>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1314" w:type="dxa"/>
            <w:tcBorders/>
            <w:shd w:fill="CCEEFF" w:val="clear"/>
            <w:vAlign w:val="bottom"/>
          </w:tcPr>
          <w:p>
            <w:pPr>
              <w:pStyle w:val="TableContents"/>
              <w:spacing w:before="0" w:after="0"/>
              <w:ind w:left="225" w:right="0" w:hanging="225"/>
              <w:rPr/>
            </w:pPr>
            <w:r>
              <w:rPr/>
              <w:t>Financial assets:</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1314" w:type="dxa"/>
            <w:tcBorders/>
            <w:shd w:fill="auto" w:val="clear"/>
            <w:vAlign w:val="bottom"/>
          </w:tcPr>
          <w:p>
            <w:pPr>
              <w:pStyle w:val="TableContents"/>
              <w:spacing w:before="0" w:after="0"/>
              <w:ind w:left="450" w:right="0" w:hanging="225"/>
              <w:rPr/>
            </w:pPr>
            <w:r>
              <w:rPr/>
              <w:t>Cash</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1,646,001</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1,646,001</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759,674</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759,674</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795,055</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1100" w:type="dxa"/>
            <w:tcBorders/>
            <w:shd w:fill="auto" w:val="clear"/>
            <w:vAlign w:val="bottom"/>
          </w:tcPr>
          <w:p>
            <w:pPr>
              <w:pStyle w:val="TableContents"/>
              <w:spacing w:before="0" w:after="283"/>
              <w:jc w:val="right"/>
              <w:rPr/>
            </w:pPr>
            <w:r>
              <w:rPr/>
              <w:t>795,055</w:t>
            </w:r>
          </w:p>
        </w:tc>
        <w:tc>
          <w:tcPr>
            <w:tcW w:w="105" w:type="dxa"/>
            <w:tcBorders/>
            <w:shd w:fill="auto" w:val="clear"/>
            <w:vAlign w:val="bottom"/>
          </w:tcPr>
          <w:p>
            <w:pPr>
              <w:pStyle w:val="TableContents"/>
              <w:spacing w:before="0" w:after="283"/>
              <w:rPr/>
            </w:pPr>
            <w:r>
              <w:rPr/>
              <w:t> </w:t>
            </w:r>
          </w:p>
        </w:tc>
      </w:tr>
      <w:tr>
        <w:trPr/>
        <w:tc>
          <w:tcPr>
            <w:tcW w:w="1314" w:type="dxa"/>
            <w:tcBorders/>
            <w:shd w:fill="CCEEFF" w:val="clear"/>
            <w:vAlign w:val="bottom"/>
          </w:tcPr>
          <w:p>
            <w:pPr>
              <w:pStyle w:val="TableContents"/>
              <w:spacing w:before="0" w:after="0"/>
              <w:ind w:left="450" w:right="0" w:hanging="225"/>
              <w:rPr/>
            </w:pPr>
            <w:r>
              <w:rPr/>
              <w:t>Loans</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11,598,110</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11,598,110</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14,528,302</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14,528,302</w:t>
            </w:r>
          </w:p>
        </w:tc>
        <w:tc>
          <w:tcPr>
            <w:tcW w:w="9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16,759,212</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16,759,212</w:t>
            </w:r>
          </w:p>
        </w:tc>
        <w:tc>
          <w:tcPr>
            <w:tcW w:w="105" w:type="dxa"/>
            <w:tcBorders/>
            <w:shd w:fill="CCEEFF" w:val="clear"/>
            <w:vAlign w:val="bottom"/>
          </w:tcPr>
          <w:p>
            <w:pPr>
              <w:pStyle w:val="TableContents"/>
              <w:spacing w:before="0" w:after="283"/>
              <w:rPr/>
            </w:pPr>
            <w:r>
              <w:rPr/>
              <w:t> </w:t>
            </w:r>
          </w:p>
        </w:tc>
      </w:tr>
      <w:tr>
        <w:trPr/>
        <w:tc>
          <w:tcPr>
            <w:tcW w:w="1314" w:type="dxa"/>
            <w:tcBorders/>
            <w:shd w:fill="auto" w:val="clear"/>
            <w:vAlign w:val="bottom"/>
          </w:tcPr>
          <w:p>
            <w:pPr>
              <w:pStyle w:val="TableContents"/>
              <w:spacing w:before="0" w:after="0"/>
              <w:ind w:left="450" w:right="0" w:hanging="225"/>
              <w:rPr/>
            </w:pPr>
            <w:r>
              <w:rPr/>
              <w:t>Cash advances, net</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523,419</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523,419</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493,013</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493,013</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101,114</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101,114</w:t>
            </w:r>
          </w:p>
        </w:tc>
        <w:tc>
          <w:tcPr>
            <w:tcW w:w="105" w:type="dxa"/>
            <w:tcBorders/>
            <w:shd w:fill="auto" w:val="clear"/>
            <w:vAlign w:val="bottom"/>
          </w:tcPr>
          <w:p>
            <w:pPr>
              <w:pStyle w:val="TableContents"/>
              <w:spacing w:before="0" w:after="283"/>
              <w:rPr/>
            </w:pPr>
            <w:r>
              <w:rPr/>
              <w:t> </w:t>
            </w:r>
          </w:p>
        </w:tc>
      </w:tr>
      <w:tr>
        <w:trPr/>
        <w:tc>
          <w:tcPr>
            <w:tcW w:w="1314" w:type="dxa"/>
            <w:tcBorders/>
            <w:shd w:fill="CCEEFF" w:val="clear"/>
            <w:vAlign w:val="bottom"/>
          </w:tcPr>
          <w:p>
            <w:pPr>
              <w:pStyle w:val="TableContents"/>
              <w:spacing w:before="0" w:after="0"/>
              <w:ind w:left="225" w:right="0" w:hanging="225"/>
              <w:rPr/>
            </w:pPr>
            <w:r>
              <w:rPr/>
              <w:t>Financial liabilities:</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1314" w:type="dxa"/>
            <w:tcBorders/>
            <w:shd w:fill="auto" w:val="clear"/>
            <w:vAlign w:val="bottom"/>
          </w:tcPr>
          <w:p>
            <w:pPr>
              <w:pStyle w:val="TableContents"/>
              <w:spacing w:before="0" w:after="0"/>
              <w:ind w:left="450" w:right="0" w:hanging="225"/>
              <w:rPr/>
            </w:pPr>
            <w:r>
              <w:rPr/>
              <w:t>Interest rate swap liability</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552,748</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552,748</w:t>
            </w:r>
          </w:p>
        </w:tc>
        <w:tc>
          <w:tcPr>
            <w:tcW w:w="105" w:type="dxa"/>
            <w:tcBorders/>
            <w:shd w:fill="auto" w:val="clear"/>
            <w:vAlign w:val="bottom"/>
          </w:tcPr>
          <w:p>
            <w:pPr>
              <w:pStyle w:val="TableContents"/>
              <w:spacing w:before="0" w:after="283"/>
              <w:rPr/>
            </w:pPr>
            <w:r>
              <w:rPr/>
              <w:t> </w:t>
            </w:r>
          </w:p>
        </w:tc>
      </w:tr>
      <w:tr>
        <w:trPr/>
        <w:tc>
          <w:tcPr>
            <w:tcW w:w="1314" w:type="dxa"/>
            <w:tcBorders/>
            <w:shd w:fill="CCEEFF" w:val="clear"/>
            <w:vAlign w:val="bottom"/>
          </w:tcPr>
          <w:p>
            <w:pPr>
              <w:pStyle w:val="TableContents"/>
              <w:spacing w:before="0" w:after="0"/>
              <w:ind w:left="450" w:right="0" w:hanging="225"/>
              <w:rPr/>
            </w:pPr>
            <w:r>
              <w:rPr/>
              <w:t>Convertible subordinated debentures</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4,390,853</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4,390,853</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4,330,227</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4,330,227</w:t>
            </w:r>
          </w:p>
        </w:tc>
        <w:tc>
          <w:tcPr>
            <w:tcW w:w="9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403,660</w:t>
            </w:r>
          </w:p>
        </w:tc>
        <w:tc>
          <w:tcPr>
            <w:tcW w:w="9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403,660</w:t>
            </w:r>
          </w:p>
        </w:tc>
        <w:tc>
          <w:tcPr>
            <w:tcW w:w="105" w:type="dxa"/>
            <w:tcBorders/>
            <w:shd w:fill="CCEEFF" w:val="clear"/>
            <w:vAlign w:val="bottom"/>
          </w:tcPr>
          <w:p>
            <w:pPr>
              <w:pStyle w:val="TableContents"/>
              <w:spacing w:before="0" w:after="283"/>
              <w:rPr/>
            </w:pPr>
            <w:r>
              <w:rPr/>
              <w:t> </w:t>
            </w:r>
          </w:p>
        </w:tc>
      </w:tr>
      <w:tr>
        <w:trPr/>
        <w:tc>
          <w:tcPr>
            <w:tcW w:w="1314" w:type="dxa"/>
            <w:tcBorders/>
            <w:shd w:fill="auto" w:val="clear"/>
            <w:vAlign w:val="bottom"/>
          </w:tcPr>
          <w:p>
            <w:pPr>
              <w:pStyle w:val="TableContents"/>
              <w:spacing w:before="0" w:after="0"/>
              <w:ind w:left="450" w:right="0" w:hanging="225"/>
              <w:rPr/>
            </w:pPr>
            <w:r>
              <w:rPr/>
              <w:t>Long-term debt</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13,125,867</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13,125,867</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7,380,721</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7,380,721</w:t>
            </w:r>
          </w:p>
        </w:tc>
        <w:tc>
          <w:tcPr>
            <w:tcW w:w="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30,784,307</w:t>
            </w:r>
          </w:p>
        </w:tc>
        <w:tc>
          <w:tcPr>
            <w:tcW w:w="9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30,784,307</w:t>
            </w:r>
          </w:p>
        </w:tc>
        <w:tc>
          <w:tcPr>
            <w:tcW w:w="105" w:type="dxa"/>
            <w:tcBorders/>
            <w:shd w:fill="auto"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9"/>
        <w:gridCol w:w="133"/>
        <w:gridCol w:w="9663"/>
      </w:tblGrid>
      <w:tr>
        <w:trPr/>
        <w:tc>
          <w:tcPr>
            <w:tcW w:w="409"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663" w:type="dxa"/>
            <w:tcBorders/>
            <w:shd w:fill="auto" w:val="clear"/>
          </w:tcPr>
          <w:p>
            <w:pPr>
              <w:pStyle w:val="TableContents"/>
              <w:spacing w:before="0" w:after="283"/>
              <w:rPr/>
            </w:pPr>
            <w:r>
              <w:rPr/>
              <w:t>The carrying amounts of financial instruments including cash, loans and cash advances approximated fair value as of December 2005, 2006 and 2007 because of the relatively short-term nature and maturity of these instruments. The Companys bank credit facility bears interest at a rate that is frequently adjusted on the basis of market rate changes. The fair value of the remaining long-term debt instruments are estimated based on market values for debt issues with similar characteristics or rates currently available for debt with similar terms. In order to manage interest rate exposure, the Company, from time to time, enters into interest rate swap agreements (see Note 1(m). These interest rate swaps are recorded at fair value and, therefore, the carrying value equals fair value of these financial instruments.</w:t>
            </w:r>
          </w:p>
        </w:tc>
      </w:tr>
      <w:tr>
        <w:trPr/>
        <w:tc>
          <w:tcPr>
            <w:tcW w:w="409" w:type="dxa"/>
            <w:tcBorders/>
            <w:shd w:fill="auto" w:val="clear"/>
            <w:vAlign w:val="center"/>
          </w:tcPr>
          <w:p>
            <w:pPr>
              <w:pStyle w:val="TableContents"/>
              <w:spacing w:before="0" w:after="283"/>
              <w:rPr/>
            </w:pPr>
            <w:r>
              <w:rPr/>
              <w:t> </w:t>
            </w:r>
          </w:p>
        </w:tc>
        <w:tc>
          <w:tcPr>
            <w:tcW w:w="9796" w:type="dxa"/>
            <w:gridSpan w:val="2"/>
            <w:tcBorders/>
            <w:shd w:fill="auto" w:val="clear"/>
          </w:tcPr>
          <w:p>
            <w:pPr>
              <w:pStyle w:val="TableContents"/>
              <w:spacing w:before="0" w:after="283"/>
              <w:rPr>
                <w:sz w:val="4"/>
                <w:szCs w:val="4"/>
              </w:rPr>
            </w:pPr>
            <w:r>
              <w:rPr>
                <w:sz w:val="4"/>
                <w:szCs w:val="4"/>
              </w:rPr>
            </w:r>
          </w:p>
        </w:tc>
      </w:tr>
      <w:tr>
        <w:trPr/>
        <w:tc>
          <w:tcPr>
            <w:tcW w:w="409" w:type="dxa"/>
            <w:tcBorders/>
            <w:shd w:fill="auto" w:val="clear"/>
          </w:tcPr>
          <w:p>
            <w:pPr>
              <w:pStyle w:val="TableContents"/>
              <w:spacing w:before="0" w:after="283"/>
              <w:jc w:val="left"/>
              <w:rPr>
                <w:b/>
              </w:rPr>
            </w:pPr>
            <w:r>
              <w:rPr>
                <w:b/>
              </w:rPr>
              <w:t>(12)</w:t>
            </w:r>
          </w:p>
        </w:tc>
        <w:tc>
          <w:tcPr>
            <w:tcW w:w="133" w:type="dxa"/>
            <w:tcBorders/>
            <w:shd w:fill="auto" w:val="clear"/>
          </w:tcPr>
          <w:p>
            <w:pPr>
              <w:pStyle w:val="TableContents"/>
              <w:spacing w:before="0" w:after="283"/>
              <w:rPr/>
            </w:pPr>
            <w:r>
              <w:rPr/>
              <w:t> </w:t>
            </w:r>
          </w:p>
        </w:tc>
        <w:tc>
          <w:tcPr>
            <w:tcW w:w="9663" w:type="dxa"/>
            <w:tcBorders/>
            <w:shd w:fill="auto" w:val="clear"/>
          </w:tcPr>
          <w:p>
            <w:pPr>
              <w:pStyle w:val="TableContents"/>
              <w:spacing w:before="0" w:after="283"/>
              <w:rPr>
                <w:b/>
              </w:rPr>
            </w:pPr>
            <w:r>
              <w:rPr>
                <w:b/>
              </w:rPr>
              <w:t>Subsequent Event</w:t>
            </w:r>
          </w:p>
        </w:tc>
      </w:tr>
      <w:tr>
        <w:trPr/>
        <w:tc>
          <w:tcPr>
            <w:tcW w:w="409" w:type="dxa"/>
            <w:tcBorders/>
            <w:shd w:fill="auto" w:val="clear"/>
            <w:vAlign w:val="center"/>
          </w:tcPr>
          <w:p>
            <w:pPr>
              <w:pStyle w:val="TableContents"/>
              <w:spacing w:before="0" w:after="283"/>
              <w:rPr/>
            </w:pPr>
            <w:r>
              <w:rPr/>
              <w:t> </w:t>
            </w:r>
          </w:p>
        </w:tc>
        <w:tc>
          <w:tcPr>
            <w:tcW w:w="9796" w:type="dxa"/>
            <w:gridSpan w:val="2"/>
            <w:tcBorders/>
            <w:shd w:fill="auto" w:val="clear"/>
          </w:tcPr>
          <w:p>
            <w:pPr>
              <w:pStyle w:val="TableContents"/>
              <w:spacing w:before="0" w:after="283"/>
              <w:rPr>
                <w:sz w:val="4"/>
                <w:szCs w:val="4"/>
              </w:rPr>
            </w:pPr>
            <w:r>
              <w:rPr>
                <w:sz w:val="4"/>
                <w:szCs w:val="4"/>
              </w:rPr>
            </w:r>
          </w:p>
        </w:tc>
      </w:tr>
      <w:tr>
        <w:trPr/>
        <w:tc>
          <w:tcPr>
            <w:tcW w:w="409"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663" w:type="dxa"/>
            <w:tcBorders/>
            <w:shd w:fill="auto" w:val="clear"/>
          </w:tcPr>
          <w:p>
            <w:pPr>
              <w:pStyle w:val="TableContents"/>
              <w:spacing w:before="0" w:after="283"/>
              <w:rPr/>
            </w:pPr>
            <w:r>
              <w:rPr/>
              <w:t>In March 2008, the Company entered into an agreement to sell up to 100%, but not less than 70%, of the equity ownership to EZCORP, Inc. Closing of the transaction is expected to occur in July 2008.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4" w:name="116"/>
      <w:bookmarkEnd w:id="24"/>
      <w:r>
        <w:rPr>
          <w:rFonts w:ascii="Times New Roman;Times;serif" w:hAnsi="Times New Roman;Times;serif"/>
          <w:b/>
          <w:sz w:val="17"/>
        </w:rPr>
        <w:t>16. PRO FORMA FINANCIAL INFORMATION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br/>
        <w:t>Pro Forma Combined Financial Statements of EZCORP, Inc. and Subsidiaries</w:t>
        <w:br/>
        <w:t>and Value Financial Services, Inc.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unaudited pro forma financial information included below has been prepared to illustrate the pro forma effects of our acquisition of Value Financial Services, Inc. (VFS). The pro forma combined balance sheet was prepared as if our acquisition of VFS were completed on the balance sheet date of March 31, 2008. The pro forma statements of operations give effect to the acquisition of VFS as if it had occurred on October 1, 2006, the beginning of the earliest period presented. This pro forma information has been prepared and is being furnished for informational purposes only and does not purport to be indicative of what would have resulted had the sale transaction occurred on the dates indicated or what may result in the future. </w:t>
      </w:r>
    </w:p>
    <w:p>
      <w:pPr>
        <w:pStyle w:val="TextBody"/>
        <w:jc w:val="center"/>
        <w:rPr>
          <w:rFonts w:ascii="Times New Roman;Times;serif" w:hAnsi="Times New Roman;Times;serif"/>
          <w:sz w:val="17"/>
        </w:rPr>
      </w:pPr>
      <w:r>
        <w:rPr>
          <w:rFonts w:ascii="Times New Roman;Times;serif" w:hAnsi="Times New Roman;Times;serif"/>
          <w:sz w:val="17"/>
        </w:rP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br/>
        <w:t>Pro Forma Combined Balance Sheet as of March 31, 2008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06"/>
        <w:gridCol w:w="345"/>
        <w:gridCol w:w="158"/>
        <w:gridCol w:w="864"/>
        <w:gridCol w:w="127"/>
        <w:gridCol w:w="345"/>
        <w:gridCol w:w="158"/>
        <w:gridCol w:w="833"/>
        <w:gridCol w:w="127"/>
        <w:gridCol w:w="345"/>
        <w:gridCol w:w="192"/>
        <w:gridCol w:w="1017"/>
        <w:gridCol w:w="126"/>
        <w:gridCol w:w="345"/>
        <w:gridCol w:w="167"/>
        <w:gridCol w:w="916"/>
        <w:gridCol w:w="134"/>
      </w:tblGrid>
      <w:tr>
        <w:trPr/>
        <w:tc>
          <w:tcPr>
            <w:tcW w:w="400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283"/>
              <w:jc w:val="center"/>
              <w:rPr/>
            </w:pPr>
            <w:r>
              <w:rPr/>
              <w:t>As</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pPr>
            <w:r>
              <w:rPr/>
              <w:t>Pro Forma</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pPr>
            <w:r>
              <w:rPr/>
              <w:t>Pro Forma</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pPr>
            <w:r>
              <w:rPr/>
              <w:t>Reported</w:t>
            </w:r>
          </w:p>
        </w:tc>
        <w:tc>
          <w:tcPr>
            <w:tcW w:w="127" w:type="dxa"/>
            <w:tcBorders>
              <w:bottom w:val="single" w:sz="2" w:space="0" w:color="000000"/>
            </w:tcBorders>
            <w:shd w:fill="auto" w:val="clear"/>
            <w:tcMar>
              <w:bottom w:w="28" w:type="dxa"/>
            </w:tcMar>
            <w:vAlign w:val="bottom"/>
          </w:tcPr>
          <w:p>
            <w:pPr>
              <w:pStyle w:val="TableContents"/>
              <w:spacing w:before="0" w:after="283"/>
              <w:rPr/>
            </w:pPr>
            <w:r>
              <w:rPr/>
              <w:t> </w:t>
            </w:r>
          </w:p>
        </w:tc>
        <w:tc>
          <w:tcPr>
            <w:tcW w:w="345" w:type="dxa"/>
            <w:tcBorders>
              <w:bottom w:val="single" w:sz="2" w:space="0" w:color="000000"/>
            </w:tcBorders>
            <w:shd w:fill="auto" w:val="clear"/>
            <w:tcMar>
              <w:bottom w:w="28" w:type="dxa"/>
            </w:tcM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VFS</w:t>
            </w:r>
          </w:p>
        </w:tc>
        <w:tc>
          <w:tcPr>
            <w:tcW w:w="127" w:type="dxa"/>
            <w:tcBorders>
              <w:bottom w:val="single" w:sz="2" w:space="0" w:color="000000"/>
            </w:tcBorders>
            <w:shd w:fill="auto" w:val="clear"/>
            <w:tcMar>
              <w:bottom w:w="28" w:type="dxa"/>
            </w:tcMar>
            <w:vAlign w:val="bottom"/>
          </w:tcPr>
          <w:p>
            <w:pPr>
              <w:pStyle w:val="TableContents"/>
              <w:spacing w:before="0" w:after="283"/>
              <w:rPr/>
            </w:pPr>
            <w:r>
              <w:rPr/>
              <w:t> </w:t>
            </w:r>
          </w:p>
        </w:tc>
        <w:tc>
          <w:tcPr>
            <w:tcW w:w="345" w:type="dxa"/>
            <w:tcBorders>
              <w:bottom w:val="single" w:sz="2" w:space="0" w:color="000000"/>
            </w:tcBorders>
            <w:shd w:fill="auto" w:val="clear"/>
            <w:tcMar>
              <w:bottom w:w="28" w:type="dxa"/>
            </w:tcM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pPr>
            <w:r>
              <w:rPr/>
              <w:t>Adjustments</w:t>
            </w:r>
          </w:p>
        </w:tc>
        <w:tc>
          <w:tcPr>
            <w:tcW w:w="126" w:type="dxa"/>
            <w:tcBorders>
              <w:bottom w:val="single" w:sz="2" w:space="0" w:color="000000"/>
            </w:tcBorders>
            <w:shd w:fill="auto" w:val="clear"/>
            <w:tcMar>
              <w:bottom w:w="28" w:type="dxa"/>
            </w:tcMar>
            <w:vAlign w:val="bottom"/>
          </w:tcPr>
          <w:p>
            <w:pPr>
              <w:pStyle w:val="TableContents"/>
              <w:spacing w:before="0" w:after="283"/>
              <w:rPr/>
            </w:pPr>
            <w:r>
              <w:rPr/>
              <w:t> </w:t>
            </w:r>
          </w:p>
        </w:tc>
        <w:tc>
          <w:tcPr>
            <w:tcW w:w="345" w:type="dxa"/>
            <w:tcBorders>
              <w:bottom w:val="single" w:sz="2" w:space="0" w:color="000000"/>
            </w:tcBorders>
            <w:shd w:fill="auto" w:val="clear"/>
            <w:tcMar>
              <w:bottom w:w="28" w:type="dxa"/>
            </w:tcM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pPr>
            <w:r>
              <w:rPr/>
              <w:t>Combined</w:t>
            </w:r>
          </w:p>
        </w:tc>
        <w:tc>
          <w:tcPr>
            <w:tcW w:w="134"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5720" w:type="dxa"/>
            <w:gridSpan w:val="14"/>
            <w:tcBorders/>
            <w:shd w:fill="auto" w:val="clear"/>
            <w:vAlign w:val="bottom"/>
          </w:tcPr>
          <w:p>
            <w:pPr>
              <w:pStyle w:val="TableContents"/>
              <w:spacing w:before="0" w:after="283"/>
              <w:jc w:val="center"/>
              <w:rPr>
                <w:i/>
              </w:rPr>
            </w:pPr>
            <w:r>
              <w:rPr>
                <w:i/>
              </w:rPr>
              <w:t>(In thousands)</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225" w:right="0" w:hanging="225"/>
              <w:rPr/>
            </w:pPr>
            <w:r>
              <w:rPr/>
              <w:t>Assets: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Current assets: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Cash and cash equivalents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64" w:type="dxa"/>
            <w:tcBorders/>
            <w:shd w:fill="CCEEFF" w:val="clear"/>
            <w:vAlign w:val="bottom"/>
          </w:tcPr>
          <w:p>
            <w:pPr>
              <w:pStyle w:val="TableContents"/>
              <w:spacing w:before="0" w:after="283"/>
              <w:jc w:val="right"/>
              <w:rPr/>
            </w:pPr>
            <w:r>
              <w:rPr/>
              <w:t>35,551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316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(20,000</w:t>
            </w:r>
          </w:p>
        </w:tc>
        <w:tc>
          <w:tcPr>
            <w:tcW w:w="12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16" w:type="dxa"/>
            <w:tcBorders/>
            <w:shd w:fill="CCEEFF" w:val="clear"/>
            <w:vAlign w:val="bottom"/>
          </w:tcPr>
          <w:p>
            <w:pPr>
              <w:pStyle w:val="TableContents"/>
              <w:spacing w:before="0" w:after="283"/>
              <w:jc w:val="right"/>
              <w:rPr/>
            </w:pPr>
            <w:r>
              <w:rPr/>
              <w:t>15,867</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Pawn loans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56,701</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15,046</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71,747</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Payday loans, net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5,290</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5,290</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Pawn service charges receivable, net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8,983</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2,941</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11,924</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Signature loan fees receivable, net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4,781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4,781</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Inventory, net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35,999</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12,360</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48,359</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Deferred tax asset, net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9,006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4,141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13,147</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Federal income tax receivable</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11</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17" w:type="dxa"/>
            <w:tcBorders/>
            <w:shd w:fill="auto" w:val="clear"/>
            <w:vAlign w:val="bottom"/>
          </w:tcPr>
          <w:p>
            <w:pPr>
              <w:pStyle w:val="TableContents"/>
              <w:spacing w:before="0" w:after="283"/>
              <w:jc w:val="right"/>
              <w:rPr/>
            </w:pPr>
            <w:r>
              <w:rPr/>
              <w:t>(11</w:t>
            </w:r>
          </w:p>
        </w:tc>
        <w:tc>
          <w:tcPr>
            <w:tcW w:w="12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Prepaid expenses and other assets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7,281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1,631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8,912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auto" w:val="clear"/>
            <w:vAlign w:val="bottom"/>
          </w:tcPr>
          <w:p>
            <w:pPr>
              <w:pStyle w:val="TableContents"/>
              <w:spacing w:before="0" w:after="0"/>
              <w:ind w:left="900" w:right="0" w:hanging="225"/>
              <w:rPr/>
            </w:pPr>
            <w:r>
              <w:rPr/>
              <w:t>Total current assets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163,592</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36,446</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17" w:type="dxa"/>
            <w:tcBorders/>
            <w:shd w:fill="auto" w:val="clear"/>
            <w:vAlign w:val="bottom"/>
          </w:tcPr>
          <w:p>
            <w:pPr>
              <w:pStyle w:val="TableContents"/>
              <w:spacing w:before="0" w:after="283"/>
              <w:jc w:val="right"/>
              <w:rPr/>
            </w:pPr>
            <w:r>
              <w:rPr/>
              <w:t>(20,011</w:t>
            </w:r>
          </w:p>
        </w:tc>
        <w:tc>
          <w:tcPr>
            <w:tcW w:w="12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180,027</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225" w:right="0" w:hanging="225"/>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450" w:right="0" w:hanging="225"/>
              <w:rPr/>
            </w:pPr>
            <w:r>
              <w:rPr/>
              <w:t>Investment in unconsolidated affiliate</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36,904</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36,904</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Property and equipment, net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38,413</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7,802</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46,215</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450" w:right="0" w:hanging="225"/>
              <w:rPr/>
            </w:pPr>
            <w:r>
              <w:rPr/>
              <w:t>Deferred tax asset, non-current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5,346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3,676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9,022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Goodwill</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24,422</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4,874</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54,022</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83,318</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450" w:right="0" w:hanging="225"/>
              <w:rPr/>
            </w:pPr>
            <w:r>
              <w:rPr/>
              <w:t>Other assets, net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5,350</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322</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6,860</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12,532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Total assets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64" w:type="dxa"/>
            <w:tcBorders/>
            <w:shd w:fill="auto" w:val="clear"/>
            <w:vAlign w:val="bottom"/>
          </w:tcPr>
          <w:p>
            <w:pPr>
              <w:pStyle w:val="TableContents"/>
              <w:spacing w:before="0" w:after="283"/>
              <w:jc w:val="right"/>
              <w:rPr/>
            </w:pPr>
            <w:r>
              <w:rPr/>
              <w:t>274,027</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53,120</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40,871</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368,018</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auto" w:val="clear"/>
            <w:vAlign w:val="bottom"/>
          </w:tcPr>
          <w:p>
            <w:pPr>
              <w:pStyle w:val="TableContents"/>
              <w:spacing w:before="0" w:after="0"/>
              <w:ind w:left="225" w:right="0" w:hanging="225"/>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225" w:right="0" w:hanging="225"/>
              <w:rPr/>
            </w:pPr>
            <w:r>
              <w:rPr/>
              <w:t>Liabilities and stockholders equity:</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Current liabilities: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Accounts payable and other accrued expenses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64" w:type="dxa"/>
            <w:tcBorders/>
            <w:shd w:fill="CCEEFF" w:val="clear"/>
            <w:vAlign w:val="bottom"/>
          </w:tcPr>
          <w:p>
            <w:pPr>
              <w:pStyle w:val="TableContents"/>
              <w:spacing w:before="0" w:after="283"/>
              <w:jc w:val="right"/>
              <w:rPr/>
            </w:pPr>
            <w:r>
              <w:rPr/>
              <w:t>22,202</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6,109</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16" w:type="dxa"/>
            <w:tcBorders/>
            <w:shd w:fill="CCEEFF" w:val="clear"/>
            <w:vAlign w:val="bottom"/>
          </w:tcPr>
          <w:p>
            <w:pPr>
              <w:pStyle w:val="TableContents"/>
              <w:spacing w:before="0" w:after="283"/>
              <w:jc w:val="right"/>
              <w:rPr/>
            </w:pPr>
            <w:r>
              <w:rPr/>
              <w:t>28,311</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Customer layaway deposits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2,456</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842</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3,298</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Federal income taxes payable</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2,363</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(11</w:t>
            </w:r>
          </w:p>
        </w:tc>
        <w:tc>
          <w:tcPr>
            <w:tcW w:w="12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2,352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Current maturities of long-term debt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4,068</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5,932</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10,000</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900" w:right="0" w:hanging="225"/>
              <w:rPr/>
            </w:pPr>
            <w:r>
              <w:rPr/>
              <w:t>Total current liabilities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27,021</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11,019</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5,921</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43,961</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225" w:right="0" w:hanging="225"/>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Long-term debt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20,729</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34,869</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55,598</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450" w:right="0" w:hanging="225"/>
              <w:rPr/>
            </w:pPr>
            <w:r>
              <w:rPr/>
              <w:t>Interest rate swap liability</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800</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800</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Deferred gains and other long-term liabilities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3,003</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357</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3,360</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900" w:right="0" w:hanging="225"/>
              <w:rPr/>
            </w:pPr>
            <w:r>
              <w:rPr/>
              <w:t>Total long-term liabilities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3,003</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21,886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34,869</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59,758</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225" w:right="0" w:hanging="225"/>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Commitments and contingencies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900" w:right="0" w:hanging="225"/>
              <w:rPr/>
            </w:pPr>
            <w:r>
              <w:rPr/>
              <w:t>Total liabilities</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30,024</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32,905</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40,790</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103,719</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225" w:right="0" w:hanging="225"/>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450" w:right="0" w:hanging="225"/>
              <w:rPr/>
            </w:pPr>
            <w:r>
              <w:rPr/>
              <w:t>Stockholders equity:</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Preferred Stock</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59</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(59</w:t>
            </w:r>
          </w:p>
        </w:tc>
        <w:tc>
          <w:tcPr>
            <w:tcW w:w="12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Class A Non-voting Common Stock</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384</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16</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400</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Class B Voting Common Stock</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30</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30</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Additional paid-in capital</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133,430</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55,581</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17" w:type="dxa"/>
            <w:tcBorders/>
            <w:shd w:fill="auto" w:val="clear"/>
            <w:vAlign w:val="bottom"/>
          </w:tcPr>
          <w:p>
            <w:pPr>
              <w:pStyle w:val="TableContents"/>
              <w:spacing w:before="0" w:after="283"/>
              <w:jc w:val="right"/>
              <w:rPr/>
            </w:pPr>
            <w:r>
              <w:rPr/>
              <w:t>(35,301</w:t>
            </w:r>
          </w:p>
        </w:tc>
        <w:tc>
          <w:tcPr>
            <w:tcW w:w="12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153,710</w:t>
            </w:r>
          </w:p>
        </w:tc>
        <w:tc>
          <w:tcPr>
            <w:tcW w:w="134" w:type="dxa"/>
            <w:tcBorders/>
            <w:shd w:fill="auto" w:val="clear"/>
            <w:vAlign w:val="bottom"/>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675" w:right="0" w:hanging="225"/>
              <w:rPr/>
            </w:pPr>
            <w:r>
              <w:rPr/>
              <w:t>Cumulative effect of adopting a new accounting principle</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64" w:type="dxa"/>
            <w:tcBorders/>
            <w:shd w:fill="CCEEFF" w:val="clear"/>
            <w:vAlign w:val="bottom"/>
          </w:tcPr>
          <w:p>
            <w:pPr>
              <w:pStyle w:val="TableContents"/>
              <w:spacing w:before="0" w:after="283"/>
              <w:jc w:val="right"/>
              <w:rPr/>
            </w:pPr>
            <w:r>
              <w:rPr/>
              <w:t>(106</w:t>
            </w:r>
          </w:p>
        </w:tc>
        <w:tc>
          <w:tcPr>
            <w:tcW w:w="127"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916" w:type="dxa"/>
            <w:tcBorders/>
            <w:shd w:fill="CCEEFF" w:val="clear"/>
            <w:vAlign w:val="bottom"/>
          </w:tcPr>
          <w:p>
            <w:pPr>
              <w:pStyle w:val="TableContents"/>
              <w:spacing w:before="0" w:after="283"/>
              <w:jc w:val="right"/>
              <w:rPr/>
            </w:pPr>
            <w:r>
              <w:rPr/>
              <w:t>(106</w:t>
            </w:r>
          </w:p>
        </w:tc>
        <w:tc>
          <w:tcPr>
            <w:tcW w:w="134" w:type="dxa"/>
            <w:tcBorders/>
            <w:shd w:fill="CCEEFF" w:val="clear"/>
            <w:vAlign w:val="bottom"/>
          </w:tcPr>
          <w:p>
            <w:pPr>
              <w:pStyle w:val="TableContents"/>
              <w:spacing w:before="0" w:after="283"/>
              <w:rPr/>
            </w:pPr>
            <w:r>
              <w:rPr/>
              <w:t>)</w:t>
            </w:r>
          </w:p>
        </w:tc>
      </w:tr>
      <w:tr>
        <w:trPr/>
        <w:tc>
          <w:tcPr>
            <w:tcW w:w="4006" w:type="dxa"/>
            <w:tcBorders/>
            <w:shd w:fill="auto" w:val="clear"/>
            <w:vAlign w:val="bottom"/>
          </w:tcPr>
          <w:p>
            <w:pPr>
              <w:pStyle w:val="TableContents"/>
              <w:spacing w:before="0" w:after="0"/>
              <w:ind w:left="675" w:right="0" w:hanging="225"/>
              <w:rPr/>
            </w:pPr>
            <w:r>
              <w:rPr/>
              <w:t>Retained earnings (accumulated deficit)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107,418</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(35,425</w:t>
            </w:r>
          </w:p>
        </w:tc>
        <w:tc>
          <w:tcPr>
            <w:tcW w:w="127"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35,425</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107,418</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225" w:right="0" w:hanging="225"/>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241,156</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20,215</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81</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261,452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bottom"/>
          </w:tcPr>
          <w:p>
            <w:pPr>
              <w:pStyle w:val="TableContents"/>
              <w:spacing w:before="0" w:after="0"/>
              <w:ind w:left="675" w:right="0" w:hanging="225"/>
              <w:rPr/>
            </w:pPr>
            <w:r>
              <w:rPr/>
              <w:t>Treasury stock, at cost (27,099 shares)</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(35</w:t>
            </w:r>
          </w:p>
        </w:tc>
        <w:tc>
          <w:tcPr>
            <w:tcW w:w="127"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916" w:type="dxa"/>
            <w:tcBorders/>
            <w:shd w:fill="auto" w:val="clear"/>
            <w:vAlign w:val="bottom"/>
          </w:tcPr>
          <w:p>
            <w:pPr>
              <w:pStyle w:val="TableContents"/>
              <w:spacing w:before="0" w:after="283"/>
              <w:jc w:val="right"/>
              <w:rPr/>
            </w:pPr>
            <w:r>
              <w:rPr/>
              <w:t>(35</w:t>
            </w:r>
          </w:p>
        </w:tc>
        <w:tc>
          <w:tcPr>
            <w:tcW w:w="134" w:type="dxa"/>
            <w:tcBorders/>
            <w:shd w:fill="auto" w:val="clear"/>
            <w:vAlign w:val="bottom"/>
          </w:tcPr>
          <w:p>
            <w:pPr>
              <w:pStyle w:val="TableContents"/>
              <w:spacing w:before="0" w:after="283"/>
              <w:rPr/>
            </w:pPr>
            <w:r>
              <w:rPr/>
              <w:t>)</w:t>
            </w:r>
          </w:p>
        </w:tc>
      </w:tr>
      <w:tr>
        <w:trPr/>
        <w:tc>
          <w:tcPr>
            <w:tcW w:w="4006" w:type="dxa"/>
            <w:tcBorders/>
            <w:shd w:fill="CCEEFF" w:val="clear"/>
            <w:vAlign w:val="bottom"/>
          </w:tcPr>
          <w:p>
            <w:pPr>
              <w:pStyle w:val="TableContents"/>
              <w:spacing w:before="0" w:after="0"/>
              <w:ind w:left="675" w:right="0" w:hanging="225"/>
              <w:rPr/>
            </w:pPr>
            <w:r>
              <w:rPr/>
              <w:t>Accumulated other comprehensive income</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2,882</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2,882</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auto" w:val="clear"/>
            <w:vAlign w:val="bottom"/>
          </w:tcPr>
          <w:p>
            <w:pPr>
              <w:pStyle w:val="TableContents"/>
              <w:spacing w:before="0" w:after="0"/>
              <w:ind w:left="900" w:right="0" w:hanging="225"/>
              <w:rPr/>
            </w:pPr>
            <w:r>
              <w:rPr/>
              <w:t>Total stockholders equity</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244,003</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20,215</w:t>
            </w:r>
          </w:p>
        </w:tc>
        <w:tc>
          <w:tcPr>
            <w:tcW w:w="12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81</w:t>
            </w:r>
          </w:p>
        </w:tc>
        <w:tc>
          <w:tcPr>
            <w:tcW w:w="12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264,299</w:t>
            </w:r>
          </w:p>
        </w:tc>
        <w:tc>
          <w:tcPr>
            <w:tcW w:w="134" w:type="dxa"/>
            <w:tcBorders/>
            <w:shd w:fill="auto"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4006" w:type="dxa"/>
            <w:tcBorders/>
            <w:shd w:fill="CCEEFF" w:val="clear"/>
            <w:vAlign w:val="bottom"/>
          </w:tcPr>
          <w:p>
            <w:pPr>
              <w:pStyle w:val="TableContents"/>
              <w:spacing w:before="0" w:after="0"/>
              <w:ind w:left="450" w:right="0" w:hanging="225"/>
              <w:rPr/>
            </w:pPr>
            <w:r>
              <w:rPr/>
              <w:t>Total liabilities and stockholders equity</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64" w:type="dxa"/>
            <w:tcBorders/>
            <w:shd w:fill="CCEEFF" w:val="clear"/>
            <w:vAlign w:val="bottom"/>
          </w:tcPr>
          <w:p>
            <w:pPr>
              <w:pStyle w:val="TableContents"/>
              <w:spacing w:before="0" w:after="283"/>
              <w:jc w:val="right"/>
              <w:rPr/>
            </w:pPr>
            <w:r>
              <w:rPr/>
              <w:t>274,027</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53,120</w:t>
            </w:r>
          </w:p>
        </w:tc>
        <w:tc>
          <w:tcPr>
            <w:tcW w:w="12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40,871</w:t>
            </w:r>
          </w:p>
        </w:tc>
        <w:tc>
          <w:tcPr>
            <w:tcW w:w="12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16" w:type="dxa"/>
            <w:tcBorders/>
            <w:shd w:fill="CCEEFF" w:val="clear"/>
            <w:vAlign w:val="bottom"/>
          </w:tcPr>
          <w:p>
            <w:pPr>
              <w:pStyle w:val="TableContents"/>
              <w:spacing w:before="0" w:after="283"/>
              <w:jc w:val="right"/>
              <w:rPr/>
            </w:pPr>
            <w:r>
              <w:rPr/>
              <w:t>368,018</w:t>
            </w:r>
          </w:p>
        </w:tc>
        <w:tc>
          <w:tcPr>
            <w:tcW w:w="134" w:type="dxa"/>
            <w:tcBorders/>
            <w:shd w:fill="CCEEFF" w:val="clear"/>
            <w:vAlign w:val="bottom"/>
          </w:tcPr>
          <w:p>
            <w:pPr>
              <w:pStyle w:val="TableContents"/>
              <w:spacing w:before="0" w:after="283"/>
              <w:rPr/>
            </w:pPr>
            <w:r>
              <w:rPr/>
              <w:t> </w:t>
            </w:r>
          </w:p>
        </w:tc>
      </w:tr>
      <w:tr>
        <w:trPr/>
        <w:tc>
          <w:tcPr>
            <w:tcW w:w="4006"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A to Pro Forma Combined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br/>
        <w:t>Pro Forma Combined Statement of Operations for the Year Ended September 30, 2007</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990"/>
        <w:gridCol w:w="302"/>
        <w:gridCol w:w="158"/>
        <w:gridCol w:w="870"/>
        <w:gridCol w:w="124"/>
        <w:gridCol w:w="302"/>
        <w:gridCol w:w="158"/>
        <w:gridCol w:w="870"/>
        <w:gridCol w:w="97"/>
        <w:gridCol w:w="302"/>
        <w:gridCol w:w="217"/>
        <w:gridCol w:w="1014"/>
        <w:gridCol w:w="124"/>
        <w:gridCol w:w="301"/>
        <w:gridCol w:w="129"/>
        <w:gridCol w:w="619"/>
        <w:gridCol w:w="97"/>
        <w:gridCol w:w="302"/>
        <w:gridCol w:w="167"/>
        <w:gridCol w:w="926"/>
        <w:gridCol w:w="136"/>
      </w:tblGrid>
      <w:tr>
        <w:trPr/>
        <w:tc>
          <w:tcPr>
            <w:tcW w:w="29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jc w:val="center"/>
              <w:rPr/>
            </w:pPr>
            <w:r>
              <w:rPr/>
              <w:t>As</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jc w:val="center"/>
              <w:rPr/>
            </w:pPr>
            <w:r>
              <w:rPr/>
              <w:t>Pro Forma</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093" w:type="dxa"/>
            <w:gridSpan w:val="2"/>
            <w:tcBorders/>
            <w:shd w:fill="auto" w:val="clear"/>
            <w:vAlign w:val="bottom"/>
          </w:tcPr>
          <w:p>
            <w:pPr>
              <w:pStyle w:val="TableContents"/>
              <w:spacing w:before="0" w:after="283"/>
              <w:jc w:val="center"/>
              <w:rPr/>
            </w:pPr>
            <w:r>
              <w:rPr/>
              <w:t>Pro Forma</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Reported</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02" w:type="dxa"/>
            <w:tcBorders>
              <w:bottom w:val="single" w:sz="2" w:space="0" w:color="000000"/>
            </w:tcBorders>
            <w:shd w:fill="auto" w:val="clear"/>
            <w:tcMar>
              <w:bottom w:w="28" w:type="dxa"/>
            </w:tcM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VFS</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302" w:type="dxa"/>
            <w:tcBorders>
              <w:bottom w:val="single" w:sz="2" w:space="0" w:color="000000"/>
            </w:tcBorders>
            <w:shd w:fill="auto" w:val="clear"/>
            <w:tcMar>
              <w:bottom w:w="28" w:type="dxa"/>
            </w:tcMar>
            <w:vAlign w:val="bottom"/>
          </w:tcPr>
          <w:p>
            <w:pPr>
              <w:pStyle w:val="TableContents"/>
              <w:spacing w:before="0" w:after="283"/>
              <w:rPr/>
            </w:pPr>
            <w:r>
              <w:rPr/>
              <w:t> </w:t>
            </w:r>
          </w:p>
        </w:tc>
        <w:tc>
          <w:tcPr>
            <w:tcW w:w="1231" w:type="dxa"/>
            <w:gridSpan w:val="2"/>
            <w:tcBorders>
              <w:bottom w:val="single" w:sz="2" w:space="0" w:color="000000"/>
            </w:tcBorders>
            <w:shd w:fill="auto" w:val="clear"/>
            <w:tcMar>
              <w:bottom w:w="28" w:type="dxa"/>
            </w:tcMar>
            <w:vAlign w:val="bottom"/>
          </w:tcPr>
          <w:p>
            <w:pPr>
              <w:pStyle w:val="TableContents"/>
              <w:spacing w:before="0" w:after="283"/>
              <w:jc w:val="center"/>
              <w:rPr/>
            </w:pPr>
            <w:r>
              <w:rPr/>
              <w:t>Adjustments</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01" w:type="dxa"/>
            <w:tcBorders>
              <w:bottom w:val="single" w:sz="2" w:space="0" w:color="000000"/>
            </w:tcBorders>
            <w:shd w:fill="auto" w:val="clear"/>
            <w:tcMar>
              <w:bottom w:w="28" w:type="dxa"/>
            </w:tcMar>
            <w:vAlign w:val="bottom"/>
          </w:tcPr>
          <w:p>
            <w:pPr>
              <w:pStyle w:val="TableContents"/>
              <w:spacing w:before="0" w:after="283"/>
              <w:rPr/>
            </w:pPr>
            <w:r>
              <w:rPr/>
              <w:t> </w:t>
            </w:r>
          </w:p>
        </w:tc>
        <w:tc>
          <w:tcPr>
            <w:tcW w:w="748" w:type="dxa"/>
            <w:gridSpan w:val="2"/>
            <w:tcBorders>
              <w:bottom w:val="single" w:sz="2" w:space="0" w:color="000000"/>
            </w:tcBorders>
            <w:shd w:fill="auto" w:val="clear"/>
            <w:tcMar>
              <w:bottom w:w="28" w:type="dxa"/>
            </w:tcMar>
            <w:vAlign w:val="bottom"/>
          </w:tcPr>
          <w:p>
            <w:pPr>
              <w:pStyle w:val="TableContents"/>
              <w:spacing w:before="0" w:after="283"/>
              <w:jc w:val="center"/>
              <w:rPr/>
            </w:pPr>
            <w:r>
              <w:rPr/>
              <w:t>Notes</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302" w:type="dxa"/>
            <w:tcBorders>
              <w:bottom w:val="single" w:sz="2" w:space="0" w:color="000000"/>
            </w:tcBorders>
            <w:shd w:fill="auto" w:val="clear"/>
            <w:tcMar>
              <w:bottom w:w="28" w:type="dxa"/>
            </w:tcMar>
            <w:vAlign w:val="bottom"/>
          </w:tcPr>
          <w:p>
            <w:pPr>
              <w:pStyle w:val="TableContents"/>
              <w:spacing w:before="0" w:after="283"/>
              <w:rPr/>
            </w:pPr>
            <w:r>
              <w:rPr/>
              <w:t> </w:t>
            </w:r>
          </w:p>
        </w:tc>
        <w:tc>
          <w:tcPr>
            <w:tcW w:w="1093" w:type="dxa"/>
            <w:gridSpan w:val="2"/>
            <w:tcBorders>
              <w:bottom w:val="single" w:sz="2" w:space="0" w:color="000000"/>
            </w:tcBorders>
            <w:shd w:fill="auto" w:val="clear"/>
            <w:tcMar>
              <w:bottom w:w="28" w:type="dxa"/>
            </w:tcMar>
            <w:vAlign w:val="bottom"/>
          </w:tcPr>
          <w:p>
            <w:pPr>
              <w:pStyle w:val="TableContents"/>
              <w:spacing w:before="0" w:after="283"/>
              <w:jc w:val="center"/>
              <w:rPr/>
            </w:pPr>
            <w:r>
              <w:rPr/>
              <w:t>Combined</w:t>
            </w:r>
          </w:p>
        </w:tc>
        <w:tc>
          <w:tcPr>
            <w:tcW w:w="136"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777" w:type="dxa"/>
            <w:gridSpan w:val="18"/>
            <w:tcBorders/>
            <w:shd w:fill="auto" w:val="clear"/>
            <w:vAlign w:val="bottom"/>
          </w:tcPr>
          <w:p>
            <w:pPr>
              <w:pStyle w:val="TableContents"/>
              <w:spacing w:before="0" w:after="283"/>
              <w:jc w:val="center"/>
              <w:rPr>
                <w:i/>
              </w:rPr>
            </w:pPr>
            <w:r>
              <w:rPr>
                <w:i/>
              </w:rPr>
              <w:t>(In thousands, except per share amounts)</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Revenues:</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Sales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192,987</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72,027</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265,014</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Pawn service charges</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73,551</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27,417</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100,968</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Signature loan fees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104,347</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104,347</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Other</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1,330</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1,511</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2,841</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1125" w:right="0" w:hanging="225"/>
              <w:rPr/>
            </w:pPr>
            <w:r>
              <w:rPr/>
              <w:t>Total revenues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372,215</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100,955</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473,170</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Cost of goods sold</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118,007</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45,729</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163,736</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1125" w:right="0" w:hanging="225"/>
              <w:rPr/>
            </w:pPr>
            <w:r>
              <w:rPr/>
              <w:t>Net revenues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254,208</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55,226</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309,434</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Operating expenses:</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Operations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128,602</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32,215</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180</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19" w:type="dxa"/>
            <w:tcBorders/>
            <w:shd w:fill="auto" w:val="clear"/>
            <w:vAlign w:val="bottom"/>
          </w:tcPr>
          <w:p>
            <w:pPr>
              <w:pStyle w:val="TableContents"/>
              <w:spacing w:before="0" w:after="283"/>
              <w:jc w:val="center"/>
              <w:rPr>
                <w:b/>
              </w:rPr>
            </w:pPr>
            <w:r>
              <w:rPr>
                <w:b/>
              </w:rPr>
              <w:t>(B)</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160,997</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Signature loan bad debt</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28,508</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28,508</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Administrative</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31,749</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17,652</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19" w:type="dxa"/>
            <w:tcBorders/>
            <w:shd w:fill="auto" w:val="clear"/>
            <w:vAlign w:val="bottom"/>
          </w:tcPr>
          <w:p>
            <w:pPr>
              <w:pStyle w:val="TableContents"/>
              <w:spacing w:before="0" w:after="283"/>
              <w:jc w:val="center"/>
              <w:rPr>
                <w:b/>
              </w:rPr>
            </w:pPr>
            <w:r>
              <w:rPr>
                <w:b/>
              </w:rPr>
              <w:t>(C)</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49,401</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Depreciation and amortization</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9,812</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1,772</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11,584</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1125" w:right="0" w:hanging="225"/>
              <w:rPr/>
            </w:pPr>
            <w:r>
              <w:rPr/>
              <w:t>Total operating expenses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198,671</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51,639</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180</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250,490</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Operating income</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55,537</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3,587</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(180</w:t>
            </w:r>
          </w:p>
        </w:tc>
        <w:tc>
          <w:tcPr>
            <w:tcW w:w="124" w:type="dxa"/>
            <w:tcBorders/>
            <w:shd w:fill="CCEEFF" w:val="clear"/>
            <w:vAlign w:val="bottom"/>
          </w:tcPr>
          <w:p>
            <w:pPr>
              <w:pStyle w:val="TableContents"/>
              <w:spacing w:before="0" w:after="283"/>
              <w:rPr/>
            </w:pPr>
            <w:r>
              <w:rPr/>
              <w:t>)</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58,944</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Interest income</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(1,654</w:t>
            </w:r>
          </w:p>
        </w:tc>
        <w:tc>
          <w:tcPr>
            <w:tcW w:w="124" w:type="dxa"/>
            <w:tcBorders/>
            <w:shd w:fill="auto" w:val="clear"/>
            <w:vAlign w:val="bottom"/>
          </w:tcPr>
          <w:p>
            <w:pPr>
              <w:pStyle w:val="TableContents"/>
              <w:spacing w:before="0" w:after="283"/>
              <w:rPr/>
            </w:pPr>
            <w:r>
              <w:rPr/>
              <w:t>)</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926" w:type="dxa"/>
            <w:tcBorders/>
            <w:shd w:fill="auto" w:val="clear"/>
            <w:vAlign w:val="bottom"/>
          </w:tcPr>
          <w:p>
            <w:pPr>
              <w:pStyle w:val="TableContents"/>
              <w:spacing w:before="0" w:after="283"/>
              <w:jc w:val="right"/>
              <w:rPr/>
            </w:pPr>
            <w:r>
              <w:rPr/>
              <w:t>(1,654</w:t>
            </w:r>
          </w:p>
        </w:tc>
        <w:tc>
          <w:tcPr>
            <w:tcW w:w="136"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225" w:right="0" w:hanging="225"/>
              <w:rPr/>
            </w:pPr>
            <w:r>
              <w:rPr/>
              <w:t>Interest expense</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281</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1,504</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2,520</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19" w:type="dxa"/>
            <w:tcBorders/>
            <w:shd w:fill="CCEEFF" w:val="clear"/>
            <w:vAlign w:val="bottom"/>
          </w:tcPr>
          <w:p>
            <w:pPr>
              <w:pStyle w:val="TableContents"/>
              <w:spacing w:before="0" w:after="283"/>
              <w:jc w:val="center"/>
              <w:rPr>
                <w:b/>
              </w:rPr>
            </w:pPr>
            <w:r>
              <w:rPr>
                <w:b/>
              </w:rPr>
              <w:t>(D)</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4,305</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Equity in net income of unconsolidated affiliate</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(2,945</w:t>
            </w:r>
          </w:p>
        </w:tc>
        <w:tc>
          <w:tcPr>
            <w:tcW w:w="124" w:type="dxa"/>
            <w:tcBorders/>
            <w:shd w:fill="auto" w:val="clear"/>
            <w:vAlign w:val="bottom"/>
          </w:tcPr>
          <w:p>
            <w:pPr>
              <w:pStyle w:val="TableContents"/>
              <w:spacing w:before="0" w:after="283"/>
              <w:rPr/>
            </w:pPr>
            <w:r>
              <w:rPr/>
              <w:t>)</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926" w:type="dxa"/>
            <w:tcBorders/>
            <w:shd w:fill="auto" w:val="clear"/>
            <w:vAlign w:val="bottom"/>
          </w:tcPr>
          <w:p>
            <w:pPr>
              <w:pStyle w:val="TableContents"/>
              <w:spacing w:before="0" w:after="283"/>
              <w:jc w:val="right"/>
              <w:rPr/>
            </w:pPr>
            <w:r>
              <w:rPr/>
              <w:t>(2,945</w:t>
            </w:r>
          </w:p>
        </w:tc>
        <w:tc>
          <w:tcPr>
            <w:tcW w:w="136"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225" w:right="0" w:hanging="225"/>
              <w:rPr/>
            </w:pPr>
            <w:r>
              <w:rPr/>
              <w:t>(Gain) / loss on sale / disposal of assets</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(72</w:t>
            </w:r>
          </w:p>
        </w:tc>
        <w:tc>
          <w:tcPr>
            <w:tcW w:w="124" w:type="dxa"/>
            <w:tcBorders/>
            <w:shd w:fill="CCEEFF" w:val="clear"/>
            <w:vAlign w:val="bottom"/>
          </w:tcPr>
          <w:p>
            <w:pPr>
              <w:pStyle w:val="TableContents"/>
              <w:spacing w:before="0" w:after="283"/>
              <w:rPr/>
            </w:pPr>
            <w:r>
              <w:rPr/>
              <w:t>)</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243</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171</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Income before income taxes</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59,927</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1,840</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(2,700</w:t>
            </w:r>
          </w:p>
        </w:tc>
        <w:tc>
          <w:tcPr>
            <w:tcW w:w="124" w:type="dxa"/>
            <w:tcBorders/>
            <w:shd w:fill="auto" w:val="clear"/>
            <w:vAlign w:val="bottom"/>
          </w:tcPr>
          <w:p>
            <w:pPr>
              <w:pStyle w:val="TableContents"/>
              <w:spacing w:before="0" w:after="283"/>
              <w:rPr/>
            </w:pPr>
            <w:r>
              <w:rPr/>
              <w:t>)</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59,067</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Income tax expense</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22,053</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696</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(997</w:t>
            </w:r>
          </w:p>
        </w:tc>
        <w:tc>
          <w:tcPr>
            <w:tcW w:w="124" w:type="dxa"/>
            <w:tcBorders/>
            <w:shd w:fill="CCEEFF" w:val="clear"/>
            <w:vAlign w:val="bottom"/>
          </w:tcPr>
          <w:p>
            <w:pPr>
              <w:pStyle w:val="TableContents"/>
              <w:spacing w:before="0" w:after="283"/>
              <w:rPr/>
            </w:pPr>
            <w:r>
              <w:rPr/>
              <w:t>)</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19" w:type="dxa"/>
            <w:tcBorders/>
            <w:shd w:fill="CCEEFF" w:val="clear"/>
            <w:vAlign w:val="bottom"/>
          </w:tcPr>
          <w:p>
            <w:pPr>
              <w:pStyle w:val="TableContents"/>
              <w:spacing w:before="0" w:after="283"/>
              <w:jc w:val="center"/>
              <w:rPr>
                <w:b/>
              </w:rPr>
            </w:pPr>
            <w:r>
              <w:rPr>
                <w:b/>
              </w:rPr>
              <w:t>(E)</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21,752</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Net income</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37,874</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1,144</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(1,703</w:t>
            </w:r>
          </w:p>
        </w:tc>
        <w:tc>
          <w:tcPr>
            <w:tcW w:w="124" w:type="dxa"/>
            <w:tcBorders/>
            <w:shd w:fill="auto" w:val="clear"/>
            <w:vAlign w:val="bottom"/>
          </w:tcPr>
          <w:p>
            <w:pPr>
              <w:pStyle w:val="TableContents"/>
              <w:spacing w:before="0" w:after="283"/>
              <w:rPr/>
            </w:pPr>
            <w:r>
              <w:rPr/>
              <w:t>)</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37,315</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Net income per common share:</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pPr>
            <w:r>
              <w:rPr/>
              <w:t>Basic</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0.92</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0.87</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450" w:right="0" w:hanging="225"/>
              <w:rPr/>
            </w:pPr>
            <w:r>
              <w:rPr/>
              <w:t>Diluted</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0.88</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26" w:type="dxa"/>
            <w:tcBorders/>
            <w:shd w:fill="CCEEFF" w:val="clear"/>
            <w:vAlign w:val="bottom"/>
          </w:tcPr>
          <w:p>
            <w:pPr>
              <w:pStyle w:val="TableContents"/>
              <w:spacing w:before="0" w:after="283"/>
              <w:jc w:val="right"/>
              <w:rPr/>
            </w:pPr>
            <w:r>
              <w:rPr/>
              <w:t>0.83</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1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Weighted average shares outstanding:</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450" w:right="0" w:hanging="225"/>
              <w:rPr/>
            </w:pPr>
            <w:r>
              <w:rPr/>
              <w:t>Basic</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41,034</w:t>
            </w:r>
          </w:p>
        </w:tc>
        <w:tc>
          <w:tcPr>
            <w:tcW w:w="124"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1,625</w:t>
            </w:r>
          </w:p>
        </w:tc>
        <w:tc>
          <w:tcPr>
            <w:tcW w:w="12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19" w:type="dxa"/>
            <w:tcBorders/>
            <w:shd w:fill="CCEEFF" w:val="clear"/>
            <w:vAlign w:val="bottom"/>
          </w:tcPr>
          <w:p>
            <w:pPr>
              <w:pStyle w:val="TableContents"/>
              <w:spacing w:before="0" w:after="283"/>
              <w:jc w:val="center"/>
              <w:rPr>
                <w:b/>
              </w:rPr>
            </w:pPr>
            <w:r>
              <w:rPr>
                <w:b/>
              </w:rPr>
              <w:t>(F)</w:t>
            </w:r>
          </w:p>
        </w:tc>
        <w:tc>
          <w:tcPr>
            <w:tcW w:w="97"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42,659</w:t>
            </w:r>
          </w:p>
        </w:tc>
        <w:tc>
          <w:tcPr>
            <w:tcW w:w="136"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pPr>
            <w:r>
              <w:rPr/>
              <w:t>Diluted</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43,230</w:t>
            </w:r>
          </w:p>
        </w:tc>
        <w:tc>
          <w:tcPr>
            <w:tcW w:w="124"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1,625</w:t>
            </w:r>
          </w:p>
        </w:tc>
        <w:tc>
          <w:tcPr>
            <w:tcW w:w="1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19" w:type="dxa"/>
            <w:tcBorders/>
            <w:shd w:fill="auto" w:val="clear"/>
            <w:vAlign w:val="bottom"/>
          </w:tcPr>
          <w:p>
            <w:pPr>
              <w:pStyle w:val="TableContents"/>
              <w:spacing w:before="0" w:after="283"/>
              <w:jc w:val="center"/>
              <w:rPr>
                <w:b/>
              </w:rPr>
            </w:pPr>
            <w:r>
              <w:rPr>
                <w:b/>
              </w:rPr>
              <w:t>(F)</w:t>
            </w:r>
          </w:p>
        </w:tc>
        <w:tc>
          <w:tcPr>
            <w:tcW w:w="9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44,855</w:t>
            </w:r>
          </w:p>
        </w:tc>
        <w:tc>
          <w:tcPr>
            <w:tcW w:w="136"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Notes to Pro Forma Combined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br/>
        <w:t>Pro Forma Combined Statement of Operations for the Six Months Ended March 31, 2008</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009"/>
        <w:gridCol w:w="305"/>
        <w:gridCol w:w="158"/>
        <w:gridCol w:w="869"/>
        <w:gridCol w:w="124"/>
        <w:gridCol w:w="305"/>
        <w:gridCol w:w="158"/>
        <w:gridCol w:w="777"/>
        <w:gridCol w:w="97"/>
        <w:gridCol w:w="304"/>
        <w:gridCol w:w="217"/>
        <w:gridCol w:w="1012"/>
        <w:gridCol w:w="124"/>
        <w:gridCol w:w="305"/>
        <w:gridCol w:w="129"/>
        <w:gridCol w:w="620"/>
        <w:gridCol w:w="97"/>
        <w:gridCol w:w="305"/>
        <w:gridCol w:w="167"/>
        <w:gridCol w:w="923"/>
        <w:gridCol w:w="124"/>
        <w:gridCol w:w="76"/>
      </w:tblGrid>
      <w:tr>
        <w:trPr/>
        <w:tc>
          <w:tcPr>
            <w:tcW w:w="300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7" w:type="dxa"/>
            <w:gridSpan w:val="2"/>
            <w:tcBorders/>
            <w:shd w:fill="auto" w:val="clear"/>
            <w:vAlign w:val="bottom"/>
          </w:tcPr>
          <w:p>
            <w:pPr>
              <w:pStyle w:val="TableContents"/>
              <w:spacing w:before="0" w:after="283"/>
              <w:jc w:val="center"/>
              <w:rPr/>
            </w:pPr>
            <w:r>
              <w:rPr/>
              <w:t>As</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jc w:val="center"/>
              <w:rPr/>
            </w:pPr>
            <w:r>
              <w:rPr/>
              <w:t>Pro Forma</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Pro Forma</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pPr>
            <w:r>
              <w:rPr/>
              <w:t>Reported</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05" w:type="dxa"/>
            <w:tcBorders>
              <w:bottom w:val="single" w:sz="2" w:space="0" w:color="000000"/>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VFS</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304" w:type="dxa"/>
            <w:tcBorders>
              <w:bottom w:val="single" w:sz="2" w:space="0" w:color="000000"/>
            </w:tcBorders>
            <w:shd w:fill="auto" w:val="clear"/>
            <w:tcMar>
              <w:bottom w:w="28" w:type="dxa"/>
            </w:tcMar>
            <w:vAlign w:val="bottom"/>
          </w:tcPr>
          <w:p>
            <w:pPr>
              <w:pStyle w:val="TableContents"/>
              <w:spacing w:before="0" w:after="283"/>
              <w:rPr/>
            </w:pPr>
            <w:r>
              <w:rPr/>
              <w:t> </w:t>
            </w:r>
          </w:p>
        </w:tc>
        <w:tc>
          <w:tcPr>
            <w:tcW w:w="1229" w:type="dxa"/>
            <w:gridSpan w:val="2"/>
            <w:tcBorders>
              <w:bottom w:val="single" w:sz="2" w:space="0" w:color="000000"/>
            </w:tcBorders>
            <w:shd w:fill="auto" w:val="clear"/>
            <w:tcMar>
              <w:bottom w:w="28" w:type="dxa"/>
            </w:tcMar>
            <w:vAlign w:val="bottom"/>
          </w:tcPr>
          <w:p>
            <w:pPr>
              <w:pStyle w:val="TableContents"/>
              <w:spacing w:before="0" w:after="283"/>
              <w:jc w:val="center"/>
              <w:rPr/>
            </w:pPr>
            <w:r>
              <w:rPr/>
              <w:t>Adjustments</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05" w:type="dxa"/>
            <w:tcBorders>
              <w:bottom w:val="single" w:sz="2" w:space="0" w:color="000000"/>
            </w:tcBorders>
            <w:shd w:fill="auto" w:val="clear"/>
            <w:tcMar>
              <w:bottom w:w="28" w:type="dxa"/>
            </w:tcMar>
            <w:vAlign w:val="bottom"/>
          </w:tcPr>
          <w:p>
            <w:pPr>
              <w:pStyle w:val="TableContents"/>
              <w:spacing w:before="0" w:after="283"/>
              <w:rPr/>
            </w:pPr>
            <w:r>
              <w:rPr/>
              <w:t> </w:t>
            </w:r>
          </w:p>
        </w:tc>
        <w:tc>
          <w:tcPr>
            <w:tcW w:w="749" w:type="dxa"/>
            <w:gridSpan w:val="2"/>
            <w:tcBorders>
              <w:bottom w:val="single" w:sz="2" w:space="0" w:color="000000"/>
            </w:tcBorders>
            <w:shd w:fill="auto" w:val="clear"/>
            <w:tcMar>
              <w:bottom w:w="28" w:type="dxa"/>
            </w:tcMar>
            <w:vAlign w:val="bottom"/>
          </w:tcPr>
          <w:p>
            <w:pPr>
              <w:pStyle w:val="TableContents"/>
              <w:spacing w:before="0" w:after="283"/>
              <w:jc w:val="center"/>
              <w:rPr/>
            </w:pPr>
            <w:r>
              <w:rPr/>
              <w:t>Notes</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305" w:type="dxa"/>
            <w:tcBorders>
              <w:bottom w:val="single" w:sz="2" w:space="0" w:color="000000"/>
            </w:tcBorders>
            <w:shd w:fill="auto" w:val="clear"/>
            <w:tcMar>
              <w:bottom w:w="28" w:type="dxa"/>
            </w:tcMar>
            <w:vAlign w:val="bottom"/>
          </w:tcPr>
          <w:p>
            <w:pPr>
              <w:pStyle w:val="TableContents"/>
              <w:spacing w:before="0" w:after="283"/>
              <w:rPr/>
            </w:pPr>
            <w:r>
              <w:rPr/>
              <w:t> </w:t>
            </w:r>
          </w:p>
        </w:tc>
        <w:tc>
          <w:tcPr>
            <w:tcW w:w="1090" w:type="dxa"/>
            <w:gridSpan w:val="2"/>
            <w:tcBorders>
              <w:bottom w:val="single" w:sz="2" w:space="0" w:color="000000"/>
            </w:tcBorders>
            <w:shd w:fill="auto" w:val="clear"/>
            <w:tcMar>
              <w:bottom w:w="28" w:type="dxa"/>
            </w:tcMar>
            <w:vAlign w:val="bottom"/>
          </w:tcPr>
          <w:p>
            <w:pPr>
              <w:pStyle w:val="TableContents"/>
              <w:spacing w:before="0" w:after="283"/>
              <w:jc w:val="center"/>
              <w:rPr/>
            </w:pPr>
            <w:r>
              <w:rPr/>
              <w:t>Combined</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76"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00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6691" w:type="dxa"/>
            <w:gridSpan w:val="18"/>
            <w:tcBorders/>
            <w:shd w:fill="auto" w:val="clear"/>
            <w:vAlign w:val="bottom"/>
          </w:tcPr>
          <w:p>
            <w:pPr>
              <w:pStyle w:val="TableContents"/>
              <w:spacing w:before="0" w:after="283"/>
              <w:jc w:val="center"/>
              <w:rPr>
                <w:i/>
              </w:rPr>
            </w:pPr>
            <w:r>
              <w:rPr>
                <w:i/>
              </w:rPr>
              <w:t>(In thousands, except per share amounts)</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Revenues:</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675" w:right="0" w:hanging="225"/>
              <w:rPr/>
            </w:pPr>
            <w:r>
              <w:rPr/>
              <w:t>Sales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69" w:type="dxa"/>
            <w:tcBorders/>
            <w:shd w:fill="auto" w:val="clear"/>
            <w:vAlign w:val="bottom"/>
          </w:tcPr>
          <w:p>
            <w:pPr>
              <w:pStyle w:val="TableContents"/>
              <w:spacing w:before="0" w:after="283"/>
              <w:jc w:val="right"/>
              <w:rPr/>
            </w:pPr>
            <w:r>
              <w:rPr/>
              <w:t>116,837</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7" w:type="dxa"/>
            <w:tcBorders/>
            <w:shd w:fill="auto" w:val="clear"/>
            <w:vAlign w:val="bottom"/>
          </w:tcPr>
          <w:p>
            <w:pPr>
              <w:pStyle w:val="TableContents"/>
              <w:spacing w:before="0" w:after="283"/>
              <w:jc w:val="right"/>
              <w:rPr/>
            </w:pPr>
            <w:r>
              <w:rPr/>
              <w:t>46,397</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3" w:type="dxa"/>
            <w:tcBorders/>
            <w:shd w:fill="auto" w:val="clear"/>
            <w:vAlign w:val="bottom"/>
          </w:tcPr>
          <w:p>
            <w:pPr>
              <w:pStyle w:val="TableContents"/>
              <w:spacing w:before="0" w:after="283"/>
              <w:jc w:val="right"/>
              <w:rPr/>
            </w:pPr>
            <w:r>
              <w:rPr/>
              <w:t>163,234</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675" w:right="0" w:hanging="225"/>
              <w:rPr/>
            </w:pPr>
            <w:r>
              <w:rPr/>
              <w:t>Pawn service charges</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44,693</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14,953</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59,646</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675" w:right="0" w:hanging="225"/>
              <w:rPr/>
            </w:pPr>
            <w:r>
              <w:rPr/>
              <w:t>Signature loan fees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63,694</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63,694</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675" w:right="0" w:hanging="225"/>
              <w:rPr/>
            </w:pPr>
            <w:r>
              <w:rPr/>
              <w:t>Other</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707</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815</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1,522</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1125" w:right="0" w:hanging="225"/>
              <w:rPr/>
            </w:pPr>
            <w:r>
              <w:rPr/>
              <w:t>Total revenues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225,931</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62,165</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288,096</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Cost of goods sold</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70,272</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28,200</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98,472</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1125" w:right="0" w:hanging="225"/>
              <w:rPr/>
            </w:pPr>
            <w:r>
              <w:rPr/>
              <w:t>Net revenues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155,659</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33,965</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189,624</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Operating expenses:</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675" w:right="0" w:hanging="225"/>
              <w:rPr/>
            </w:pPr>
            <w:r>
              <w:rPr/>
              <w:t>Operations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74,592</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19,303</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90</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center"/>
              <w:rPr>
                <w:b/>
              </w:rPr>
            </w:pPr>
            <w:r>
              <w:rPr>
                <w:b/>
              </w:rPr>
              <w:t>(B)</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93,985</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675" w:right="0" w:hanging="225"/>
              <w:rPr/>
            </w:pPr>
            <w:r>
              <w:rPr/>
              <w:t>Signature loan bad debt</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16,302</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16,302</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675" w:right="0" w:hanging="225"/>
              <w:rPr/>
            </w:pPr>
            <w:r>
              <w:rPr/>
              <w:t>Administrative</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19,734</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8,632</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(1,507</w:t>
            </w:r>
          </w:p>
        </w:tc>
        <w:tc>
          <w:tcPr>
            <w:tcW w:w="124" w:type="dxa"/>
            <w:tcBorders/>
            <w:shd w:fill="auto" w:val="clear"/>
            <w:vAlign w:val="bottom"/>
          </w:tcPr>
          <w:p>
            <w:pPr>
              <w:pStyle w:val="TableContents"/>
              <w:spacing w:before="0" w:after="283"/>
              <w:rPr/>
            </w:pPr>
            <w:r>
              <w:rPr/>
              <w:t>)</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center"/>
              <w:rPr>
                <w:b/>
              </w:rPr>
            </w:pPr>
            <w:r>
              <w:rPr>
                <w:b/>
              </w:rPr>
              <w:t>(C)</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26,859</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675" w:right="0" w:hanging="225"/>
              <w:rPr/>
            </w:pPr>
            <w:r>
              <w:rPr/>
              <w:t>Depreciation and amortization</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5,946</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979</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6,925</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1125" w:right="0" w:hanging="225"/>
              <w:rPr/>
            </w:pPr>
            <w:r>
              <w:rPr/>
              <w:t>Total operating expenses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116,574</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28,914</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(1,417</w:t>
            </w:r>
          </w:p>
        </w:tc>
        <w:tc>
          <w:tcPr>
            <w:tcW w:w="124" w:type="dxa"/>
            <w:tcBorders/>
            <w:shd w:fill="auto" w:val="clear"/>
            <w:vAlign w:val="bottom"/>
          </w:tcPr>
          <w:p>
            <w:pPr>
              <w:pStyle w:val="TableContents"/>
              <w:spacing w:before="0" w:after="283"/>
              <w:rPr/>
            </w:pPr>
            <w:r>
              <w:rPr/>
              <w:t>)</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144,071</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Operating income</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39,085</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5,051</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1,417</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45,553</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Interest income</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69" w:type="dxa"/>
            <w:tcBorders/>
            <w:shd w:fill="auto" w:val="clear"/>
            <w:vAlign w:val="bottom"/>
          </w:tcPr>
          <w:p>
            <w:pPr>
              <w:pStyle w:val="TableContents"/>
              <w:spacing w:before="0" w:after="283"/>
              <w:jc w:val="right"/>
              <w:rPr/>
            </w:pPr>
            <w:r>
              <w:rPr/>
              <w:t>(194</w:t>
            </w:r>
          </w:p>
        </w:tc>
        <w:tc>
          <w:tcPr>
            <w:tcW w:w="124" w:type="dxa"/>
            <w:tcBorders/>
            <w:shd w:fill="auto" w:val="clear"/>
            <w:vAlign w:val="bottom"/>
          </w:tcPr>
          <w:p>
            <w:pPr>
              <w:pStyle w:val="TableContents"/>
              <w:spacing w:before="0" w:after="283"/>
              <w:rPr/>
            </w:pPr>
            <w:r>
              <w:rPr/>
              <w:t>)</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923" w:type="dxa"/>
            <w:tcBorders/>
            <w:shd w:fill="auto" w:val="clear"/>
            <w:vAlign w:val="bottom"/>
          </w:tcPr>
          <w:p>
            <w:pPr>
              <w:pStyle w:val="TableContents"/>
              <w:spacing w:before="0" w:after="283"/>
              <w:jc w:val="right"/>
              <w:rPr/>
            </w:pPr>
            <w:r>
              <w:rPr/>
              <w:t>(194</w:t>
            </w:r>
          </w:p>
        </w:tc>
        <w:tc>
          <w:tcPr>
            <w:tcW w:w="124" w:type="dxa"/>
            <w:tcBorders/>
            <w:shd w:fill="auto" w:val="clear"/>
            <w:vAlign w:val="bottom"/>
          </w:tcPr>
          <w:p>
            <w:pPr>
              <w:pStyle w:val="TableContents"/>
              <w:spacing w:before="0" w:after="283"/>
              <w:rPr/>
            </w:pPr>
            <w:r>
              <w:rPr/>
              <w:t>)</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Interest expense</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156</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2,164</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(152</w:t>
            </w:r>
          </w:p>
        </w:tc>
        <w:tc>
          <w:tcPr>
            <w:tcW w:w="124" w:type="dxa"/>
            <w:tcBorders/>
            <w:shd w:fill="CCEEFF" w:val="clear"/>
            <w:vAlign w:val="bottom"/>
          </w:tcPr>
          <w:p>
            <w:pPr>
              <w:pStyle w:val="TableContents"/>
              <w:spacing w:before="0" w:after="283"/>
              <w:rPr/>
            </w:pPr>
            <w:r>
              <w:rPr/>
              <w:t>)</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center"/>
              <w:rPr>
                <w:b/>
              </w:rPr>
            </w:pPr>
            <w:r>
              <w:rPr>
                <w:b/>
              </w:rPr>
              <w:t>(D)</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2,168</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Equity in net income of unconsolidated affiliate</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69" w:type="dxa"/>
            <w:tcBorders/>
            <w:shd w:fill="auto" w:val="clear"/>
            <w:vAlign w:val="bottom"/>
          </w:tcPr>
          <w:p>
            <w:pPr>
              <w:pStyle w:val="TableContents"/>
              <w:spacing w:before="0" w:after="283"/>
              <w:jc w:val="right"/>
              <w:rPr/>
            </w:pPr>
            <w:r>
              <w:rPr/>
              <w:t>(2,165</w:t>
            </w:r>
          </w:p>
        </w:tc>
        <w:tc>
          <w:tcPr>
            <w:tcW w:w="124" w:type="dxa"/>
            <w:tcBorders/>
            <w:shd w:fill="auto" w:val="clear"/>
            <w:vAlign w:val="bottom"/>
          </w:tcPr>
          <w:p>
            <w:pPr>
              <w:pStyle w:val="TableContents"/>
              <w:spacing w:before="0" w:after="283"/>
              <w:rPr/>
            </w:pPr>
            <w:r>
              <w:rPr/>
              <w:t>)</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923" w:type="dxa"/>
            <w:tcBorders/>
            <w:shd w:fill="auto" w:val="clear"/>
            <w:vAlign w:val="bottom"/>
          </w:tcPr>
          <w:p>
            <w:pPr>
              <w:pStyle w:val="TableContents"/>
              <w:spacing w:before="0" w:after="283"/>
              <w:jc w:val="right"/>
              <w:rPr/>
            </w:pPr>
            <w:r>
              <w:rPr/>
              <w:t>(2,165</w:t>
            </w:r>
          </w:p>
        </w:tc>
        <w:tc>
          <w:tcPr>
            <w:tcW w:w="124" w:type="dxa"/>
            <w:tcBorders/>
            <w:shd w:fill="auto" w:val="clear"/>
            <w:vAlign w:val="bottom"/>
          </w:tcPr>
          <w:p>
            <w:pPr>
              <w:pStyle w:val="TableContents"/>
              <w:spacing w:before="0" w:after="283"/>
              <w:rPr/>
            </w:pPr>
            <w:r>
              <w:rPr/>
              <w:t>)</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(Gain) / loss on sale / disposal of assets</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243</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52</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295</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Income before income taxes</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41,045</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2,835</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1,569</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45,449</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Income tax expense</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15,474</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1,131</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591</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center"/>
              <w:rPr>
                <w:b/>
              </w:rPr>
            </w:pPr>
            <w:r>
              <w:rPr>
                <w:b/>
              </w:rPr>
              <w:t>(E)</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17,196</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Net income</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69" w:type="dxa"/>
            <w:tcBorders/>
            <w:shd w:fill="auto" w:val="clear"/>
            <w:vAlign w:val="bottom"/>
          </w:tcPr>
          <w:p>
            <w:pPr>
              <w:pStyle w:val="TableContents"/>
              <w:spacing w:before="0" w:after="283"/>
              <w:jc w:val="right"/>
              <w:rPr/>
            </w:pPr>
            <w:r>
              <w:rPr/>
              <w:t>25,571</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7" w:type="dxa"/>
            <w:tcBorders/>
            <w:shd w:fill="auto" w:val="clear"/>
            <w:vAlign w:val="bottom"/>
          </w:tcPr>
          <w:p>
            <w:pPr>
              <w:pStyle w:val="TableContents"/>
              <w:spacing w:before="0" w:after="283"/>
              <w:jc w:val="right"/>
              <w:rPr/>
            </w:pPr>
            <w:r>
              <w:rPr/>
              <w:t>1,704</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978</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3" w:type="dxa"/>
            <w:tcBorders/>
            <w:shd w:fill="auto" w:val="clear"/>
            <w:vAlign w:val="bottom"/>
          </w:tcPr>
          <w:p>
            <w:pPr>
              <w:pStyle w:val="TableContents"/>
              <w:spacing w:before="0" w:after="283"/>
              <w:jc w:val="right"/>
              <w:rPr/>
            </w:pPr>
            <w:r>
              <w:rPr/>
              <w:t>28,253</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225" w:right="0" w:hanging="225"/>
              <w:rPr/>
            </w:pPr>
            <w:r>
              <w:rPr/>
              <w:t>Net income per common share:</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450" w:right="0" w:hanging="225"/>
              <w:rPr/>
            </w:pPr>
            <w:r>
              <w:rPr/>
              <w:t>Basic</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69" w:type="dxa"/>
            <w:tcBorders/>
            <w:shd w:fill="auto" w:val="clear"/>
            <w:vAlign w:val="bottom"/>
          </w:tcPr>
          <w:p>
            <w:pPr>
              <w:pStyle w:val="TableContents"/>
              <w:spacing w:before="0" w:after="283"/>
              <w:jc w:val="right"/>
              <w:rPr/>
            </w:pPr>
            <w:r>
              <w:rPr/>
              <w:t>0.62</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3" w:type="dxa"/>
            <w:tcBorders/>
            <w:shd w:fill="auto" w:val="clear"/>
            <w:vAlign w:val="bottom"/>
          </w:tcPr>
          <w:p>
            <w:pPr>
              <w:pStyle w:val="TableContents"/>
              <w:spacing w:before="0" w:after="283"/>
              <w:jc w:val="right"/>
              <w:rPr/>
            </w:pPr>
            <w:r>
              <w:rPr/>
              <w:t>0.66</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450" w:right="0" w:hanging="225"/>
              <w:rPr/>
            </w:pPr>
            <w:r>
              <w:rPr/>
              <w:t>Diluted</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69" w:type="dxa"/>
            <w:tcBorders/>
            <w:shd w:fill="CCEEFF" w:val="clear"/>
            <w:vAlign w:val="bottom"/>
          </w:tcPr>
          <w:p>
            <w:pPr>
              <w:pStyle w:val="TableContents"/>
              <w:spacing w:before="0" w:after="283"/>
              <w:jc w:val="right"/>
              <w:rPr/>
            </w:pPr>
            <w:r>
              <w:rPr/>
              <w:t>0.59</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23" w:type="dxa"/>
            <w:tcBorders/>
            <w:shd w:fill="CCEEFF" w:val="clear"/>
            <w:vAlign w:val="bottom"/>
          </w:tcPr>
          <w:p>
            <w:pPr>
              <w:pStyle w:val="TableContents"/>
              <w:spacing w:before="0" w:after="283"/>
              <w:jc w:val="right"/>
              <w:rPr/>
            </w:pPr>
            <w:r>
              <w:rPr/>
              <w:t>0.63</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center"/>
          </w:tcPr>
          <w:p>
            <w:pPr>
              <w:pStyle w:val="TableContents"/>
              <w:spacing w:before="0" w:after="0"/>
              <w:ind w:left="225" w:right="0" w:hanging="225"/>
              <w:rPr/>
            </w:pPr>
            <w:r>
              <w:rPr/>
              <w:t> </w:t>
            </w:r>
          </w:p>
        </w:tc>
        <w:tc>
          <w:tcPr>
            <w:tcW w:w="30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225" w:right="0" w:hanging="225"/>
              <w:rPr/>
            </w:pPr>
            <w:r>
              <w:rPr/>
              <w:t>Weighted average shares outstanding:</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3009" w:type="dxa"/>
            <w:tcBorders/>
            <w:shd w:fill="CCEEFF" w:val="clear"/>
            <w:vAlign w:val="bottom"/>
          </w:tcPr>
          <w:p>
            <w:pPr>
              <w:pStyle w:val="TableContents"/>
              <w:spacing w:before="0" w:after="0"/>
              <w:ind w:left="450" w:right="0" w:hanging="225"/>
              <w:rPr/>
            </w:pPr>
            <w:r>
              <w:rPr/>
              <w:t>Basic</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41,360</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1,625</w:t>
            </w:r>
          </w:p>
        </w:tc>
        <w:tc>
          <w:tcPr>
            <w:tcW w:w="12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center"/>
              <w:rPr>
                <w:b/>
              </w:rPr>
            </w:pPr>
            <w:r>
              <w:rPr>
                <w:b/>
              </w:rPr>
              <w:t>(F)</w:t>
            </w:r>
          </w:p>
        </w:tc>
        <w:tc>
          <w:tcPr>
            <w:tcW w:w="9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42,985</w:t>
            </w:r>
          </w:p>
        </w:tc>
        <w:tc>
          <w:tcPr>
            <w:tcW w:w="124"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3009" w:type="dxa"/>
            <w:tcBorders/>
            <w:shd w:fill="auto" w:val="clear"/>
            <w:vAlign w:val="bottom"/>
          </w:tcPr>
          <w:p>
            <w:pPr>
              <w:pStyle w:val="TableContents"/>
              <w:spacing w:before="0" w:after="0"/>
              <w:ind w:left="450" w:right="0" w:hanging="225"/>
              <w:rPr/>
            </w:pPr>
            <w:r>
              <w:rPr/>
              <w:t>Diluted</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43,241</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1,625</w:t>
            </w:r>
          </w:p>
        </w:tc>
        <w:tc>
          <w:tcPr>
            <w:tcW w:w="12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center"/>
              <w:rPr>
                <w:b/>
              </w:rPr>
            </w:pPr>
            <w:r>
              <w:rPr>
                <w:b/>
              </w:rPr>
              <w:t>(F)</w:t>
            </w:r>
          </w:p>
        </w:tc>
        <w:tc>
          <w:tcPr>
            <w:tcW w:w="9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44,866</w:t>
            </w:r>
          </w:p>
        </w:tc>
        <w:tc>
          <w:tcPr>
            <w:tcW w:w="124"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Notes to Pro Forma Combined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br/>
        <w:t>Pro Forma Combined Statement of Operations for the Six Months Ended March 31, 2007</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491"/>
        <w:gridCol w:w="229"/>
        <w:gridCol w:w="158"/>
        <w:gridCol w:w="883"/>
        <w:gridCol w:w="119"/>
        <w:gridCol w:w="229"/>
        <w:gridCol w:w="204"/>
        <w:gridCol w:w="997"/>
        <w:gridCol w:w="107"/>
        <w:gridCol w:w="249"/>
        <w:gridCol w:w="297"/>
        <w:gridCol w:w="1370"/>
        <w:gridCol w:w="150"/>
        <w:gridCol w:w="249"/>
        <w:gridCol w:w="158"/>
        <w:gridCol w:w="750"/>
        <w:gridCol w:w="88"/>
        <w:gridCol w:w="228"/>
        <w:gridCol w:w="169"/>
        <w:gridCol w:w="947"/>
        <w:gridCol w:w="133"/>
      </w:tblGrid>
      <w:tr>
        <w:trPr/>
        <w:tc>
          <w:tcPr>
            <w:tcW w:w="249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283"/>
              <w:jc w:val="center"/>
              <w:rPr/>
            </w:pPr>
            <w:r>
              <w:rPr/>
              <w:t>As</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667" w:type="dxa"/>
            <w:gridSpan w:val="2"/>
            <w:tcBorders/>
            <w:shd w:fill="auto" w:val="clear"/>
            <w:vAlign w:val="bottom"/>
          </w:tcPr>
          <w:p>
            <w:pPr>
              <w:pStyle w:val="TableContents"/>
              <w:spacing w:before="0" w:after="283"/>
              <w:jc w:val="center"/>
              <w:rPr/>
            </w:pPr>
            <w:r>
              <w:rPr/>
              <w:t>Pro Forma</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spacing w:before="0" w:after="283"/>
              <w:jc w:val="center"/>
              <w:rPr/>
            </w:pPr>
            <w:r>
              <w:rPr/>
              <w:t>Pro Forma</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41" w:type="dxa"/>
            <w:gridSpan w:val="2"/>
            <w:tcBorders>
              <w:bottom w:val="single" w:sz="2" w:space="0" w:color="000000"/>
            </w:tcBorders>
            <w:shd w:fill="auto" w:val="clear"/>
            <w:tcMar>
              <w:bottom w:w="28" w:type="dxa"/>
            </w:tcMar>
            <w:vAlign w:val="bottom"/>
          </w:tcPr>
          <w:p>
            <w:pPr>
              <w:pStyle w:val="TableContents"/>
              <w:spacing w:before="0" w:after="283"/>
              <w:jc w:val="center"/>
              <w:rPr/>
            </w:pPr>
            <w:r>
              <w:rPr/>
              <w:t>Reported</w:t>
            </w:r>
          </w:p>
        </w:tc>
        <w:tc>
          <w:tcPr>
            <w:tcW w:w="119" w:type="dxa"/>
            <w:tcBorders>
              <w:bottom w:val="single" w:sz="2" w:space="0" w:color="000000"/>
            </w:tcBorders>
            <w:shd w:fill="auto" w:val="clear"/>
            <w:tcMar>
              <w:bottom w:w="28" w:type="dxa"/>
            </w:tcMar>
            <w:vAlign w:val="bottom"/>
          </w:tcPr>
          <w:p>
            <w:pPr>
              <w:pStyle w:val="TableContents"/>
              <w:spacing w:before="0" w:after="283"/>
              <w:rPr/>
            </w:pPr>
            <w:r>
              <w:rPr/>
              <w:t> </w:t>
            </w:r>
          </w:p>
        </w:tc>
        <w:tc>
          <w:tcPr>
            <w:tcW w:w="229" w:type="dxa"/>
            <w:tcBorders>
              <w:bottom w:val="single" w:sz="2" w:space="0" w:color="000000"/>
            </w:tcBorders>
            <w:shd w:fill="auto" w:val="clear"/>
            <w:tcMar>
              <w:bottom w:w="28" w:type="dxa"/>
            </w:tcMar>
            <w:vAlign w:val="bottom"/>
          </w:tcPr>
          <w:p>
            <w:pPr>
              <w:pStyle w:val="TableContents"/>
              <w:spacing w:before="0" w:after="283"/>
              <w:rPr/>
            </w:pPr>
            <w:r>
              <w:rPr/>
              <w:t> </w:t>
            </w:r>
          </w:p>
        </w:tc>
        <w:tc>
          <w:tcPr>
            <w:tcW w:w="1201" w:type="dxa"/>
            <w:gridSpan w:val="2"/>
            <w:tcBorders>
              <w:bottom w:val="single" w:sz="2" w:space="0" w:color="000000"/>
            </w:tcBorders>
            <w:shd w:fill="auto" w:val="clear"/>
            <w:tcMar>
              <w:bottom w:w="28" w:type="dxa"/>
            </w:tcMar>
            <w:vAlign w:val="bottom"/>
          </w:tcPr>
          <w:p>
            <w:pPr>
              <w:pStyle w:val="TableContents"/>
              <w:spacing w:before="0" w:after="283"/>
              <w:jc w:val="center"/>
              <w:rPr/>
            </w:pPr>
            <w:r>
              <w:rPr/>
              <w:t>VFS</w:t>
            </w:r>
          </w:p>
        </w:tc>
        <w:tc>
          <w:tcPr>
            <w:tcW w:w="107" w:type="dxa"/>
            <w:tcBorders>
              <w:bottom w:val="single" w:sz="2" w:space="0" w:color="000000"/>
            </w:tcBorders>
            <w:shd w:fill="auto" w:val="clear"/>
            <w:tcMar>
              <w:bottom w:w="28" w:type="dxa"/>
            </w:tcMar>
            <w:vAlign w:val="bottom"/>
          </w:tcPr>
          <w:p>
            <w:pPr>
              <w:pStyle w:val="TableContents"/>
              <w:spacing w:before="0" w:after="283"/>
              <w:rPr/>
            </w:pPr>
            <w:r>
              <w:rPr/>
              <w:t> </w:t>
            </w:r>
          </w:p>
        </w:tc>
        <w:tc>
          <w:tcPr>
            <w:tcW w:w="249" w:type="dxa"/>
            <w:tcBorders>
              <w:bottom w:val="single" w:sz="2" w:space="0" w:color="000000"/>
            </w:tcBorders>
            <w:shd w:fill="auto" w:val="clear"/>
            <w:tcMar>
              <w:bottom w:w="28" w:type="dxa"/>
            </w:tcMar>
            <w:vAlign w:val="bottom"/>
          </w:tcPr>
          <w:p>
            <w:pPr>
              <w:pStyle w:val="TableContents"/>
              <w:spacing w:before="0" w:after="283"/>
              <w:rPr/>
            </w:pPr>
            <w:r>
              <w:rPr/>
              <w:t> </w:t>
            </w:r>
          </w:p>
        </w:tc>
        <w:tc>
          <w:tcPr>
            <w:tcW w:w="1667" w:type="dxa"/>
            <w:gridSpan w:val="2"/>
            <w:tcBorders>
              <w:bottom w:val="single" w:sz="2" w:space="0" w:color="000000"/>
            </w:tcBorders>
            <w:shd w:fill="auto" w:val="clear"/>
            <w:tcMar>
              <w:bottom w:w="28" w:type="dxa"/>
            </w:tcMar>
            <w:vAlign w:val="bottom"/>
          </w:tcPr>
          <w:p>
            <w:pPr>
              <w:pStyle w:val="TableContents"/>
              <w:spacing w:before="0" w:after="283"/>
              <w:jc w:val="center"/>
              <w:rPr/>
            </w:pPr>
            <w:r>
              <w:rPr/>
              <w:t>Adjustments</w:t>
            </w:r>
          </w:p>
        </w:tc>
        <w:tc>
          <w:tcPr>
            <w:tcW w:w="150" w:type="dxa"/>
            <w:tcBorders>
              <w:bottom w:val="single" w:sz="2" w:space="0" w:color="000000"/>
            </w:tcBorders>
            <w:shd w:fill="auto" w:val="clear"/>
            <w:tcMar>
              <w:bottom w:w="28" w:type="dxa"/>
            </w:tcMar>
            <w:vAlign w:val="bottom"/>
          </w:tcPr>
          <w:p>
            <w:pPr>
              <w:pStyle w:val="TableContents"/>
              <w:spacing w:before="0" w:after="283"/>
              <w:rPr/>
            </w:pPr>
            <w:r>
              <w:rPr/>
              <w:t> </w:t>
            </w:r>
          </w:p>
        </w:tc>
        <w:tc>
          <w:tcPr>
            <w:tcW w:w="249" w:type="dxa"/>
            <w:tcBorders>
              <w:bottom w:val="single" w:sz="2" w:space="0" w:color="000000"/>
            </w:tcBorders>
            <w:shd w:fill="auto" w:val="clear"/>
            <w:tcMar>
              <w:bottom w:w="28" w:type="dxa"/>
            </w:tcM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pPr>
            <w:r>
              <w:rPr/>
              <w:t>Notes</w:t>
            </w:r>
          </w:p>
        </w:tc>
        <w:tc>
          <w:tcPr>
            <w:tcW w:w="88" w:type="dxa"/>
            <w:tcBorders>
              <w:bottom w:val="single" w:sz="2" w:space="0" w:color="000000"/>
            </w:tcBorders>
            <w:shd w:fill="auto" w:val="clear"/>
            <w:tcMar>
              <w:bottom w:w="28" w:type="dxa"/>
            </w:tcMar>
            <w:vAlign w:val="bottom"/>
          </w:tcPr>
          <w:p>
            <w:pPr>
              <w:pStyle w:val="TableContents"/>
              <w:spacing w:before="0" w:after="283"/>
              <w:rPr/>
            </w:pPr>
            <w:r>
              <w:rPr/>
              <w:t> </w:t>
            </w:r>
          </w:p>
        </w:tc>
        <w:tc>
          <w:tcPr>
            <w:tcW w:w="228" w:type="dxa"/>
            <w:tcBorders>
              <w:bottom w:val="single" w:sz="2" w:space="0" w:color="000000"/>
            </w:tcBorders>
            <w:shd w:fill="auto" w:val="clear"/>
            <w:tcMar>
              <w:bottom w:w="28" w:type="dxa"/>
            </w:tcM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Combined</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531" w:type="dxa"/>
            <w:gridSpan w:val="10"/>
            <w:tcBorders/>
            <w:shd w:fill="auto" w:val="clear"/>
            <w:vAlign w:val="bottom"/>
          </w:tcPr>
          <w:p>
            <w:pPr>
              <w:pStyle w:val="TableContents"/>
              <w:spacing w:before="0" w:after="283"/>
              <w:jc w:val="center"/>
              <w:rPr>
                <w:i/>
              </w:rPr>
            </w:pPr>
            <w:r>
              <w:rPr>
                <w:i/>
              </w:rPr>
              <w:t>(In thousands, except per share amounts)</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Revenues:</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675" w:right="0" w:hanging="225"/>
              <w:rPr/>
            </w:pPr>
            <w:r>
              <w:rPr/>
              <w:t>Sales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99,012</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37,259</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136,271</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675" w:right="0" w:hanging="225"/>
              <w:rPr/>
            </w:pPr>
            <w:r>
              <w:rPr/>
              <w:t>Pawn service charges</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34,518</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13,052</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47,570</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675" w:right="0" w:hanging="225"/>
              <w:rPr/>
            </w:pPr>
            <w:r>
              <w:rPr/>
              <w:t>Signature loan fees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47,108</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47,108</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675" w:right="0" w:hanging="225"/>
              <w:rPr/>
            </w:pPr>
            <w:r>
              <w:rPr/>
              <w:t>Other</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692</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773</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1,465</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1125" w:right="0" w:hanging="225"/>
              <w:rPr/>
            </w:pPr>
            <w:r>
              <w:rPr/>
              <w:t>Total revenues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181,330</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51,084</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232,414</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Cost of goods sold</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60,197</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23,764</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83,961</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1125" w:right="0" w:hanging="225"/>
              <w:rPr/>
            </w:pPr>
            <w:r>
              <w:rPr/>
              <w:t>Net revenues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121,133</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27,320</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148,453</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Operating expenses:</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675" w:right="0" w:hanging="225"/>
              <w:rPr/>
            </w:pPr>
            <w:r>
              <w:rPr/>
              <w:t>Operations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62,492</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15,443</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90</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center"/>
              <w:rPr>
                <w:b/>
              </w:rPr>
            </w:pPr>
            <w:r>
              <w:rPr>
                <w:b/>
              </w:rPr>
              <w:t>(B)</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78,025</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675" w:right="0" w:hanging="225"/>
              <w:rPr/>
            </w:pPr>
            <w:r>
              <w:rPr/>
              <w:t>Signature loan bad debt</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8,944</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8,944</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675" w:right="0" w:hanging="225"/>
              <w:rPr/>
            </w:pPr>
            <w:r>
              <w:rPr/>
              <w:t>Administrative</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15,495</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4,484</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19,979</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675" w:right="0" w:hanging="225"/>
              <w:rPr/>
            </w:pPr>
            <w:r>
              <w:rPr/>
              <w:t>Depreciation and amortization</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4,699</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856</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5,555</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1125" w:right="0" w:hanging="225"/>
              <w:rPr/>
            </w:pPr>
            <w:r>
              <w:rPr/>
              <w:t>Total operating expenses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91,630</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20,783</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90</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112,503</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Operating income</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29,503</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6,537</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 </w:t>
            </w:r>
          </w:p>
        </w:tc>
        <w:tc>
          <w:tcPr>
            <w:tcW w:w="1370" w:type="dxa"/>
            <w:tcBorders/>
            <w:shd w:fill="CCEEFF" w:val="clear"/>
            <w:vAlign w:val="bottom"/>
          </w:tcPr>
          <w:p>
            <w:pPr>
              <w:pStyle w:val="TableContents"/>
              <w:spacing w:before="0" w:after="283"/>
              <w:jc w:val="right"/>
              <w:rPr/>
            </w:pPr>
            <w:r>
              <w:rPr/>
              <w:t>(90</w:t>
            </w:r>
          </w:p>
        </w:tc>
        <w:tc>
          <w:tcPr>
            <w:tcW w:w="150" w:type="dxa"/>
            <w:tcBorders/>
            <w:shd w:fill="CCEEFF" w:val="clear"/>
            <w:vAlign w:val="bottom"/>
          </w:tcPr>
          <w:p>
            <w:pPr>
              <w:pStyle w:val="TableContents"/>
              <w:spacing w:before="0" w:after="283"/>
              <w:rPr/>
            </w:pPr>
            <w:r>
              <w:rPr/>
              <w:t>)</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35,950</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Interest income</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(881</w:t>
            </w:r>
          </w:p>
        </w:tc>
        <w:tc>
          <w:tcPr>
            <w:tcW w:w="119" w:type="dxa"/>
            <w:tcBorders/>
            <w:shd w:fill="auto" w:val="clear"/>
            <w:vAlign w:val="bottom"/>
          </w:tcPr>
          <w:p>
            <w:pPr>
              <w:pStyle w:val="TableContents"/>
              <w:spacing w:before="0" w:after="283"/>
              <w:rPr/>
            </w:pPr>
            <w:r>
              <w:rPr/>
              <w:t>)</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(881</w:t>
            </w:r>
          </w:p>
        </w:tc>
        <w:tc>
          <w:tcPr>
            <w:tcW w:w="133" w:type="dxa"/>
            <w:tcBorders/>
            <w:shd w:fill="auto" w:val="clear"/>
            <w:vAlign w:val="bottom"/>
          </w:tcPr>
          <w:p>
            <w:pPr>
              <w:pStyle w:val="TableContents"/>
              <w:spacing w:before="0" w:after="283"/>
              <w:rPr/>
            </w:pPr>
            <w:r>
              <w:rPr/>
              <w:t>)</w:t>
            </w:r>
          </w:p>
        </w:tc>
      </w:tr>
      <w:tr>
        <w:trPr/>
        <w:tc>
          <w:tcPr>
            <w:tcW w:w="2491" w:type="dxa"/>
            <w:tcBorders/>
            <w:shd w:fill="CCEEFF" w:val="clear"/>
            <w:vAlign w:val="bottom"/>
          </w:tcPr>
          <w:p>
            <w:pPr>
              <w:pStyle w:val="TableContents"/>
              <w:spacing w:before="0" w:after="0"/>
              <w:ind w:left="225" w:right="0" w:hanging="225"/>
              <w:rPr/>
            </w:pPr>
            <w:r>
              <w:rPr/>
              <w:t>Interest expense</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147</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502</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1,510</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50" w:type="dxa"/>
            <w:tcBorders/>
            <w:shd w:fill="CCEEFF" w:val="clear"/>
            <w:vAlign w:val="bottom"/>
          </w:tcPr>
          <w:p>
            <w:pPr>
              <w:pStyle w:val="TableContents"/>
              <w:spacing w:before="0" w:after="283"/>
              <w:jc w:val="center"/>
              <w:rPr>
                <w:b/>
              </w:rPr>
            </w:pPr>
            <w:r>
              <w:rPr>
                <w:b/>
              </w:rPr>
              <w:t>(D)</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2,159</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Equity in net income of unconsolidated affiliate</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(1,465</w:t>
            </w:r>
          </w:p>
        </w:tc>
        <w:tc>
          <w:tcPr>
            <w:tcW w:w="119" w:type="dxa"/>
            <w:tcBorders/>
            <w:shd w:fill="auto" w:val="clear"/>
            <w:vAlign w:val="bottom"/>
          </w:tcPr>
          <w:p>
            <w:pPr>
              <w:pStyle w:val="TableContents"/>
              <w:spacing w:before="0" w:after="283"/>
              <w:rPr/>
            </w:pPr>
            <w:r>
              <w:rPr/>
              <w:t>)</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(1,465</w:t>
            </w:r>
          </w:p>
        </w:tc>
        <w:tc>
          <w:tcPr>
            <w:tcW w:w="133" w:type="dxa"/>
            <w:tcBorders/>
            <w:shd w:fill="auto" w:val="clear"/>
            <w:vAlign w:val="bottom"/>
          </w:tcPr>
          <w:p>
            <w:pPr>
              <w:pStyle w:val="TableContents"/>
              <w:spacing w:before="0" w:after="283"/>
              <w:rPr/>
            </w:pPr>
            <w:r>
              <w:rPr/>
              <w:t>)</w:t>
            </w:r>
          </w:p>
        </w:tc>
      </w:tr>
      <w:tr>
        <w:trPr/>
        <w:tc>
          <w:tcPr>
            <w:tcW w:w="2491" w:type="dxa"/>
            <w:tcBorders/>
            <w:shd w:fill="CCEEFF" w:val="clear"/>
            <w:vAlign w:val="bottom"/>
          </w:tcPr>
          <w:p>
            <w:pPr>
              <w:pStyle w:val="TableContents"/>
              <w:spacing w:before="0" w:after="0"/>
              <w:ind w:left="225" w:right="0" w:hanging="225"/>
              <w:rPr/>
            </w:pPr>
            <w:r>
              <w:rPr/>
              <w:t>(Gain) / loss on sale / disposal of assets</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24</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52</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76</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Income before income taxes</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31,678</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5,983</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 </w:t>
            </w:r>
          </w:p>
        </w:tc>
        <w:tc>
          <w:tcPr>
            <w:tcW w:w="1370" w:type="dxa"/>
            <w:tcBorders/>
            <w:shd w:fill="auto" w:val="clear"/>
            <w:vAlign w:val="bottom"/>
          </w:tcPr>
          <w:p>
            <w:pPr>
              <w:pStyle w:val="TableContents"/>
              <w:spacing w:before="0" w:after="283"/>
              <w:jc w:val="right"/>
              <w:rPr/>
            </w:pPr>
            <w:r>
              <w:rPr/>
              <w:t>(1,600</w:t>
            </w:r>
          </w:p>
        </w:tc>
        <w:tc>
          <w:tcPr>
            <w:tcW w:w="150"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36,061</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Income tax expense</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11,721</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2,349</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 </w:t>
            </w:r>
          </w:p>
        </w:tc>
        <w:tc>
          <w:tcPr>
            <w:tcW w:w="1370" w:type="dxa"/>
            <w:tcBorders/>
            <w:shd w:fill="CCEEFF" w:val="clear"/>
            <w:vAlign w:val="bottom"/>
          </w:tcPr>
          <w:p>
            <w:pPr>
              <w:pStyle w:val="TableContents"/>
              <w:spacing w:before="0" w:after="283"/>
              <w:jc w:val="right"/>
              <w:rPr/>
            </w:pPr>
            <w:r>
              <w:rPr/>
              <w:t>(592</w:t>
            </w:r>
          </w:p>
        </w:tc>
        <w:tc>
          <w:tcPr>
            <w:tcW w:w="150" w:type="dxa"/>
            <w:tcBorders/>
            <w:shd w:fill="CCEEFF" w:val="clear"/>
            <w:vAlign w:val="bottom"/>
          </w:tcPr>
          <w:p>
            <w:pPr>
              <w:pStyle w:val="TableContents"/>
              <w:spacing w:before="0" w:after="283"/>
              <w:rPr/>
            </w:pPr>
            <w:r>
              <w:rPr/>
              <w:t>)</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50" w:type="dxa"/>
            <w:tcBorders/>
            <w:shd w:fill="CCEEFF" w:val="clear"/>
            <w:vAlign w:val="bottom"/>
          </w:tcPr>
          <w:p>
            <w:pPr>
              <w:pStyle w:val="TableContents"/>
              <w:spacing w:before="0" w:after="283"/>
              <w:jc w:val="center"/>
              <w:rPr>
                <w:b/>
              </w:rPr>
            </w:pPr>
            <w:r>
              <w:rPr>
                <w:b/>
              </w:rPr>
              <w:t>(E)</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13,478</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Net income</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19,957</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3,634</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w:t>
            </w:r>
          </w:p>
        </w:tc>
        <w:tc>
          <w:tcPr>
            <w:tcW w:w="1370" w:type="dxa"/>
            <w:tcBorders/>
            <w:shd w:fill="auto" w:val="clear"/>
            <w:vAlign w:val="bottom"/>
          </w:tcPr>
          <w:p>
            <w:pPr>
              <w:pStyle w:val="TableContents"/>
              <w:spacing w:before="0" w:after="283"/>
              <w:jc w:val="right"/>
              <w:rPr/>
            </w:pPr>
            <w:r>
              <w:rPr/>
              <w:t>(1,008</w:t>
            </w:r>
          </w:p>
        </w:tc>
        <w:tc>
          <w:tcPr>
            <w:tcW w:w="150"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22,583</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6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225" w:right="0" w:hanging="225"/>
              <w:rPr/>
            </w:pPr>
            <w:r>
              <w:rPr/>
              <w:t>Net income per common share:</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450" w:right="0" w:hanging="225"/>
              <w:rPr/>
            </w:pPr>
            <w:r>
              <w:rPr/>
              <w:t>Basic</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0.49</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0.53</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450" w:right="0" w:hanging="225"/>
              <w:rPr/>
            </w:pPr>
            <w:r>
              <w:rPr/>
              <w:t>Diluted</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0.46</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0.50</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center"/>
          </w:tcPr>
          <w:p>
            <w:pPr>
              <w:pStyle w:val="TableContents"/>
              <w:spacing w:before="0" w:after="0"/>
              <w:ind w:left="225" w:right="0" w:hanging="225"/>
              <w:rPr/>
            </w:pPr>
            <w:r>
              <w:rPr/>
              <w:t> </w:t>
            </w:r>
          </w:p>
        </w:tc>
        <w:tc>
          <w:tcPr>
            <w:tcW w:w="229"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 </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225" w:right="0" w:hanging="225"/>
              <w:rPr/>
            </w:pPr>
            <w:r>
              <w:rPr/>
              <w:t>Weighted average shares outstanding:</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491" w:type="dxa"/>
            <w:tcBorders/>
            <w:shd w:fill="CCEEFF" w:val="clear"/>
            <w:vAlign w:val="bottom"/>
          </w:tcPr>
          <w:p>
            <w:pPr>
              <w:pStyle w:val="TableContents"/>
              <w:spacing w:before="0" w:after="0"/>
              <w:ind w:left="450" w:right="0" w:hanging="225"/>
              <w:rPr/>
            </w:pPr>
            <w:r>
              <w:rPr/>
              <w:t>Basic</w:t>
            </w:r>
          </w:p>
        </w:tc>
        <w:tc>
          <w:tcPr>
            <w:tcW w:w="22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40,773</w:t>
            </w:r>
          </w:p>
        </w:tc>
        <w:tc>
          <w:tcPr>
            <w:tcW w:w="11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1,625</w:t>
            </w:r>
          </w:p>
        </w:tc>
        <w:tc>
          <w:tcPr>
            <w:tcW w:w="15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50" w:type="dxa"/>
            <w:tcBorders/>
            <w:shd w:fill="CCEEFF" w:val="clear"/>
            <w:vAlign w:val="bottom"/>
          </w:tcPr>
          <w:p>
            <w:pPr>
              <w:pStyle w:val="TableContents"/>
              <w:spacing w:before="0" w:after="283"/>
              <w:jc w:val="center"/>
              <w:rPr>
                <w:b/>
              </w:rPr>
            </w:pPr>
            <w:r>
              <w:rPr>
                <w:b/>
              </w:rPr>
              <w:t>(F)</w:t>
            </w:r>
          </w:p>
        </w:tc>
        <w:tc>
          <w:tcPr>
            <w:tcW w:w="88"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42,398</w:t>
            </w:r>
          </w:p>
        </w:tc>
        <w:tc>
          <w:tcPr>
            <w:tcW w:w="133"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0"/>
              <w:ind w:left="450" w:right="0" w:hanging="225"/>
              <w:rPr/>
            </w:pPr>
            <w:r>
              <w:rPr/>
              <w:t>Diluted</w:t>
            </w:r>
          </w:p>
        </w:tc>
        <w:tc>
          <w:tcPr>
            <w:tcW w:w="22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43,347</w:t>
            </w:r>
          </w:p>
        </w:tc>
        <w:tc>
          <w:tcPr>
            <w:tcW w:w="11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1,625</w:t>
            </w:r>
          </w:p>
        </w:tc>
        <w:tc>
          <w:tcPr>
            <w:tcW w:w="15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center"/>
              <w:rPr>
                <w:b/>
              </w:rPr>
            </w:pPr>
            <w:r>
              <w:rPr>
                <w:b/>
              </w:rPr>
              <w:t>(F)</w:t>
            </w:r>
          </w:p>
        </w:tc>
        <w:tc>
          <w:tcPr>
            <w:tcW w:w="8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44,972</w:t>
            </w:r>
          </w:p>
        </w:tc>
        <w:tc>
          <w:tcPr>
            <w:tcW w:w="133"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Notes to Pro Forma Combined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Notes to Pro Forma Combined Financial Statements of EZCORP, Inc. and subsidiaries</w:t>
        <w:br/>
        <w:t>and Value Financial Services, Inc.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Note A: Pro Forma Adjustments to the Unaudited Pro Forma Combined Balance Sheet as of March 31,</w:t>
        <w:br/>
        <w:t>2008</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 forma adjustments to the unaudited pro forma combined balance sheet as of March 31, 2008 consist of the allocation of the expected total purchase price to the estimated fair value of VFSs net assets, including the elimination of VFSs existing equity, and the financing of the acquisition, including the use of $20 million of cash, the issuance of 1,625,015 additional EZCORP, Inc. common shares to current VFS shareholders, and the additional borrowings to finance the remainder of the transaction. To finance a portion of the VFS acquisition, we are refinancing our credit agreement to a total availability of $120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 $1 million upon completion of the credit agreement amendment, and have included this as a pro forma increase to Other Assets, net and to Long-term debt. In the pro forma adjustments, we also reclassified VFSs income taxes receivable as an offset to our income taxes payable. Included in the estimated total purchase price is the accumulated dividend of approximately $2.5 million we anticipate being paid on VFSs series A-2 preferred stock immediately preceding the acquisition. VFSs accumulated dividends are not recorded as liabilities or as a reduction of equity until declared by its board of directors.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expect the total acquisition purchase price to be approximately $109.5 million at the anticipated closing date of July 15, 2008. For purposes of preparing the pro forma unaudited balance sheet as of March 31, 2008, we assumed the acquisition was completed March 31, 2008. The assumed purchase price at that date is less than the assumed purchase price at July 15, 2008 due to VFSs activities between the two dates. </w:t>
      </w:r>
    </w:p>
    <w:p>
      <w:pPr>
        <w:pStyle w:val="TextBody"/>
        <w:jc w:val="center"/>
        <w:rPr>
          <w:rFonts w:ascii="Times New Roman;Times;serif" w:hAnsi="Times New Roman;Times;serif"/>
          <w:sz w:val="17"/>
        </w:rPr>
      </w:pPr>
      <w:r>
        <w:rPr>
          <w:rFonts w:ascii="Times New Roman;Times;serif" w:hAnsi="Times New Roman;Times;serif"/>
          <w:sz w:val="17"/>
        </w:rPr>
        <w:t xml:space="preserve">56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2008, the unaudited pro forma purchase price allocation of non-cash assets and liabilities acquired, which is preliminary and subject to change, was as follows based on the estimated fair values of each item: </w:t>
      </w:r>
    </w:p>
    <w:tbl>
      <w:tblPr>
        <w:tblW w:w="5000" w:type="pct"/>
        <w:jc w:val="center"/>
        <w:tblInd w:w="0" w:type="dxa"/>
        <w:tblCellMar>
          <w:top w:w="0" w:type="dxa"/>
          <w:left w:w="0" w:type="dxa"/>
          <w:bottom w:w="0" w:type="dxa"/>
          <w:right w:w="0" w:type="dxa"/>
        </w:tblCellMar>
      </w:tblPr>
      <w:tblGrid>
        <w:gridCol w:w="5388"/>
        <w:gridCol w:w="354"/>
        <w:gridCol w:w="325"/>
        <w:gridCol w:w="1818"/>
        <w:gridCol w:w="111"/>
        <w:gridCol w:w="354"/>
        <w:gridCol w:w="318"/>
        <w:gridCol w:w="1422"/>
        <w:gridCol w:w="115"/>
      </w:tblGrid>
      <w:tr>
        <w:trPr/>
        <w:tc>
          <w:tcPr>
            <w:tcW w:w="538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143" w:type="dxa"/>
            <w:gridSpan w:val="2"/>
            <w:tcBorders/>
            <w:shd w:fill="auto" w:val="clear"/>
            <w:vAlign w:val="bottom"/>
          </w:tcPr>
          <w:p>
            <w:pPr>
              <w:pStyle w:val="TableContents"/>
              <w:spacing w:before="0" w:after="283"/>
              <w:jc w:val="center"/>
              <w:rPr/>
            </w:pPr>
            <w:r>
              <w:rPr/>
              <w:t>As of March 31, 2008</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40" w:type="dxa"/>
            <w:gridSpan w:val="2"/>
            <w:tcBorders/>
            <w:shd w:fill="auto" w:val="clear"/>
            <w:vAlign w:val="bottom"/>
          </w:tcPr>
          <w:p>
            <w:pPr>
              <w:pStyle w:val="TableContents"/>
              <w:spacing w:before="0" w:after="283"/>
              <w:jc w:val="center"/>
              <w:rPr/>
            </w:pPr>
            <w:r>
              <w:rPr/>
              <w:t>Estimated Useful</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143" w:type="dxa"/>
            <w:gridSpan w:val="2"/>
            <w:tcBorders>
              <w:bottom w:val="single" w:sz="2" w:space="0" w:color="000000"/>
            </w:tcBorders>
            <w:shd w:fill="auto" w:val="clear"/>
            <w:tcMar>
              <w:bottom w:w="28" w:type="dxa"/>
            </w:tcMar>
            <w:vAlign w:val="bottom"/>
          </w:tcPr>
          <w:p>
            <w:pPr>
              <w:pStyle w:val="TableContents"/>
              <w:spacing w:before="0" w:after="283"/>
              <w:jc w:val="center"/>
              <w:rPr/>
            </w:pPr>
            <w:r>
              <w:rPr/>
              <w:t>($000s)</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40" w:type="dxa"/>
            <w:gridSpan w:val="2"/>
            <w:tcBorders>
              <w:bottom w:val="single" w:sz="2" w:space="0" w:color="000000"/>
            </w:tcBorders>
            <w:shd w:fill="auto" w:val="clear"/>
            <w:tcMar>
              <w:bottom w:w="28" w:type="dxa"/>
            </w:tcMar>
            <w:vAlign w:val="bottom"/>
          </w:tcPr>
          <w:p>
            <w:pPr>
              <w:pStyle w:val="TableContents"/>
              <w:spacing w:before="0" w:after="283"/>
              <w:jc w:val="center"/>
              <w:rPr/>
            </w:pPr>
            <w:r>
              <w:rPr/>
              <w:t>Life (years)</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225" w:right="0" w:hanging="225"/>
              <w:rPr/>
            </w:pPr>
            <w:r>
              <w:rPr/>
              <w:t>Current assets: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450" w:right="0" w:hanging="225"/>
              <w:rPr/>
            </w:pPr>
            <w:r>
              <w:rPr/>
              <w:t>Pawn loans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818" w:type="dxa"/>
            <w:tcBorders/>
            <w:shd w:fill="auto" w:val="clear"/>
            <w:vAlign w:val="bottom"/>
          </w:tcPr>
          <w:p>
            <w:pPr>
              <w:pStyle w:val="TableContents"/>
              <w:spacing w:before="0" w:after="283"/>
              <w:jc w:val="right"/>
              <w:rPr/>
            </w:pPr>
            <w:r>
              <w:rPr/>
              <w:t>15,046</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450" w:right="0" w:hanging="225"/>
              <w:rPr/>
            </w:pPr>
            <w:r>
              <w:rPr/>
              <w:t>Pawn service charges receivable, net</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2,941</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450" w:right="0" w:hanging="225"/>
              <w:rPr/>
            </w:pPr>
            <w:r>
              <w:rPr/>
              <w:t>Inventory, net</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12,360</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450" w:right="0" w:hanging="225"/>
              <w:rPr/>
            </w:pPr>
            <w:r>
              <w:rPr/>
              <w:t>Deferred tax asset, net</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4,141</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450" w:right="0" w:hanging="225"/>
              <w:rPr/>
            </w:pPr>
            <w:r>
              <w:rPr/>
              <w:t>Federal income taxes receivable</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11</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450" w:right="0" w:hanging="225"/>
              <w:rPr/>
            </w:pPr>
            <w:r>
              <w:rPr/>
              <w:t>Prepaid expenses and other assets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1,631</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r>
        <w:trPr/>
        <w:tc>
          <w:tcPr>
            <w:tcW w:w="5388" w:type="dxa"/>
            <w:tcBorders/>
            <w:shd w:fill="auto" w:val="clear"/>
            <w:vAlign w:val="bottom"/>
          </w:tcPr>
          <w:p>
            <w:pPr>
              <w:pStyle w:val="TableContents"/>
              <w:spacing w:before="0" w:after="0"/>
              <w:ind w:left="675" w:right="0" w:hanging="225"/>
              <w:rPr/>
            </w:pPr>
            <w:r>
              <w:rPr/>
              <w:t>Total current assets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36,130</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225" w:right="0" w:hanging="225"/>
              <w:rPr/>
            </w:pPr>
            <w:r>
              <w:rPr/>
              <w:t>Property and equipment, net</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7,802</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Deferred tax asset, non-current</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3,676</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225" w:right="0" w:hanging="225"/>
              <w:rPr/>
            </w:pPr>
            <w:r>
              <w:rPr/>
              <w:t>Goodwill</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58,896</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Trademarks and trade names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4,060</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55" w:type="dxa"/>
            <w:gridSpan w:val="3"/>
            <w:tcBorders/>
            <w:shd w:fill="auto" w:val="clear"/>
            <w:vAlign w:val="bottom"/>
          </w:tcPr>
          <w:p>
            <w:pPr>
              <w:pStyle w:val="TableContents"/>
              <w:spacing w:before="0" w:after="283"/>
              <w:jc w:val="center"/>
              <w:rPr/>
            </w:pPr>
            <w:r>
              <w:rPr/>
              <w:t>Indefinite</w:t>
            </w:r>
          </w:p>
        </w:tc>
      </w:tr>
      <w:tr>
        <w:trPr/>
        <w:tc>
          <w:tcPr>
            <w:tcW w:w="5388" w:type="dxa"/>
            <w:tcBorders/>
            <w:shd w:fill="CCEEFF" w:val="clear"/>
            <w:vAlign w:val="bottom"/>
          </w:tcPr>
          <w:p>
            <w:pPr>
              <w:pStyle w:val="TableContents"/>
              <w:spacing w:before="0" w:after="0"/>
              <w:ind w:left="225" w:right="0" w:hanging="225"/>
              <w:rPr/>
            </w:pPr>
            <w:r>
              <w:rPr/>
              <w:t>Favorable lease asset</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1,800</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jc w:val="center"/>
              <w:rPr/>
            </w:pPr>
            <w:r>
              <w:rPr/>
              <w:t>10</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Other assets, net</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322</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675" w:right="0" w:hanging="225"/>
              <w:rPr/>
            </w:pPr>
            <w:r>
              <w:rPr/>
              <w:t>Total assets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818" w:type="dxa"/>
            <w:tcBorders/>
            <w:shd w:fill="CCEEFF" w:val="clear"/>
            <w:vAlign w:val="bottom"/>
          </w:tcPr>
          <w:p>
            <w:pPr>
              <w:pStyle w:val="TableContents"/>
              <w:spacing w:before="0" w:after="283"/>
              <w:jc w:val="right"/>
              <w:rPr/>
            </w:pPr>
            <w:r>
              <w:rPr/>
              <w:t>112,686</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Current liabilities: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450" w:right="0" w:hanging="225"/>
              <w:rPr/>
            </w:pPr>
            <w:r>
              <w:rPr/>
              <w:t>Accounts payable and other accrued expenses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818" w:type="dxa"/>
            <w:tcBorders/>
            <w:shd w:fill="CCEEFF" w:val="clear"/>
            <w:vAlign w:val="bottom"/>
          </w:tcPr>
          <w:p>
            <w:pPr>
              <w:pStyle w:val="TableContents"/>
              <w:spacing w:before="0" w:after="283"/>
              <w:jc w:val="right"/>
              <w:rPr/>
            </w:pPr>
            <w:r>
              <w:rPr/>
              <w:t>6,109</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450" w:right="0" w:hanging="225"/>
              <w:rPr/>
            </w:pPr>
            <w:r>
              <w:rPr/>
              <w:t>Customer layaway deposits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842</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675" w:right="0" w:hanging="225"/>
              <w:rPr/>
            </w:pPr>
            <w:r>
              <w:rPr/>
              <w:t>Total current liabilities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6,951</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Interest rate swap liability</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jc w:val="right"/>
              <w:rPr/>
            </w:pPr>
            <w:r>
              <w:rPr/>
              <w:t>800</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225" w:right="0" w:hanging="225"/>
              <w:rPr/>
            </w:pPr>
            <w:r>
              <w:rPr/>
              <w:t>Deferred gains and other long-term liabilities</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283"/>
              <w:jc w:val="right"/>
              <w:rPr/>
            </w:pPr>
            <w:r>
              <w:rPr/>
              <w:t>357</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r>
        <w:trPr/>
        <w:tc>
          <w:tcPr>
            <w:tcW w:w="5388" w:type="dxa"/>
            <w:tcBorders/>
            <w:shd w:fill="auto" w:val="clear"/>
            <w:vAlign w:val="bottom"/>
          </w:tcPr>
          <w:p>
            <w:pPr>
              <w:pStyle w:val="TableContents"/>
              <w:spacing w:before="0" w:after="0"/>
              <w:ind w:left="675" w:right="0" w:hanging="225"/>
              <w:rPr/>
            </w:pPr>
            <w:r>
              <w:rPr/>
              <w:t>Total liabilities</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818" w:type="dxa"/>
            <w:tcBorders/>
            <w:shd w:fill="auto" w:val="clear"/>
            <w:vAlign w:val="bottom"/>
          </w:tcPr>
          <w:p>
            <w:pPr>
              <w:pStyle w:val="TableContents"/>
              <w:spacing w:before="0" w:after="283"/>
              <w:jc w:val="right"/>
              <w:rPr/>
            </w:pPr>
            <w:r>
              <w:rPr/>
              <w:t>8,108</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r>
        <w:trPr/>
        <w:tc>
          <w:tcPr>
            <w:tcW w:w="5388" w:type="dxa"/>
            <w:tcBorders/>
            <w:shd w:fill="auto" w:val="clear"/>
            <w:vAlign w:val="bottom"/>
          </w:tcPr>
          <w:p>
            <w:pPr>
              <w:pStyle w:val="TableContents"/>
              <w:spacing w:before="0" w:after="0"/>
              <w:ind w:left="225" w:right="0" w:hanging="225"/>
              <w:rPr/>
            </w:pPr>
            <w:r>
              <w:rPr/>
              <w:t> </w:t>
            </w:r>
          </w:p>
        </w:tc>
        <w:tc>
          <w:tcPr>
            <w:tcW w:w="35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2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388" w:type="dxa"/>
            <w:tcBorders/>
            <w:shd w:fill="CCEEFF" w:val="clear"/>
            <w:vAlign w:val="bottom"/>
          </w:tcPr>
          <w:p>
            <w:pPr>
              <w:pStyle w:val="TableContents"/>
              <w:spacing w:before="0" w:after="0"/>
              <w:ind w:left="225" w:right="0" w:hanging="225"/>
              <w:rPr/>
            </w:pPr>
            <w:r>
              <w:rPr/>
              <w:t>Total purchase price</w:t>
            </w:r>
          </w:p>
        </w:tc>
        <w:tc>
          <w:tcPr>
            <w:tcW w:w="35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818" w:type="dxa"/>
            <w:tcBorders/>
            <w:shd w:fill="CCEEFF" w:val="clear"/>
            <w:vAlign w:val="bottom"/>
          </w:tcPr>
          <w:p>
            <w:pPr>
              <w:pStyle w:val="TableContents"/>
              <w:spacing w:before="0" w:after="283"/>
              <w:jc w:val="right"/>
              <w:rPr/>
            </w:pPr>
            <w:r>
              <w:rPr/>
              <w:t>104,578</w:t>
            </w:r>
          </w:p>
        </w:tc>
        <w:tc>
          <w:tcPr>
            <w:tcW w:w="11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38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B: Operations Expense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w:t>
      </w:r>
    </w:p>
    <w:p>
      <w:pPr>
        <w:pStyle w:val="TextBody"/>
        <w:jc w:val="center"/>
        <w:rPr>
          <w:rFonts w:ascii="Times New Roman;Times;serif" w:hAnsi="Times New Roman;Times;serif"/>
          <w:sz w:val="17"/>
        </w:rPr>
      </w:pPr>
      <w:r>
        <w:rPr>
          <w:rFonts w:ascii="Times New Roman;Times;serif" w:hAnsi="Times New Roman;Times;serif"/>
          <w:sz w:val="17"/>
        </w:rPr>
        <w:t xml:space="preserve">57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asset is preliminary and subject to change as we complete our valuation of the assets to be acquired. Any change in the estimated fair value of this asset upon final valuation will likely result in an offsetting change to the amount of the purchase price allocated to goodwill, and an increase or decrease in the expected amortization of the favorable lease asset.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Administrative Expense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 forma $1.5 million reduction of Administrative expense in the six month period ended March 31, 2008 removes the success fee VFS paid to its directors and officers upon reaching an agreement to be acquired by 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year ended September 30, 2007, VFS forgave a note receivable from an officer and made significant vested stock grants to several officers. These resulted in a $7.9 million charge to VFSs Administrative expense in the period. We have made no pro forma adjustment related to these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D: Interest Expense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 forma adjustment to interest expense recognizes the estimated incremental interest expense we would have incurred on the debt used to finance the acquisition, the amortization of the assumed debt issuance costs related to the new credit agreement, the removal of interest expense related to VFSs debt that will be retired in the transaction, and the loss of interest income on our cash assumed to be used in the transaction. For purposes of estimating the pro forma interest expense, we applied an interest rate of 4.23%, comprised of the current 1-month LIBOR market rate plus the 1.75% current applicable interest rate spread, as specified in the amended credit agreement we expect to complete to finance a portion of the acquisition.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Income Tax Expense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 forma adjustment to income tax expense recognizes the change in income tax expense we would have incurred in each period, using our effective tax rate in each applicable period and </w:t>
      </w:r>
    </w:p>
    <w:p>
      <w:pPr>
        <w:pStyle w:val="TextBody"/>
        <w:jc w:val="center"/>
        <w:rPr>
          <w:rFonts w:ascii="Times New Roman;Times;serif" w:hAnsi="Times New Roman;Times;serif"/>
          <w:sz w:val="17"/>
        </w:rPr>
      </w:pPr>
      <w:r>
        <w:rPr>
          <w:rFonts w:ascii="Times New Roman;Times;serif" w:hAnsi="Times New Roman;Times;serif"/>
          <w:sz w:val="17"/>
        </w:rPr>
        <w:t xml:space="preserve">58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increase or decrease in pre-tax income resulting from the pro forma adjustments described in Notes B, C, and D above.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Weighted Average Shares Outstanding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 forma adjustment to the weighted average shares outstanding increases both basic and diluted weighted average shares outstanding to recognize the 1,625,015 shares to be issued to current VFS shareholders as part of the consideration for the acquisition.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Composition of Sales and Cost of Goods Sold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 </w:t>
      </w:r>
    </w:p>
    <w:tbl>
      <w:tblPr>
        <w:tblW w:w="5000" w:type="pct"/>
        <w:jc w:val="center"/>
        <w:tblInd w:w="0" w:type="dxa"/>
        <w:tblCellMar>
          <w:top w:w="0" w:type="dxa"/>
          <w:left w:w="0" w:type="dxa"/>
          <w:bottom w:w="0" w:type="dxa"/>
          <w:right w:w="0" w:type="dxa"/>
        </w:tblCellMar>
      </w:tblPr>
      <w:tblGrid>
        <w:gridCol w:w="3440"/>
        <w:gridCol w:w="251"/>
        <w:gridCol w:w="304"/>
        <w:gridCol w:w="1720"/>
        <w:gridCol w:w="92"/>
        <w:gridCol w:w="251"/>
        <w:gridCol w:w="280"/>
        <w:gridCol w:w="1572"/>
        <w:gridCol w:w="92"/>
        <w:gridCol w:w="251"/>
        <w:gridCol w:w="313"/>
        <w:gridCol w:w="1538"/>
        <w:gridCol w:w="101"/>
      </w:tblGrid>
      <w:tr>
        <w:trPr/>
        <w:tc>
          <w:tcPr>
            <w:tcW w:w="344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024" w:type="dxa"/>
            <w:gridSpan w:val="2"/>
            <w:tcBorders/>
            <w:shd w:fill="auto" w:val="clear"/>
            <w:vAlign w:val="bottom"/>
          </w:tcPr>
          <w:p>
            <w:pPr>
              <w:pStyle w:val="TableContents"/>
              <w:spacing w:before="0" w:after="283"/>
              <w:jc w:val="center"/>
              <w:rPr>
                <w:b/>
              </w:rPr>
            </w:pPr>
            <w:r>
              <w:rPr>
                <w:b/>
              </w:rPr>
              <w:t>Year ended</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852" w:type="dxa"/>
            <w:gridSpan w:val="2"/>
            <w:tcBorders/>
            <w:shd w:fill="auto" w:val="clear"/>
            <w:vAlign w:val="bottom"/>
          </w:tcPr>
          <w:p>
            <w:pPr>
              <w:pStyle w:val="TableContents"/>
              <w:spacing w:before="0" w:after="283"/>
              <w:jc w:val="center"/>
              <w:rPr>
                <w:b/>
              </w:rPr>
            </w:pPr>
            <w:r>
              <w:rPr>
                <w:b/>
              </w:rPr>
              <w:t>Six months ended</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851" w:type="dxa"/>
            <w:gridSpan w:val="2"/>
            <w:tcBorders/>
            <w:shd w:fill="auto" w:val="clear"/>
            <w:vAlign w:val="bottom"/>
          </w:tcPr>
          <w:p>
            <w:pPr>
              <w:pStyle w:val="TableContents"/>
              <w:spacing w:before="0" w:after="283"/>
              <w:jc w:val="center"/>
              <w:rPr>
                <w:b/>
              </w:rPr>
            </w:pPr>
            <w:r>
              <w:rPr>
                <w:b/>
              </w:rPr>
              <w:t>Six months ended</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251" w:type="dxa"/>
            <w:tcBorders>
              <w:bottom w:val="single" w:sz="2" w:space="0" w:color="000000"/>
            </w:tcBorders>
            <w:shd w:fill="auto" w:val="clear"/>
            <w:tcMar>
              <w:bottom w:w="28" w:type="dxa"/>
            </w:tcMar>
            <w:vAlign w:val="bottom"/>
          </w:tcPr>
          <w:p>
            <w:pPr>
              <w:pStyle w:val="TableContents"/>
              <w:spacing w:before="0" w:after="283"/>
              <w:rPr/>
            </w:pPr>
            <w:r>
              <w:rPr/>
              <w:t> </w:t>
            </w:r>
          </w:p>
        </w:tc>
        <w:tc>
          <w:tcPr>
            <w:tcW w:w="18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March 31, 2008</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251" w:type="dxa"/>
            <w:tcBorders>
              <w:bottom w:val="single" w:sz="2" w:space="0" w:color="000000"/>
            </w:tcBorders>
            <w:shd w:fill="auto" w:val="clear"/>
            <w:tcMar>
              <w:bottom w:w="28" w:type="dxa"/>
            </w:tcMar>
            <w:vAlign w:val="bottom"/>
          </w:tcPr>
          <w:p>
            <w:pPr>
              <w:pStyle w:val="TableContents"/>
              <w:spacing w:before="0" w:after="283"/>
              <w:rPr/>
            </w:pPr>
            <w:r>
              <w:rPr/>
              <w:t> </w:t>
            </w:r>
          </w:p>
        </w:tc>
        <w:tc>
          <w:tcPr>
            <w:tcW w:w="185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6514" w:type="dxa"/>
            <w:gridSpan w:val="11"/>
            <w:tcBorders/>
            <w:shd w:fill="auto" w:val="clear"/>
            <w:vAlign w:val="bottom"/>
          </w:tcPr>
          <w:p>
            <w:pPr>
              <w:pStyle w:val="TableContents"/>
              <w:spacing w:before="0" w:after="283"/>
              <w:jc w:val="center"/>
              <w:rPr>
                <w:i/>
              </w:rPr>
            </w:pPr>
            <w:r>
              <w:rPr>
                <w:i/>
              </w:rPr>
              <w:t>(in thousands)</w:t>
            </w:r>
          </w:p>
        </w:tc>
      </w:tr>
      <w:tr>
        <w:trPr/>
        <w:tc>
          <w:tcPr>
            <w:tcW w:w="3440" w:type="dxa"/>
            <w:tcBorders/>
            <w:shd w:fill="CCEEFF" w:val="clear"/>
            <w:vAlign w:val="bottom"/>
          </w:tcPr>
          <w:p>
            <w:pPr>
              <w:pStyle w:val="TableContents"/>
              <w:spacing w:before="0" w:after="0"/>
              <w:ind w:left="225" w:right="0" w:hanging="225"/>
              <w:rPr>
                <w:b/>
              </w:rPr>
            </w:pPr>
            <w:r>
              <w:rPr>
                <w:b/>
              </w:rPr>
              <w:t>EZCORP, Inc. and Subsidiaries: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57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pPr>
            <w:r>
              <w:rPr/>
              <w:t>Sales revenue:</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Merchandise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141,094</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85,174</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77,386</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Jewelry scrapping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51,893</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31,663</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21,626</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Total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192,987</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116,837</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99,012</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pPr>
            <w:r>
              <w:rPr/>
              <w:t> </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pPr>
            <w:r>
              <w:rPr/>
              <w:t>Cost of goods sold:</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Merchandise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83,501</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51,416</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46,158</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Jewelry scrapping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34,506</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18,856</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14,039</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Total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118,007</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70,272</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60,197</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pPr>
            <w:r>
              <w:rPr/>
              <w:t> </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b/>
              </w:rPr>
            </w:pPr>
            <w:r>
              <w:rPr>
                <w:b/>
              </w:rPr>
              <w:t>Value Financial Services, Inc.:</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225" w:right="0" w:hanging="225"/>
              <w:rPr/>
            </w:pPr>
            <w:r>
              <w:rPr/>
              <w:t>Sales revenue:</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57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Merchandise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50,799</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28,534</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27,522</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Jewelry scrapping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21,228</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17,863</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9,737</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Total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72,027</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46,397</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37,259</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auto" w:val="clear"/>
            <w:vAlign w:val="bottom"/>
          </w:tcPr>
          <w:p>
            <w:pPr>
              <w:pStyle w:val="TableContents"/>
              <w:spacing w:before="0" w:after="0"/>
              <w:ind w:left="225" w:right="0" w:hanging="225"/>
              <w:rPr/>
            </w:pPr>
            <w:r>
              <w:rPr/>
              <w:t> </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7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225" w:right="0" w:hanging="225"/>
              <w:rPr/>
            </w:pPr>
            <w:r>
              <w:rPr/>
              <w:t>Cost of goods sold:</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57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Merchandise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32,212</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18,274</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17,645</w:t>
            </w:r>
          </w:p>
        </w:tc>
        <w:tc>
          <w:tcPr>
            <w:tcW w:w="101"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450" w:right="0" w:hanging="225"/>
              <w:rPr/>
            </w:pPr>
            <w:r>
              <w:rPr/>
              <w:t>Jewelry scrapping sales</w:t>
            </w:r>
          </w:p>
        </w:tc>
        <w:tc>
          <w:tcPr>
            <w:tcW w:w="25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720" w:type="dxa"/>
            <w:tcBorders/>
            <w:shd w:fill="CCEEFF" w:val="clear"/>
            <w:vAlign w:val="bottom"/>
          </w:tcPr>
          <w:p>
            <w:pPr>
              <w:pStyle w:val="TableContents"/>
              <w:spacing w:before="0" w:after="283"/>
              <w:jc w:val="right"/>
              <w:rPr/>
            </w:pPr>
            <w:r>
              <w:rPr/>
              <w:t>13,517</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left"/>
              <w:rPr/>
            </w:pPr>
            <w:r>
              <w:rPr/>
              <w:t>$</w:t>
            </w:r>
          </w:p>
        </w:tc>
        <w:tc>
          <w:tcPr>
            <w:tcW w:w="1572" w:type="dxa"/>
            <w:tcBorders/>
            <w:shd w:fill="CCEEFF" w:val="clear"/>
            <w:vAlign w:val="bottom"/>
          </w:tcPr>
          <w:p>
            <w:pPr>
              <w:pStyle w:val="TableContents"/>
              <w:spacing w:before="0" w:after="283"/>
              <w:jc w:val="right"/>
              <w:rPr/>
            </w:pPr>
            <w:r>
              <w:rPr/>
              <w:t>9,926</w:t>
            </w:r>
          </w:p>
        </w:tc>
        <w:tc>
          <w:tcPr>
            <w:tcW w:w="92"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left"/>
              <w:rPr/>
            </w:pPr>
            <w:r>
              <w:rPr/>
              <w:t>$</w:t>
            </w:r>
          </w:p>
        </w:tc>
        <w:tc>
          <w:tcPr>
            <w:tcW w:w="1538" w:type="dxa"/>
            <w:tcBorders/>
            <w:shd w:fill="CCEEFF" w:val="clear"/>
            <w:vAlign w:val="bottom"/>
          </w:tcPr>
          <w:p>
            <w:pPr>
              <w:pStyle w:val="TableContents"/>
              <w:spacing w:before="0" w:after="283"/>
              <w:jc w:val="right"/>
              <w:rPr/>
            </w:pPr>
            <w:r>
              <w:rPr/>
              <w:t>6,119</w:t>
            </w:r>
          </w:p>
        </w:tc>
        <w:tc>
          <w:tcPr>
            <w:tcW w:w="101" w:type="dxa"/>
            <w:tcBorders/>
            <w:shd w:fill="CCEEFF"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440" w:type="dxa"/>
            <w:tcBorders/>
            <w:shd w:fill="auto" w:val="clear"/>
            <w:vAlign w:val="bottom"/>
          </w:tcPr>
          <w:p>
            <w:pPr>
              <w:pStyle w:val="TableContents"/>
              <w:spacing w:before="0" w:after="0"/>
              <w:ind w:left="450" w:right="0" w:hanging="225"/>
              <w:rPr/>
            </w:pPr>
            <w:r>
              <w:rPr/>
              <w:t>Total sales</w:t>
            </w:r>
          </w:p>
        </w:tc>
        <w:tc>
          <w:tcPr>
            <w:tcW w:w="25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720" w:type="dxa"/>
            <w:tcBorders/>
            <w:shd w:fill="auto" w:val="clear"/>
            <w:vAlign w:val="bottom"/>
          </w:tcPr>
          <w:p>
            <w:pPr>
              <w:pStyle w:val="TableContents"/>
              <w:spacing w:before="0" w:after="283"/>
              <w:jc w:val="right"/>
              <w:rPr/>
            </w:pPr>
            <w:r>
              <w:rPr/>
              <w:t>45,729</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left"/>
              <w:rPr/>
            </w:pPr>
            <w:r>
              <w:rPr/>
              <w:t>$</w:t>
            </w:r>
          </w:p>
        </w:tc>
        <w:tc>
          <w:tcPr>
            <w:tcW w:w="1572" w:type="dxa"/>
            <w:tcBorders/>
            <w:shd w:fill="auto" w:val="clear"/>
            <w:vAlign w:val="bottom"/>
          </w:tcPr>
          <w:p>
            <w:pPr>
              <w:pStyle w:val="TableContents"/>
              <w:spacing w:before="0" w:after="283"/>
              <w:jc w:val="right"/>
              <w:rPr/>
            </w:pPr>
            <w:r>
              <w:rPr/>
              <w:t>28,200</w:t>
            </w:r>
          </w:p>
        </w:tc>
        <w:tc>
          <w:tcPr>
            <w:tcW w:w="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left"/>
              <w:rPr/>
            </w:pPr>
            <w:r>
              <w:rPr/>
              <w:t>$</w:t>
            </w:r>
          </w:p>
        </w:tc>
        <w:tc>
          <w:tcPr>
            <w:tcW w:w="1538" w:type="dxa"/>
            <w:tcBorders/>
            <w:shd w:fill="auto" w:val="clear"/>
            <w:vAlign w:val="bottom"/>
          </w:tcPr>
          <w:p>
            <w:pPr>
              <w:pStyle w:val="TableContents"/>
              <w:spacing w:before="0" w:after="283"/>
              <w:jc w:val="right"/>
              <w:rPr/>
            </w:pPr>
            <w:r>
              <w:rPr/>
              <w:t>23,764</w:t>
            </w:r>
          </w:p>
        </w:tc>
        <w:tc>
          <w:tcPr>
            <w:tcW w:w="101" w:type="dxa"/>
            <w:tcBorders/>
            <w:shd w:fill="auto" w:val="clear"/>
            <w:vAlign w:val="bottom"/>
          </w:tcPr>
          <w:p>
            <w:pPr>
              <w:pStyle w:val="TableContents"/>
              <w:spacing w:before="0" w:after="283"/>
              <w:rPr/>
            </w:pPr>
            <w:r>
              <w:rPr/>
              <w:t> </w:t>
            </w:r>
          </w:p>
        </w:tc>
      </w:tr>
      <w:tr>
        <w:trPr/>
        <w:tc>
          <w:tcPr>
            <w:tcW w:w="3440" w:type="dxa"/>
            <w:tcBorders/>
            <w:shd w:fill="auto" w:val="clear"/>
            <w:vAlign w:val="center"/>
          </w:tcPr>
          <w:p>
            <w:pPr>
              <w:pStyle w:val="TableContents"/>
              <w:spacing w:before="0" w:after="0"/>
              <w:ind w:left="450" w:right="0" w:hanging="225"/>
              <w:rPr/>
            </w:pPr>
            <w:r>
              <w:rPr/>
              <w:t> </w:t>
            </w:r>
          </w:p>
        </w:tc>
        <w:tc>
          <w:tcPr>
            <w:tcW w:w="251" w:type="dxa"/>
            <w:tcBorders/>
            <w:shd w:fill="auto" w:val="clear"/>
            <w:vAlign w:val="center"/>
          </w:tcPr>
          <w:p>
            <w:pPr>
              <w:pStyle w:val="TableContents"/>
              <w:spacing w:before="0" w:after="283"/>
              <w:rPr/>
            </w:pPr>
            <w:r>
              <w:rPr/>
              <w:t> </w:t>
            </w:r>
          </w:p>
        </w:tc>
        <w:tc>
          <w:tcPr>
            <w:tcW w:w="2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1,625,015 SHARES OF CLASS A NON-VOTING COMMON STOCK</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June 23, 2008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II  INFORMATION NOT REQUIRED IN PROSPECTUS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14 Other Expenses of Issuance and Distribution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the estimated expenses in connection with the issuance and distribution of the securities registered hereby, all of which will be paid by EZCORP: </w:t>
      </w:r>
    </w:p>
    <w:tbl>
      <w:tblPr>
        <w:tblW w:w="5000" w:type="pct"/>
        <w:jc w:val="center"/>
        <w:tblInd w:w="0" w:type="dxa"/>
        <w:tblCellMar>
          <w:top w:w="0" w:type="dxa"/>
          <w:left w:w="0" w:type="dxa"/>
          <w:bottom w:w="0" w:type="dxa"/>
          <w:right w:w="0" w:type="dxa"/>
        </w:tblCellMar>
      </w:tblPr>
      <w:tblGrid>
        <w:gridCol w:w="8446"/>
        <w:gridCol w:w="476"/>
        <w:gridCol w:w="181"/>
        <w:gridCol w:w="977"/>
        <w:gridCol w:w="125"/>
      </w:tblGrid>
      <w:tr>
        <w:trPr/>
        <w:tc>
          <w:tcPr>
            <w:tcW w:w="8446"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8446" w:type="dxa"/>
            <w:tcBorders>
              <w:bottom w:val="single" w:sz="2" w:space="0" w:color="000000"/>
            </w:tcBorders>
            <w:shd w:fill="auto" w:val="clear"/>
            <w:tcMar>
              <w:bottom w:w="28" w:type="dxa"/>
            </w:tcMar>
            <w:vAlign w:val="bottom"/>
          </w:tcPr>
          <w:p>
            <w:pPr>
              <w:pStyle w:val="TableContents"/>
              <w:spacing w:before="0" w:after="283"/>
              <w:jc w:val="left"/>
              <w:rPr/>
            </w:pPr>
            <w:r>
              <w:rPr/>
              <w:t>Item</w:t>
            </w:r>
          </w:p>
        </w:tc>
        <w:tc>
          <w:tcPr>
            <w:tcW w:w="476" w:type="dxa"/>
            <w:tcBorders/>
            <w:shd w:fill="auto" w:val="clear"/>
            <w:vAlign w:val="bottom"/>
          </w:tcPr>
          <w:p>
            <w:pPr>
              <w:pStyle w:val="TableContents"/>
              <w:spacing w:before="0" w:after="283"/>
              <w:rPr/>
            </w:pPr>
            <w:r>
              <w:rPr/>
              <w:t> </w:t>
            </w:r>
          </w:p>
        </w:tc>
        <w:tc>
          <w:tcPr>
            <w:tcW w:w="115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 (1)</w:t>
            </w:r>
          </w:p>
        </w:tc>
        <w:tc>
          <w:tcPr>
            <w:tcW w:w="125" w:type="dxa"/>
            <w:tcBorders/>
            <w:shd w:fill="auto" w:val="clear"/>
            <w:vAlign w:val="bottom"/>
          </w:tcPr>
          <w:p>
            <w:pPr>
              <w:pStyle w:val="TableContents"/>
              <w:spacing w:before="0" w:after="283"/>
              <w:rPr/>
            </w:pPr>
            <w:r>
              <w:rPr/>
              <w:t> </w:t>
            </w:r>
          </w:p>
        </w:tc>
      </w:tr>
      <w:tr>
        <w:trPr/>
        <w:tc>
          <w:tcPr>
            <w:tcW w:w="8446" w:type="dxa"/>
            <w:tcBorders/>
            <w:shd w:fill="auto" w:val="clear"/>
            <w:vAlign w:val="center"/>
          </w:tcPr>
          <w:p>
            <w:pPr>
              <w:pStyle w:val="TableContents"/>
              <w:spacing w:before="0" w:after="283"/>
              <w:rPr/>
            </w:pPr>
            <w:r>
              <w:rPr/>
              <w:t> </w:t>
            </w:r>
          </w:p>
        </w:tc>
        <w:tc>
          <w:tcPr>
            <w:tcW w:w="1759" w:type="dxa"/>
            <w:gridSpan w:val="4"/>
            <w:tcBorders/>
            <w:shd w:fill="auto" w:val="clear"/>
          </w:tcPr>
          <w:p>
            <w:pPr>
              <w:pStyle w:val="TableContents"/>
              <w:spacing w:before="0" w:after="283"/>
              <w:rPr>
                <w:sz w:val="4"/>
                <w:szCs w:val="4"/>
              </w:rPr>
            </w:pPr>
            <w:r>
              <w:rPr>
                <w:sz w:val="4"/>
                <w:szCs w:val="4"/>
              </w:rPr>
            </w:r>
          </w:p>
        </w:tc>
      </w:tr>
      <w:tr>
        <w:trPr/>
        <w:tc>
          <w:tcPr>
            <w:tcW w:w="8446" w:type="dxa"/>
            <w:tcBorders/>
            <w:shd w:fill="CCEEFF" w:val="clear"/>
            <w:vAlign w:val="bottom"/>
          </w:tcPr>
          <w:p>
            <w:pPr>
              <w:pStyle w:val="TableContents"/>
              <w:spacing w:before="0" w:after="0"/>
              <w:ind w:left="225" w:right="0" w:hanging="225"/>
              <w:rPr/>
            </w:pPr>
            <w:r>
              <w:rPr/>
              <w:t>SEC registration fee</w:t>
            </w:r>
          </w:p>
        </w:tc>
        <w:tc>
          <w:tcPr>
            <w:tcW w:w="47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977" w:type="dxa"/>
            <w:tcBorders/>
            <w:shd w:fill="CCEEFF" w:val="clear"/>
            <w:vAlign w:val="bottom"/>
          </w:tcPr>
          <w:p>
            <w:pPr>
              <w:pStyle w:val="TableContents"/>
              <w:spacing w:before="0" w:after="283"/>
              <w:jc w:val="right"/>
              <w:rPr/>
            </w:pPr>
            <w:r>
              <w:rPr/>
              <w:t>868</w:t>
            </w:r>
          </w:p>
        </w:tc>
        <w:tc>
          <w:tcPr>
            <w:tcW w:w="125" w:type="dxa"/>
            <w:tcBorders/>
            <w:shd w:fill="CCEEFF" w:val="clear"/>
            <w:vAlign w:val="bottom"/>
          </w:tcPr>
          <w:p>
            <w:pPr>
              <w:pStyle w:val="TableContents"/>
              <w:spacing w:before="0" w:after="283"/>
              <w:rPr/>
            </w:pPr>
            <w:r>
              <w:rPr/>
              <w:t> </w:t>
            </w:r>
          </w:p>
        </w:tc>
      </w:tr>
      <w:tr>
        <w:trPr/>
        <w:tc>
          <w:tcPr>
            <w:tcW w:w="8446" w:type="dxa"/>
            <w:tcBorders/>
            <w:shd w:fill="auto" w:val="clear"/>
            <w:vAlign w:val="bottom"/>
          </w:tcPr>
          <w:p>
            <w:pPr>
              <w:pStyle w:val="TableContents"/>
              <w:spacing w:before="0" w:after="0"/>
              <w:ind w:left="225" w:right="0" w:hanging="225"/>
              <w:rPr/>
            </w:pPr>
            <w:r>
              <w:rPr/>
              <w:t>Legal fees and expenses</w:t>
            </w:r>
          </w:p>
        </w:tc>
        <w:tc>
          <w:tcPr>
            <w:tcW w:w="47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75,000</w:t>
            </w:r>
          </w:p>
        </w:tc>
        <w:tc>
          <w:tcPr>
            <w:tcW w:w="125" w:type="dxa"/>
            <w:tcBorders/>
            <w:shd w:fill="auto" w:val="clear"/>
            <w:vAlign w:val="bottom"/>
          </w:tcPr>
          <w:p>
            <w:pPr>
              <w:pStyle w:val="TableContents"/>
              <w:spacing w:before="0" w:after="283"/>
              <w:rPr/>
            </w:pPr>
            <w:r>
              <w:rPr/>
              <w:t> </w:t>
            </w:r>
          </w:p>
        </w:tc>
      </w:tr>
      <w:tr>
        <w:trPr/>
        <w:tc>
          <w:tcPr>
            <w:tcW w:w="8446" w:type="dxa"/>
            <w:tcBorders/>
            <w:shd w:fill="CCEEFF" w:val="clear"/>
            <w:vAlign w:val="bottom"/>
          </w:tcPr>
          <w:p>
            <w:pPr>
              <w:pStyle w:val="TableContents"/>
              <w:spacing w:before="0" w:after="0"/>
              <w:ind w:left="225" w:right="0" w:hanging="225"/>
              <w:rPr/>
            </w:pPr>
            <w:r>
              <w:rPr/>
              <w:t>Miscellaneous expenses</w:t>
            </w:r>
          </w:p>
        </w:tc>
        <w:tc>
          <w:tcPr>
            <w:tcW w:w="47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25,000</w:t>
            </w:r>
          </w:p>
        </w:tc>
        <w:tc>
          <w:tcPr>
            <w:tcW w:w="125" w:type="dxa"/>
            <w:tcBorders/>
            <w:shd w:fill="CCEEFF" w:val="clear"/>
            <w:vAlign w:val="bottom"/>
          </w:tcPr>
          <w:p>
            <w:pPr>
              <w:pStyle w:val="TableContents"/>
              <w:spacing w:before="0" w:after="283"/>
              <w:rPr/>
            </w:pPr>
            <w:r>
              <w:rPr/>
              <w:t> </w:t>
            </w:r>
          </w:p>
        </w:tc>
      </w:tr>
      <w:tr>
        <w:trPr/>
        <w:tc>
          <w:tcPr>
            <w:tcW w:w="8446"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11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8446" w:type="dxa"/>
            <w:tcBorders/>
            <w:shd w:fill="auto" w:val="clear"/>
            <w:vAlign w:val="bottom"/>
          </w:tcPr>
          <w:p>
            <w:pPr>
              <w:pStyle w:val="TableContents"/>
              <w:spacing w:before="0" w:after="0"/>
              <w:ind w:left="225" w:right="0" w:hanging="225"/>
              <w:rPr/>
            </w:pPr>
            <w:r>
              <w:rPr/>
              <w:t>Total:</w:t>
            </w:r>
          </w:p>
        </w:tc>
        <w:tc>
          <w:tcPr>
            <w:tcW w:w="47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977" w:type="dxa"/>
            <w:tcBorders/>
            <w:shd w:fill="auto" w:val="clear"/>
            <w:vAlign w:val="bottom"/>
          </w:tcPr>
          <w:p>
            <w:pPr>
              <w:pStyle w:val="TableContents"/>
              <w:spacing w:before="0" w:after="283"/>
              <w:jc w:val="right"/>
              <w:rPr/>
            </w:pPr>
            <w:r>
              <w:rPr/>
              <w:t>100,868</w:t>
            </w:r>
          </w:p>
        </w:tc>
        <w:tc>
          <w:tcPr>
            <w:tcW w:w="12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56"/>
        <w:gridCol w:w="2278"/>
        <w:gridCol w:w="1071"/>
      </w:tblGrid>
      <w:tr>
        <w:trPr/>
        <w:tc>
          <w:tcPr>
            <w:tcW w:w="6856"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r>
      <w:tr>
        <w:trPr/>
        <w:tc>
          <w:tcPr>
            <w:tcW w:w="6856" w:type="dxa"/>
            <w:tcBorders/>
            <w:shd w:fill="auto" w:val="clear"/>
          </w:tcPr>
          <w:p>
            <w:pPr>
              <w:pStyle w:val="TableContents"/>
              <w:spacing w:before="0" w:after="283"/>
              <w:jc w:val="left"/>
              <w:rPr/>
            </w:pPr>
            <w:r>
              <w:rPr/>
              <w:t>(1)</w:t>
            </w:r>
          </w:p>
        </w:tc>
        <w:tc>
          <w:tcPr>
            <w:tcW w:w="2278" w:type="dxa"/>
            <w:tcBorders/>
            <w:shd w:fill="auto" w:val="clear"/>
          </w:tcPr>
          <w:p>
            <w:pPr>
              <w:pStyle w:val="TableContents"/>
              <w:spacing w:before="0" w:after="283"/>
              <w:rPr/>
            </w:pPr>
            <w:r>
              <w:rPr/>
              <w:t> </w:t>
            </w:r>
          </w:p>
        </w:tc>
        <w:tc>
          <w:tcPr>
            <w:tcW w:w="1071" w:type="dxa"/>
            <w:tcBorders/>
            <w:shd w:fill="auto" w:val="clear"/>
          </w:tcPr>
          <w:p>
            <w:pPr>
              <w:pStyle w:val="TableContents"/>
              <w:spacing w:before="0" w:after="283"/>
              <w:rPr/>
            </w:pPr>
            <w:r>
              <w:rPr/>
              <w:t>All items other than SEC registration fee are estimates.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15 Indemnification of Directors and Officers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Restated Certificate of Incorporation provides that no director will be personally liable to EZCORP or any of its stockholders for monetary damages arising from the directors breach of a fiduciary duty as a director, with certain limited exceptions.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the extent any of the persons referred to in the two immediately preceding paragraphs is successful in the defense of the actions referred to therein, such person is entitled, pursuant to Section 145, to indemnification as described above. </w:t>
      </w:r>
    </w:p>
    <w:p>
      <w:pPr>
        <w:pStyle w:val="TextBody"/>
        <w:jc w:val="center"/>
        <w:rPr>
          <w:rFonts w:ascii="Times New Roman;Times;serif" w:hAnsi="Times New Roman;Times;serif"/>
          <w:sz w:val="17"/>
        </w:rPr>
      </w:pPr>
      <w:r>
        <w:rPr>
          <w:rFonts w:ascii="Times New Roman;Times;serif" w:hAnsi="Times New Roman;Times;serif"/>
          <w:sz w:val="17"/>
        </w:rPr>
        <w:t xml:space="preserve">II-1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Restated Certificate of Incorporation and Amended and Restated Bylaws specifically provide for indemnification of officers and directors to the fullest extent permitted by the Delaware General Corporation Law.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16 Exhibits and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the Exhibit Index which is incorporated herein by reference.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17 Undertakings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registrant hereby undertakes: </w:t>
      </w:r>
    </w:p>
    <w:p>
      <w:pPr>
        <w:pStyle w:val="TextBody"/>
        <w:spacing w:before="120" w:after="283"/>
        <w:jc w:val="left"/>
        <w:rPr/>
      </w:pPr>
      <w:r>
        <w:rPr/>
        <w:t>     </w:t>
      </w:r>
      <w:r>
        <w:rPr>
          <w:rFonts w:ascii="Times New Roman;Times;serif" w:hAnsi="Times New Roman;Times;serif"/>
          <w:sz w:val="17"/>
        </w:rPr>
        <w:t xml:space="preserve">(a) to file, during any period in which it offers or sells securities, a post-effective amendment to this registration statement: </w:t>
      </w:r>
    </w:p>
    <w:p>
      <w:pPr>
        <w:pStyle w:val="TextBody"/>
        <w:spacing w:before="120" w:after="283"/>
        <w:jc w:val="left"/>
        <w:rPr/>
      </w:pPr>
      <w:r>
        <w:rPr/>
        <w:t>          </w:t>
      </w:r>
      <w:r>
        <w:rPr>
          <w:rFonts w:ascii="Times New Roman;Times;serif" w:hAnsi="Times New Roman;Times;serif"/>
          <w:sz w:val="17"/>
        </w:rPr>
        <w:t xml:space="preserve">(1) to include any prospectus required by section 10(a)(3) of the Securities Act of 1933. </w:t>
      </w:r>
    </w:p>
    <w:p>
      <w:pPr>
        <w:pStyle w:val="TextBody"/>
        <w:spacing w:before="120" w:after="283"/>
        <w:jc w:val="left"/>
        <w:rPr/>
      </w:pPr>
      <w:r>
        <w:rPr/>
        <w:t>          </w:t>
      </w:r>
      <w:r>
        <w:rPr>
          <w:rFonts w:ascii="Times New Roman;Times;serif" w:hAnsi="Times New Roman;Times;serif"/>
          <w:sz w:val="17"/>
        </w:rPr>
        <w:t xml:space="preserve">(2)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 </w:t>
      </w:r>
    </w:p>
    <w:p>
      <w:pPr>
        <w:pStyle w:val="TextBody"/>
        <w:spacing w:before="120" w:after="283"/>
        <w:jc w:val="left"/>
        <w:rPr/>
      </w:pPr>
      <w:r>
        <w:rPr/>
        <w:t>          </w:t>
      </w:r>
      <w:r>
        <w:rPr>
          <w:rFonts w:ascii="Times New Roman;Times;serif" w:hAnsi="Times New Roman;Times;serif"/>
          <w:sz w:val="17"/>
        </w:rPr>
        <w:t xml:space="preserve">(3) to include any additional material information on the plan of distribution not previously disclosed in the registration statement or any material change to such information in the registration statement;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spacing w:before="120" w:after="283"/>
        <w:jc w:val="left"/>
        <w:rPr/>
      </w:pPr>
      <w:r>
        <w:rPr/>
        <w:t>     </w:t>
      </w:r>
      <w:r>
        <w:rPr>
          <w:rFonts w:ascii="Times New Roman;Times;serif" w:hAnsi="Times New Roman;Times;serif"/>
          <w:sz w:val="17"/>
        </w:rPr>
        <w:t xml:space="preserve">(b) 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 </w:t>
      </w:r>
    </w:p>
    <w:p>
      <w:pPr>
        <w:pStyle w:val="TextBody"/>
        <w:jc w:val="center"/>
        <w:rPr>
          <w:rFonts w:ascii="Times New Roman;Times;serif" w:hAnsi="Times New Roman;Times;serif"/>
          <w:sz w:val="17"/>
        </w:rPr>
      </w:pPr>
      <w:r>
        <w:rPr>
          <w:rFonts w:ascii="Times New Roman;Times;serif" w:hAnsi="Times New Roman;Times;serif"/>
          <w:sz w:val="17"/>
        </w:rPr>
        <w:t xml:space="preserve">II-2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(c) to remove from registration by means of a post-effective amendment any of the securities that remain unsold at the termination of the offering. </w:t>
      </w:r>
    </w:p>
    <w:p>
      <w:pPr>
        <w:pStyle w:val="TextBody"/>
        <w:spacing w:before="120" w:after="283"/>
        <w:jc w:val="left"/>
        <w:rPr/>
      </w:pPr>
      <w:r>
        <w:rPr/>
        <w:t>     </w:t>
      </w:r>
      <w:r>
        <w:rPr>
          <w:rFonts w:ascii="Times New Roman;Times;serif" w:hAnsi="Times New Roman;Times;serif"/>
          <w:sz w:val="17"/>
        </w:rPr>
        <w:t xml:space="preserve">(d) 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 </w:t>
      </w:r>
    </w:p>
    <w:p>
      <w:pPr>
        <w:pStyle w:val="TextBody"/>
        <w:spacing w:before="120" w:after="283"/>
        <w:jc w:val="left"/>
        <w:rPr/>
      </w:pPr>
      <w:r>
        <w:rPr/>
        <w:t>     </w:t>
      </w:r>
      <w:r>
        <w:rPr>
          <w:rFonts w:ascii="Times New Roman;Times;serif" w:hAnsi="Times New Roman;Times;serif"/>
          <w:sz w:val="17"/>
        </w:rPr>
        <w:t xml:space="preserve">(e) 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jc w:val="center"/>
        <w:rPr>
          <w:rFonts w:ascii="Times New Roman;Times;serif" w:hAnsi="Times New Roman;Times;serif"/>
          <w:sz w:val="17"/>
        </w:rPr>
      </w:pPr>
      <w:r>
        <w:rPr>
          <w:rFonts w:ascii="Times New Roman;Times;serif" w:hAnsi="Times New Roman;Times;serif"/>
          <w:sz w:val="17"/>
        </w:rPr>
        <w:t xml:space="preserve">II-3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POWER OF ATTORNEY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KNOW ALL MEN BY THESE PRESENTS, that each person whose signature appears below constitutes and appoints Dan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Act of 1933, EZCORP, Inc., certifies that it has reasonable grounds to believe that it meets all of the requirements for filing on Form S-3 and has duly caused this registration statement to be signed on its behalf by the undersigned, thereunto duly authorized in the City of Austin, State of Texas, on June 23, 2008. </w:t>
      </w:r>
    </w:p>
    <w:tbl>
      <w:tblPr>
        <w:tblW w:w="5000" w:type="pct"/>
        <w:jc w:val="left"/>
        <w:tblInd w:w="0" w:type="dxa"/>
        <w:tblCellMar>
          <w:top w:w="0" w:type="dxa"/>
          <w:left w:w="0" w:type="dxa"/>
          <w:bottom w:w="0" w:type="dxa"/>
          <w:right w:w="0" w:type="dxa"/>
        </w:tblCellMar>
      </w:tblPr>
      <w:tblGrid>
        <w:gridCol w:w="4491"/>
        <w:gridCol w:w="375"/>
        <w:gridCol w:w="375"/>
        <w:gridCol w:w="3526"/>
        <w:gridCol w:w="1438"/>
      </w:tblGrid>
      <w:tr>
        <w:trPr/>
        <w:tc>
          <w:tcPr>
            <w:tcW w:w="4491"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3526" w:type="dxa"/>
            <w:tcBorders/>
            <w:shd w:fill="auto" w:val="clear"/>
            <w:vAlign w:val="center"/>
          </w:tcPr>
          <w:p>
            <w:pPr>
              <w:pStyle w:val="TableContents"/>
              <w:spacing w:before="0" w:after="283"/>
              <w:rPr/>
            </w:pPr>
            <w:r>
              <w:rPr/>
              <w:t> </w:t>
            </w:r>
          </w:p>
        </w:tc>
        <w:tc>
          <w:tcPr>
            <w:tcW w:w="1438" w:type="dxa"/>
            <w:tcBorders/>
            <w:shd w:fill="auto" w:val="clear"/>
            <w:vAlign w:val="center"/>
          </w:tcPr>
          <w:p>
            <w:pPr>
              <w:pStyle w:val="TableContents"/>
              <w:spacing w:before="0" w:after="283"/>
              <w:rPr/>
            </w:pPr>
            <w:r>
              <w:rPr/>
              <w:t> </w:t>
            </w:r>
          </w:p>
        </w:tc>
      </w:tr>
      <w:tr>
        <w:trPr/>
        <w:tc>
          <w:tcPr>
            <w:tcW w:w="4491" w:type="dxa"/>
            <w:tcBorders/>
            <w:shd w:fill="auto" w:val="clear"/>
          </w:tcPr>
          <w:p>
            <w:pPr>
              <w:pStyle w:val="TableContents"/>
              <w:spacing w:before="0" w:after="283"/>
              <w:jc w:val="left"/>
              <w:rPr/>
            </w:pPr>
            <w:r>
              <w:rPr/>
              <w:t> </w:t>
            </w:r>
          </w:p>
        </w:tc>
        <w:tc>
          <w:tcPr>
            <w:tcW w:w="4276" w:type="dxa"/>
            <w:gridSpan w:val="3"/>
            <w:tcBorders/>
            <w:shd w:fill="auto" w:val="clear"/>
            <w:vAlign w:val="center"/>
          </w:tcPr>
          <w:p>
            <w:pPr>
              <w:pStyle w:val="TableContents"/>
              <w:spacing w:before="0" w:after="283"/>
              <w:jc w:val="left"/>
              <w:rPr/>
            </w:pPr>
            <w:r>
              <w:rPr>
                <w:b/>
              </w:rPr>
              <w:t>EZCORP, INC.</w:t>
            </w:r>
            <w:r>
              <w:rPr/>
              <w:br/>
              <w:t> </w:t>
            </w:r>
          </w:p>
        </w:tc>
        <w:tc>
          <w:tcPr>
            <w:tcW w:w="1438" w:type="dxa"/>
            <w:tcBorders/>
            <w:shd w:fill="auto" w:val="clear"/>
            <w:vAlign w:val="center"/>
          </w:tcPr>
          <w:p>
            <w:pPr>
              <w:pStyle w:val="TableContents"/>
              <w:spacing w:before="0" w:after="283"/>
              <w:rPr/>
            </w:pPr>
            <w:r>
              <w:rPr/>
              <w:t> </w:t>
            </w:r>
          </w:p>
        </w:tc>
      </w:tr>
      <w:tr>
        <w:trPr/>
        <w:tc>
          <w:tcPr>
            <w:tcW w:w="4491" w:type="dxa"/>
            <w:tcBorders/>
            <w:shd w:fill="auto" w:val="clear"/>
            <w:vAlign w:val="center"/>
          </w:tcPr>
          <w:p>
            <w:pPr>
              <w:pStyle w:val="TableContents"/>
              <w:spacing w:before="0" w:after="283"/>
              <w:jc w:val="left"/>
              <w:rPr/>
            </w:pPr>
            <w:r>
              <w:rPr/>
              <w:t> </w:t>
            </w:r>
          </w:p>
        </w:tc>
        <w:tc>
          <w:tcPr>
            <w:tcW w:w="4276"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438" w:type="dxa"/>
            <w:tcBorders/>
            <w:shd w:fill="auto" w:val="clear"/>
            <w:vAlign w:val="center"/>
          </w:tcPr>
          <w:p>
            <w:pPr>
              <w:pStyle w:val="TableContents"/>
              <w:spacing w:before="0" w:after="283"/>
              <w:rPr/>
            </w:pPr>
            <w:r>
              <w:rPr/>
              <w:t> </w:t>
            </w:r>
          </w:p>
        </w:tc>
      </w:tr>
      <w:tr>
        <w:trPr/>
        <w:tc>
          <w:tcPr>
            <w:tcW w:w="4491" w:type="dxa"/>
            <w:tcBorders/>
            <w:shd w:fill="auto" w:val="clear"/>
            <w:vAlign w:val="center"/>
          </w:tcPr>
          <w:p>
            <w:pPr>
              <w:pStyle w:val="TableContents"/>
              <w:spacing w:before="0" w:after="283"/>
              <w:jc w:val="left"/>
              <w:rPr/>
            </w:pPr>
            <w:r>
              <w:rPr/>
              <w:t> </w:t>
            </w:r>
          </w:p>
        </w:tc>
        <w:tc>
          <w:tcPr>
            <w:tcW w:w="4276" w:type="dxa"/>
            <w:gridSpan w:val="3"/>
            <w:tcBorders/>
            <w:shd w:fill="auto" w:val="clear"/>
            <w:vAlign w:val="center"/>
          </w:tcPr>
          <w:p>
            <w:pPr>
              <w:pStyle w:val="TableContents"/>
              <w:spacing w:before="0" w:after="283"/>
              <w:jc w:val="left"/>
              <w:rPr/>
            </w:pPr>
            <w:r>
              <w:rPr/>
              <w:t>Joseph L. Rotunda </w:t>
            </w:r>
          </w:p>
        </w:tc>
        <w:tc>
          <w:tcPr>
            <w:tcW w:w="1438" w:type="dxa"/>
            <w:tcBorders/>
            <w:shd w:fill="auto" w:val="clear"/>
            <w:vAlign w:val="center"/>
          </w:tcPr>
          <w:p>
            <w:pPr>
              <w:pStyle w:val="TableContents"/>
              <w:spacing w:before="0" w:after="283"/>
              <w:rPr/>
            </w:pPr>
            <w:r>
              <w:rPr/>
              <w:t> </w:t>
            </w:r>
          </w:p>
        </w:tc>
      </w:tr>
      <w:tr>
        <w:trPr/>
        <w:tc>
          <w:tcPr>
            <w:tcW w:w="4491" w:type="dxa"/>
            <w:tcBorders/>
            <w:shd w:fill="auto" w:val="clear"/>
            <w:vAlign w:val="center"/>
          </w:tcPr>
          <w:p>
            <w:pPr>
              <w:pStyle w:val="TableContents"/>
              <w:spacing w:before="0" w:after="283"/>
              <w:jc w:val="left"/>
              <w:rPr/>
            </w:pPr>
            <w:r>
              <w:rPr/>
              <w:t> </w:t>
            </w:r>
          </w:p>
        </w:tc>
        <w:tc>
          <w:tcPr>
            <w:tcW w:w="4276" w:type="dxa"/>
            <w:gridSpan w:val="3"/>
            <w:tcBorders/>
            <w:shd w:fill="auto" w:val="clear"/>
            <w:vAlign w:val="center"/>
          </w:tcPr>
          <w:p>
            <w:pPr>
              <w:pStyle w:val="TableContents"/>
              <w:spacing w:before="0" w:after="283"/>
              <w:jc w:val="left"/>
              <w:rPr/>
            </w:pPr>
            <w:r>
              <w:rPr/>
              <w:t>President and Chief Executive Officer </w:t>
            </w:r>
          </w:p>
        </w:tc>
        <w:tc>
          <w:tcPr>
            <w:tcW w:w="14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Act of 1933, this Registration Statement has been signed by the following persons, in the capacities and on the dates indicated. </w:t>
      </w:r>
    </w:p>
    <w:tbl>
      <w:tblPr>
        <w:tblW w:w="5000" w:type="pct"/>
        <w:jc w:val="left"/>
        <w:tblInd w:w="0" w:type="dxa"/>
        <w:tblCellMar>
          <w:top w:w="0" w:type="dxa"/>
          <w:left w:w="0" w:type="dxa"/>
          <w:bottom w:w="0" w:type="dxa"/>
          <w:right w:w="0" w:type="dxa"/>
        </w:tblCellMar>
      </w:tblPr>
      <w:tblGrid>
        <w:gridCol w:w="4646"/>
        <w:gridCol w:w="567"/>
        <w:gridCol w:w="325"/>
        <w:gridCol w:w="3301"/>
        <w:gridCol w:w="1366"/>
      </w:tblGrid>
      <w:tr>
        <w:trPr/>
        <w:tc>
          <w:tcPr>
            <w:tcW w:w="4646"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3301" w:type="dxa"/>
            <w:tcBorders/>
            <w:shd w:fill="auto" w:val="clear"/>
            <w:vAlign w:val="center"/>
          </w:tcPr>
          <w:p>
            <w:pPr>
              <w:pStyle w:val="TableContents"/>
              <w:spacing w:before="0" w:after="283"/>
              <w:rPr/>
            </w:pPr>
            <w:r>
              <w:rPr/>
              <w: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Date: June 23, 2008 </w:t>
            </w:r>
          </w:p>
        </w:tc>
        <w:tc>
          <w:tcPr>
            <w:tcW w:w="4193" w:type="dxa"/>
            <w:gridSpan w:val="3"/>
            <w:tcBorders>
              <w:bottom w:val="single" w:sz="2" w:space="0" w:color="000000"/>
            </w:tcBorders>
            <w:shd w:fill="auto" w:val="clear"/>
            <w:tcMar>
              <w:bottom w:w="28" w:type="dxa"/>
            </w:tcMar>
            <w:vAlign w:val="center"/>
          </w:tcPr>
          <w:p>
            <w:pPr>
              <w:pStyle w:val="TableContents"/>
              <w:spacing w:before="0" w:after="283"/>
              <w:jc w:val="left"/>
              <w:rPr/>
            </w:pPr>
            <w:r>
              <w:rPr/>
              <w:t>/s/ Sterling B. Brinkley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Sterling B. Brinkley, Chairman of the Board and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Director </w:t>
            </w:r>
          </w:p>
        </w:tc>
        <w:tc>
          <w:tcPr>
            <w:tcW w:w="13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46" w:type="dxa"/>
            <w:tcBorders/>
            <w:shd w:fill="auto" w:val="clea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Date: June 23, 2008 </w:t>
            </w:r>
          </w:p>
        </w:tc>
        <w:tc>
          <w:tcPr>
            <w:tcW w:w="4193"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Joseph L. Rotunda, Chief Executive Officer, President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(Principal Executive Officer) and Director </w:t>
            </w:r>
          </w:p>
        </w:tc>
        <w:tc>
          <w:tcPr>
            <w:tcW w:w="13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46" w:type="dxa"/>
            <w:tcBorders/>
            <w:shd w:fill="auto" w:val="clea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Date: June 23, 2008 </w:t>
            </w:r>
          </w:p>
        </w:tc>
        <w:tc>
          <w:tcPr>
            <w:tcW w:w="4193" w:type="dxa"/>
            <w:gridSpan w:val="3"/>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Dan N. Tonissen, Senior Vice President, Chief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Financial Officer, Assistant Secretary (Principal Financial and Accounting Officer) and Director </w:t>
            </w:r>
          </w:p>
        </w:tc>
        <w:tc>
          <w:tcPr>
            <w:tcW w:w="13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46" w:type="dxa"/>
            <w:tcBorders/>
            <w:shd w:fill="auto" w:val="clea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Date: June 23, 2008 </w:t>
            </w:r>
          </w:p>
        </w:tc>
        <w:tc>
          <w:tcPr>
            <w:tcW w:w="4193" w:type="dxa"/>
            <w:gridSpan w:val="3"/>
            <w:tcBorders>
              <w:bottom w:val="single" w:sz="2" w:space="0" w:color="000000"/>
            </w:tcBorders>
            <w:shd w:fill="auto" w:val="clear"/>
            <w:tcMar>
              <w:bottom w:w="28" w:type="dxa"/>
            </w:tcMar>
            <w:vAlign w:val="center"/>
          </w:tcPr>
          <w:p>
            <w:pPr>
              <w:pStyle w:val="TableContents"/>
              <w:spacing w:before="0" w:after="283"/>
              <w:jc w:val="left"/>
              <w:rPr/>
            </w:pPr>
            <w:r>
              <w:rPr/>
              <w:t>/s/ Thomas C. Roberts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Thomas C. Roberts, Director </w:t>
            </w:r>
          </w:p>
        </w:tc>
        <w:tc>
          <w:tcPr>
            <w:tcW w:w="1366" w:type="dxa"/>
            <w:tcBorders/>
            <w:shd w:fill="auto" w:val="clear"/>
            <w:vAlign w:val="center"/>
          </w:tcPr>
          <w:p>
            <w:pPr>
              <w:pStyle w:val="TableContents"/>
              <w:spacing w:before="0" w:after="283"/>
              <w:rPr/>
            </w:pPr>
            <w:r>
              <w:rPr/>
              <w:t> </w:t>
            </w:r>
          </w:p>
        </w:tc>
      </w:tr>
      <w:tr>
        <w:trPr/>
        <w:tc>
          <w:tcPr>
            <w:tcW w:w="4646" w:type="dxa"/>
            <w:tcBorders/>
            <w:shd w:fill="auto" w:val="clear"/>
            <w:vAlign w:val="center"/>
          </w:tcPr>
          <w:p>
            <w:pPr>
              <w:pStyle w:val="TableContents"/>
              <w:spacing w:before="0" w:after="283"/>
              <w:jc w:val="left"/>
              <w:rPr/>
            </w:pPr>
            <w:r>
              <w:rPr/>
              <w:t> </w:t>
            </w:r>
          </w:p>
        </w:tc>
        <w:tc>
          <w:tcPr>
            <w:tcW w:w="4193" w:type="dxa"/>
            <w:gridSpan w:val="3"/>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37"/>
        <w:gridCol w:w="406"/>
        <w:gridCol w:w="308"/>
        <w:gridCol w:w="3357"/>
        <w:gridCol w:w="1397"/>
      </w:tblGrid>
      <w:tr>
        <w:trPr/>
        <w:tc>
          <w:tcPr>
            <w:tcW w:w="4737"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308" w:type="dxa"/>
            <w:tcBorders/>
            <w:shd w:fill="auto" w:val="clear"/>
            <w:vAlign w:val="center"/>
          </w:tcPr>
          <w:p>
            <w:pPr>
              <w:pStyle w:val="TableContents"/>
              <w:spacing w:before="0" w:after="283"/>
              <w:rPr/>
            </w:pPr>
            <w:r>
              <w:rPr/>
              <w:t> </w:t>
            </w:r>
          </w:p>
        </w:tc>
        <w:tc>
          <w:tcPr>
            <w:tcW w:w="3357" w:type="dxa"/>
            <w:tcBorders/>
            <w:shd w:fill="auto" w:val="clear"/>
            <w:vAlign w:val="center"/>
          </w:tcPr>
          <w:p>
            <w:pPr>
              <w:pStyle w:val="TableContents"/>
              <w:spacing w:before="0" w:after="283"/>
              <w:rPr/>
            </w:pPr>
            <w:r>
              <w:rPr/>
              <w:t>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Date: June 23, 2008 </w:t>
            </w:r>
          </w:p>
        </w:tc>
        <w:tc>
          <w:tcPr>
            <w:tcW w:w="4071" w:type="dxa"/>
            <w:gridSpan w:val="3"/>
            <w:tcBorders>
              <w:bottom w:val="single" w:sz="2" w:space="0" w:color="000000"/>
            </w:tcBorders>
            <w:shd w:fill="auto" w:val="clear"/>
            <w:tcMar>
              <w:bottom w:w="28" w:type="dxa"/>
            </w:tcMar>
            <w:vAlign w:val="center"/>
          </w:tcPr>
          <w:p>
            <w:pPr>
              <w:pStyle w:val="TableContents"/>
              <w:spacing w:before="0" w:after="283"/>
              <w:jc w:val="left"/>
              <w:rPr/>
            </w:pPr>
            <w:r>
              <w:rPr/>
              <w:t>/s/ Gary Matzner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Gary Matzner, Director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Date: June 23, 2008 </w:t>
            </w:r>
          </w:p>
        </w:tc>
        <w:tc>
          <w:tcPr>
            <w:tcW w:w="4071" w:type="dxa"/>
            <w:gridSpan w:val="3"/>
            <w:tcBorders>
              <w:bottom w:val="single" w:sz="2" w:space="0" w:color="000000"/>
            </w:tcBorders>
            <w:shd w:fill="auto" w:val="clear"/>
            <w:tcMar>
              <w:bottom w:w="28" w:type="dxa"/>
            </w:tcMar>
            <w:vAlign w:val="center"/>
          </w:tcPr>
          <w:p>
            <w:pPr>
              <w:pStyle w:val="TableContents"/>
              <w:spacing w:before="0" w:after="283"/>
              <w:jc w:val="left"/>
              <w:rPr/>
            </w:pPr>
            <w:r>
              <w:rPr/>
              <w:t>/s/ Richard M. Edwards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Richard M. Edwards, Director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Date: June 23, 2008 </w:t>
            </w:r>
          </w:p>
        </w:tc>
        <w:tc>
          <w:tcPr>
            <w:tcW w:w="4071" w:type="dxa"/>
            <w:gridSpan w:val="3"/>
            <w:tcBorders>
              <w:bottom w:val="single" w:sz="2" w:space="0" w:color="000000"/>
            </w:tcBorders>
            <w:shd w:fill="auto" w:val="clear"/>
            <w:tcMar>
              <w:bottom w:w="28" w:type="dxa"/>
            </w:tcMar>
            <w:vAlign w:val="center"/>
          </w:tcPr>
          <w:p>
            <w:pPr>
              <w:pStyle w:val="TableContents"/>
              <w:spacing w:before="0" w:after="283"/>
              <w:jc w:val="left"/>
              <w:rPr/>
            </w:pPr>
            <w:r>
              <w:rPr/>
              <w:t>/s/ Richard D. Sage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Richard D. Sage, Director </w:t>
            </w:r>
          </w:p>
        </w:tc>
        <w:tc>
          <w:tcPr>
            <w:tcW w:w="1397" w:type="dxa"/>
            <w:tcBorders/>
            <w:shd w:fill="auto" w:val="clear"/>
            <w:vAlign w:val="center"/>
          </w:tcPr>
          <w:p>
            <w:pPr>
              <w:pStyle w:val="TableContents"/>
              <w:spacing w:before="0" w:after="283"/>
              <w:rPr/>
            </w:pPr>
            <w:r>
              <w:rPr/>
              <w:t> </w:t>
            </w:r>
          </w:p>
        </w:tc>
      </w:tr>
      <w:tr>
        <w:trPr/>
        <w:tc>
          <w:tcPr>
            <w:tcW w:w="4737" w:type="dxa"/>
            <w:tcBorders/>
            <w:shd w:fill="auto" w:val="clear"/>
            <w:vAlign w:val="center"/>
          </w:tcPr>
          <w:p>
            <w:pPr>
              <w:pStyle w:val="TableContents"/>
              <w:spacing w:before="0" w:after="283"/>
              <w:jc w:val="left"/>
              <w:rPr/>
            </w:pPr>
            <w:r>
              <w:rPr/>
              <w:t> </w:t>
            </w:r>
          </w:p>
        </w:tc>
        <w:tc>
          <w:tcPr>
            <w:tcW w:w="4071" w:type="dxa"/>
            <w:gridSpan w:val="3"/>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6"/>
        <w:gridCol w:w="305"/>
        <w:gridCol w:w="9184"/>
      </w:tblGrid>
      <w:tr>
        <w:trPr/>
        <w:tc>
          <w:tcPr>
            <w:tcW w:w="7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vAlign w:val="bottom"/>
          </w:tcPr>
          <w:p>
            <w:pPr>
              <w:pStyle w:val="TableContents"/>
              <w:spacing w:before="0" w:after="283"/>
              <w:rPr/>
            </w:pPr>
            <w:r>
              <w:rPr/>
              <w:t> </w:t>
            </w:r>
          </w:p>
        </w:tc>
      </w:tr>
      <w:tr>
        <w:trPr/>
        <w:tc>
          <w:tcPr>
            <w:tcW w:w="716" w:type="dxa"/>
            <w:tcBorders/>
            <w:shd w:fill="auto" w:val="clear"/>
            <w:vAlign w:val="bottom"/>
          </w:tcPr>
          <w:p>
            <w:pPr>
              <w:pStyle w:val="TableContents"/>
              <w:spacing w:before="0" w:after="283"/>
              <w:jc w:val="left"/>
              <w:rPr/>
            </w:pPr>
            <w:r>
              <w:rPr/>
              <w:t>Exhibit</w:t>
            </w:r>
          </w:p>
        </w:tc>
        <w:tc>
          <w:tcPr>
            <w:tcW w:w="305" w:type="dxa"/>
            <w:tcBorders/>
            <w:shd w:fill="auto" w:val="clear"/>
            <w:vAlign w:val="bottom"/>
          </w:tcPr>
          <w:p>
            <w:pPr>
              <w:pStyle w:val="TableContents"/>
              <w:spacing w:before="0" w:after="283"/>
              <w:rPr/>
            </w:pPr>
            <w:r>
              <w:rPr/>
              <w:t> </w:t>
            </w:r>
          </w:p>
        </w:tc>
        <w:tc>
          <w:tcPr>
            <w:tcW w:w="9184" w:type="dxa"/>
            <w:tcBorders/>
            <w:shd w:fill="auto" w:val="clear"/>
            <w:vAlign w:val="bottom"/>
          </w:tcPr>
          <w:p>
            <w:pPr>
              <w:pStyle w:val="TableContents"/>
              <w:spacing w:before="0" w:after="283"/>
              <w:jc w:val="left"/>
              <w:rPr/>
            </w:pPr>
            <w:r>
              <w:rPr/>
              <w:t>Description</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2.1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Merger Agreement dated June 5, 2008, by and between EZCORP, Inc., a Delaware corporation, Value Merger Sub, Inc., a Florida corporation, and Value Financial Services, Inc., a Florida corporation, incorporated by reference to Exhibit 10.2 of EZCORPs 8-K filed June 5, 2008 (File No. 33-41317).</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3.1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Amended and Restated Certificate of Incorporation of EZCORP, incorporated by reference to Exhibit 3.1 to the Registration Statement on Form S-1 effective August 23, 1991 (File No. 33-41317).</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3.1A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Certificate of Amendment to the Certificate of Incorporation of EZCORP, incorporated by reference to Exhibit 3.1A to the Registration Statement on Form S-1 effective July 15, 1996 (File No. 33-41317).</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3.1B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Amended Certificate of Incorporation of EZCORP, incorporated by reference to Exhibit 3.1B to EZCORPs Annual Report on Form 10-K for the year ended September 30, 2006 (File No. 0-19424).</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3.2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Bylaws of EZCORP, incorporated by reference to Exhibit 3.2 to the Registration Statement on Form S-1 effective August 23, 1991 (File No. 33-41317).</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3.3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Amendment to the Bylaws, incorporated by reference to Exhibit 3.3 to EZCORPs Quarterly Report on Form 10-W for the quarter ended June 30, 1994 (File No. 000-19424).</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3.4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Amendment to the Certificate of Incorporation of EZCORP, incorporated by to Exhibit 3.4 to EZCORPs Annual Report on Form 10-K for the year ended September 30, 1994 (File No. 000-19424).</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3.5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Amendment to the Certificate of Incorporation of EZCORP, incorporated by reference to Exhibit 3.5 to EZCORPs Annual Report on Form 10-K for the year ended September 30, 1997 (File No. 000-19424).</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3.6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Amendment to the Certificate of Incorporation of EZCORP, incorporated by reference to Exhibit 3.6 to EZCORPs Quarterly Report on Form 10-Q for the quarter ended March 31, 1998 (File No. 000-19424).</w:t>
            </w:r>
          </w:p>
        </w:tc>
      </w:tr>
      <w:tr>
        <w:trPr/>
        <w:tc>
          <w:tcPr>
            <w:tcW w:w="716"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0" w:right="0" w:hanging="0"/>
              <w:rPr/>
            </w:pPr>
            <w:r>
              <w:rPr/>
              <w:t xml:space="preserve">4.1 </w:t>
            </w:r>
          </w:p>
        </w:tc>
        <w:tc>
          <w:tcPr>
            <w:tcW w:w="305" w:type="dxa"/>
            <w:tcBorders/>
            <w:shd w:fill="auto" w:val="clear"/>
            <w:vAlign w:val="bottom"/>
          </w:tcPr>
          <w:p>
            <w:pPr>
              <w:pStyle w:val="TableContents"/>
              <w:spacing w:before="0" w:after="283"/>
              <w:rPr/>
            </w:pPr>
            <w:r>
              <w:rPr/>
              <w:t> </w:t>
            </w:r>
          </w:p>
        </w:tc>
        <w:tc>
          <w:tcPr>
            <w:tcW w:w="9184" w:type="dxa"/>
            <w:tcBorders/>
            <w:shd w:fill="auto" w:val="clear"/>
          </w:tcPr>
          <w:p>
            <w:pPr>
              <w:pStyle w:val="TableContents"/>
              <w:spacing w:before="0" w:after="283"/>
              <w:jc w:val="left"/>
              <w:rPr/>
            </w:pPr>
            <w:r>
              <w:rPr/>
              <w:t>The description of EZCORPs Common Stock and Common Stock Rights as set forth in EZCORPs Form 8-A Registration Statement filed with the Commission on July 24, 1991, including any amendment or report filed for the purpose of updating such description.</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25"/>
        <w:gridCol w:w="305"/>
        <w:gridCol w:w="9175"/>
      </w:tblGrid>
      <w:tr>
        <w:trPr/>
        <w:tc>
          <w:tcPr>
            <w:tcW w:w="72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vAlign w:val="bottom"/>
          </w:tcPr>
          <w:p>
            <w:pPr>
              <w:pStyle w:val="TableContents"/>
              <w:spacing w:before="0" w:after="283"/>
              <w:rPr/>
            </w:pPr>
            <w:r>
              <w:rPr/>
              <w:t> </w:t>
            </w:r>
          </w:p>
        </w:tc>
      </w:tr>
      <w:tr>
        <w:trPr/>
        <w:tc>
          <w:tcPr>
            <w:tcW w:w="725" w:type="dxa"/>
            <w:tcBorders/>
            <w:shd w:fill="auto" w:val="clear"/>
            <w:vAlign w:val="bottom"/>
          </w:tcPr>
          <w:p>
            <w:pPr>
              <w:pStyle w:val="TableContents"/>
              <w:spacing w:before="0" w:after="283"/>
              <w:jc w:val="left"/>
              <w:rPr/>
            </w:pPr>
            <w:r>
              <w:rPr/>
              <w:t>Exhibit</w:t>
            </w:r>
          </w:p>
        </w:tc>
        <w:tc>
          <w:tcPr>
            <w:tcW w:w="305" w:type="dxa"/>
            <w:tcBorders/>
            <w:shd w:fill="auto" w:val="clear"/>
            <w:vAlign w:val="bottom"/>
          </w:tcPr>
          <w:p>
            <w:pPr>
              <w:pStyle w:val="TableContents"/>
              <w:spacing w:before="0" w:after="283"/>
              <w:rPr/>
            </w:pPr>
            <w:r>
              <w:rPr/>
              <w:t> </w:t>
            </w:r>
          </w:p>
        </w:tc>
        <w:tc>
          <w:tcPr>
            <w:tcW w:w="9175" w:type="dxa"/>
            <w:tcBorders/>
            <w:shd w:fill="auto" w:val="clear"/>
            <w:vAlign w:val="bottom"/>
          </w:tcPr>
          <w:p>
            <w:pPr>
              <w:pStyle w:val="TableContents"/>
              <w:spacing w:before="0" w:after="283"/>
              <w:jc w:val="left"/>
              <w:rPr/>
            </w:pPr>
            <w:r>
              <w:rPr/>
              <w:t>Description</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4.2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Specimen of Class A Non-voting Common Stock certificate of the Company, incorporated by reference to Exhibit 4.1 to the Registration Statement on Form S-1 effective August 23, 1991 (File No. 33-41317).</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5.1*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Opinion of Strasburger &amp; Price, L.L.P., as to the validity of the shares being offered.</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10.1**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Fifth Amended and Restated Credit Agreement among EZCORP, Inc., Wells Fargo Bank, N.A., and other financial institutions, dated June ___, 2008.</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23.1*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Consent of BDO Seidman, LLP.</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23.2*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Consent of McGladrey &amp; Pullen, LLP.</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23.3*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Consent of Tedder, James, Worden, &amp; Associates, P.A.</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23.4*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Consent of Strasburger &amp; Price, L.L.P. (included in Exhibit 5.1).</w:t>
            </w:r>
          </w:p>
        </w:tc>
      </w:tr>
      <w:tr>
        <w:trPr/>
        <w:tc>
          <w:tcPr>
            <w:tcW w:w="725"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 </w:t>
            </w:r>
          </w:p>
        </w:tc>
      </w:tr>
      <w:tr>
        <w:trPr/>
        <w:tc>
          <w:tcPr>
            <w:tcW w:w="725" w:type="dxa"/>
            <w:tcBorders/>
            <w:shd w:fill="auto" w:val="clear"/>
          </w:tcPr>
          <w:p>
            <w:pPr>
              <w:pStyle w:val="TableContents"/>
              <w:spacing w:before="0" w:after="0"/>
              <w:ind w:left="0" w:right="0" w:hanging="0"/>
              <w:rPr/>
            </w:pPr>
            <w:r>
              <w:rPr/>
              <w:t xml:space="preserve">24.1 </w:t>
            </w:r>
          </w:p>
        </w:tc>
        <w:tc>
          <w:tcPr>
            <w:tcW w:w="305" w:type="dxa"/>
            <w:tcBorders/>
            <w:shd w:fill="auto" w:val="clear"/>
            <w:vAlign w:val="bottom"/>
          </w:tcPr>
          <w:p>
            <w:pPr>
              <w:pStyle w:val="TableContents"/>
              <w:spacing w:before="0" w:after="283"/>
              <w:rPr/>
            </w:pPr>
            <w:r>
              <w:rPr/>
              <w:t> </w:t>
            </w:r>
          </w:p>
        </w:tc>
        <w:tc>
          <w:tcPr>
            <w:tcW w:w="9175" w:type="dxa"/>
            <w:tcBorders/>
            <w:shd w:fill="auto" w:val="clear"/>
          </w:tcPr>
          <w:p>
            <w:pPr>
              <w:pStyle w:val="TableContents"/>
              <w:spacing w:before="0" w:after="283"/>
              <w:jc w:val="left"/>
              <w:rPr/>
            </w:pPr>
            <w:r>
              <w:rPr/>
              <w:t>Power of Attorney (included on signature page).</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85"/>
        <w:gridCol w:w="2244"/>
        <w:gridCol w:w="1176"/>
      </w:tblGrid>
      <w:tr>
        <w:trPr/>
        <w:tc>
          <w:tcPr>
            <w:tcW w:w="6785"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6785" w:type="dxa"/>
            <w:tcBorders/>
            <w:shd w:fill="auto" w:val="clear"/>
          </w:tcPr>
          <w:p>
            <w:pPr>
              <w:pStyle w:val="TableContents"/>
              <w:spacing w:before="0" w:after="283"/>
              <w:jc w:val="left"/>
              <w:rPr/>
            </w:pPr>
            <w:r>
              <w:rPr/>
              <w:t>*</w:t>
            </w:r>
          </w:p>
        </w:tc>
        <w:tc>
          <w:tcPr>
            <w:tcW w:w="2244" w:type="dxa"/>
            <w:tcBorders/>
            <w:shd w:fill="auto" w:val="clear"/>
          </w:tcPr>
          <w:p>
            <w:pPr>
              <w:pStyle w:val="TableContents"/>
              <w:spacing w:before="0" w:after="283"/>
              <w:rPr/>
            </w:pPr>
            <w:r>
              <w:rPr/>
              <w:t> </w:t>
            </w:r>
          </w:p>
        </w:tc>
        <w:tc>
          <w:tcPr>
            <w:tcW w:w="1176" w:type="dxa"/>
            <w:tcBorders/>
            <w:shd w:fill="auto" w:val="clear"/>
          </w:tcPr>
          <w:p>
            <w:pPr>
              <w:pStyle w:val="TableContents"/>
              <w:spacing w:before="0" w:after="283"/>
              <w:rPr/>
            </w:pPr>
            <w:r>
              <w:rPr/>
              <w:t>Filed with this Form S-3.</w:t>
            </w:r>
          </w:p>
        </w:tc>
      </w:tr>
      <w:tr>
        <w:trPr/>
        <w:tc>
          <w:tcPr>
            <w:tcW w:w="6785" w:type="dxa"/>
            <w:tcBorders/>
            <w:shd w:fill="auto" w:val="clear"/>
            <w:vAlign w:val="center"/>
          </w:tcPr>
          <w:p>
            <w:pPr>
              <w:pStyle w:val="TableContents"/>
              <w:spacing w:before="0" w:after="283"/>
              <w:rPr/>
            </w:pPr>
            <w:r>
              <w:rPr/>
              <w:t> </w:t>
            </w:r>
          </w:p>
        </w:tc>
        <w:tc>
          <w:tcPr>
            <w:tcW w:w="3420" w:type="dxa"/>
            <w:gridSpan w:val="2"/>
            <w:tcBorders/>
            <w:shd w:fill="auto" w:val="clear"/>
          </w:tcPr>
          <w:p>
            <w:pPr>
              <w:pStyle w:val="TableContents"/>
              <w:spacing w:before="0" w:after="283"/>
              <w:rPr>
                <w:sz w:val="4"/>
                <w:szCs w:val="4"/>
              </w:rPr>
            </w:pPr>
            <w:r>
              <w:rPr>
                <w:sz w:val="4"/>
                <w:szCs w:val="4"/>
              </w:rPr>
            </w:r>
          </w:p>
        </w:tc>
      </w:tr>
      <w:tr>
        <w:trPr/>
        <w:tc>
          <w:tcPr>
            <w:tcW w:w="6785" w:type="dxa"/>
            <w:tcBorders/>
            <w:shd w:fill="auto" w:val="clear"/>
          </w:tcPr>
          <w:p>
            <w:pPr>
              <w:pStyle w:val="TableContents"/>
              <w:spacing w:before="0" w:after="283"/>
              <w:jc w:val="left"/>
              <w:rPr/>
            </w:pPr>
            <w:r>
              <w:rPr/>
              <w:t>**</w:t>
            </w:r>
          </w:p>
        </w:tc>
        <w:tc>
          <w:tcPr>
            <w:tcW w:w="2244" w:type="dxa"/>
            <w:tcBorders/>
            <w:shd w:fill="auto" w:val="clear"/>
          </w:tcPr>
          <w:p>
            <w:pPr>
              <w:pStyle w:val="TableContents"/>
              <w:spacing w:before="0" w:after="283"/>
              <w:rPr/>
            </w:pPr>
            <w:r>
              <w:rPr/>
              <w:t> </w:t>
            </w:r>
          </w:p>
        </w:tc>
        <w:tc>
          <w:tcPr>
            <w:tcW w:w="1176" w:type="dxa"/>
            <w:tcBorders/>
            <w:shd w:fill="auto" w:val="clear"/>
          </w:tcPr>
          <w:p>
            <w:pPr>
              <w:pStyle w:val="TableContents"/>
              <w:spacing w:before="0" w:after="283"/>
              <w:rPr/>
            </w:pPr>
            <w:r>
              <w:rPr/>
              <w:t>To be filed by amendment.</w:t>
            </w:r>
          </w:p>
        </w:tc>
      </w:tr>
    </w:tbl>
    <w:p>
      <w:pPr>
        <w:pStyle w:val="TextBody"/>
        <w:jc w:val="center"/>
        <w:rPr/>
      </w:pPr>
      <w:r>
        <w:rPr/>
        <w:t xml:space="preserve">  </w:t>
      </w:r>
      <w:r>
        <w:br w:type="page"/>
      </w:r>
    </w:p>
    <w:p>
      <w:pPr>
        <w:pStyle w:val="TextBody"/>
        <w:spacing w:before="360" w:after="283"/>
        <w:jc w:val="center"/>
        <w:rPr>
          <w:rFonts w:ascii="Times New Roman;Times;serif" w:hAnsi="Times New Roman;Times;serif"/>
          <w:sz w:val="17"/>
        </w:rPr>
      </w:pPr>
      <w:bookmarkStart w:id="25" w:name="d57914exv5w1.htm"/>
      <w:bookmarkStart w:id="26" w:name="ksd57914exv5w1"/>
      <w:bookmarkEnd w:id="25"/>
      <w:bookmarkEnd w:id="26"/>
      <w:r>
        <w:rPr>
          <w:rFonts w:ascii="Times New Roman;Times;serif" w:hAnsi="Times New Roman;Times;serif"/>
          <w:sz w:val="17"/>
        </w:rPr>
        <w:t xml:space="preserve">Exhibit 5.1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Strasburger &amp; Price, L.L.P.</w:t>
        <w:br/>
        <w:t>600 Congress Avenue, Suite 1600</w:t>
        <w:br/>
        <w:t>Austin, Texas 78701</w:t>
        <w:br/>
        <w:t xml:space="preserve">512.499.3600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June 23,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Inc.</w:t>
        <w:br/>
        <w:t>1901 Capital Parkway</w:t>
        <w:br/>
        <w:t xml:space="preserve">Austin, Texas 78746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 Registration Statement on Form S-3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Gentlemen: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acted as counsel for EZCORP, Inc., a Delaware corporation (the Company), in connection with the registration under the Securities Act of 1933, as amended, of 1,625,015 shares of the Companys Class A Non-voting Common Stock, par value $0.01 per share (the Shares), as described in the Registration Statement on Form S-3 dated June 23, 2008 (the Registration Statement). The Shares will be issued to those 15 shareholders of Value Financial Services, Inc. (VFS) listed in the Registration Statement (the Shareholders). The Shareholders will receive the Shares pursuant to the merger between Value Merger Sub, Inc., a wholly owned subsidiary of the Company, and VFS (the Merger) contemplated by the Merger Agreement (the Merger Agreement), which is listed as an exhibit to the Registration Statement.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examined the Registration Statement and originals or copies, certified or otherwise identified to our satisfaction, of the Certificate of Incorporation of the Company, as amended, the Bylaws of the Company, as amended, the Merger Agreement, records of relevant corporate proceedings with respect to the offering of the Shares and such other documents and instruments as we have deemed necessary or appropriate as a basis for the opinions hereinafter expressed. In all such examinations, we have assumed the authenticity and completeness of all documents submitted as originals or duplicate originals, the conformity to original documents of all document copies, the authenticity of the respective originals of such latter documents, and the correctness and completeness of such certificates.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opinions set forth above are limited exclusively to the Delaware Constitution, the General Corporation Law of the State of Delaware and reported judicial decisions interpreting such laws.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upon the foregoing and subject to the qualifications and assumptions set forth herein, it is our opinion that upon the effectiveness of the Merger and when the Shares are issued as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contemplated in the Merger Agreement, all of the Shares will be legally issued, fully paid and non-assessable.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inclusion of this opinion in the Exhibits to the Registration Statement. Subject to the foregoing, this opinion is limited to the matters expressly set forth in this letter, as limited herein as of the date of this letter.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Very truly yours,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Strasburger &amp; Price, LLP </w:t>
        <w:br/>
        <w:br/>
        <w:t xml:space="preserve">STRASBURGER &amp; PRICE, LLP </w:t>
      </w:r>
    </w:p>
    <w:p>
      <w:pPr>
        <w:pStyle w:val="TextBody"/>
        <w:jc w:val="center"/>
        <w:rPr/>
      </w:pPr>
      <w:r>
        <w:rPr/>
        <w:t xml:space="preserve">  </w:t>
      </w:r>
      <w:r>
        <w:br w:type="page"/>
      </w:r>
    </w:p>
    <w:p>
      <w:pPr>
        <w:pStyle w:val="TextBody"/>
        <w:spacing w:before="360" w:after="283"/>
        <w:jc w:val="center"/>
        <w:rPr>
          <w:rFonts w:ascii="Times New Roman;Times;serif" w:hAnsi="Times New Roman;Times;serif"/>
          <w:sz w:val="17"/>
        </w:rPr>
      </w:pPr>
      <w:bookmarkStart w:id="27" w:name="d57914exv23w1.htm"/>
      <w:bookmarkStart w:id="28" w:name="ksd57914exv23w1"/>
      <w:bookmarkEnd w:id="27"/>
      <w:bookmarkEnd w:id="28"/>
      <w:r>
        <w:rPr>
          <w:rFonts w:ascii="Times New Roman;Times;serif" w:hAnsi="Times New Roman;Times;serif"/>
          <w:sz w:val="17"/>
        </w:rPr>
        <w:t xml:space="preserve">Exhibit 23.1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Consent of Independent Registered Public Accounting Firm</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appearing in the Companys Annual Report on Form 10-K for the year ended September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consent to the reference to us under the caption Experts in the Prospectus. </w:t>
      </w:r>
    </w:p>
    <w:tbl>
      <w:tblPr>
        <w:tblW w:w="5000" w:type="pct"/>
        <w:jc w:val="left"/>
        <w:tblInd w:w="0" w:type="dxa"/>
        <w:tblCellMar>
          <w:top w:w="0" w:type="dxa"/>
          <w:left w:w="0" w:type="dxa"/>
          <w:bottom w:w="0" w:type="dxa"/>
          <w:right w:w="0" w:type="dxa"/>
        </w:tblCellMar>
      </w:tblPr>
      <w:tblGrid>
        <w:gridCol w:w="3572"/>
        <w:gridCol w:w="102"/>
        <w:gridCol w:w="101"/>
        <w:gridCol w:w="4900"/>
        <w:gridCol w:w="1530"/>
      </w:tblGrid>
      <w:tr>
        <w:trPr/>
        <w:tc>
          <w:tcPr>
            <w:tcW w:w="357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4900" w:type="dxa"/>
            <w:tcBorders/>
            <w:shd w:fill="auto" w:val="clear"/>
            <w:vAlign w:val="center"/>
          </w:tcPr>
          <w:p>
            <w:pPr>
              <w:pStyle w:val="TableContents"/>
              <w:spacing w:before="0" w:after="283"/>
              <w:rPr/>
            </w:pPr>
            <w:r>
              <w:rPr/>
              <w:t> </w:t>
            </w:r>
          </w:p>
        </w:tc>
        <w:tc>
          <w:tcPr>
            <w:tcW w:w="1530" w:type="dxa"/>
            <w:tcBorders/>
            <w:shd w:fill="auto" w:val="clear"/>
            <w:vAlign w:val="center"/>
          </w:tcPr>
          <w:p>
            <w:pPr>
              <w:pStyle w:val="TableContents"/>
              <w:spacing w:before="0" w:after="283"/>
              <w:rPr/>
            </w:pPr>
            <w:r>
              <w:rPr/>
              <w:t> </w:t>
            </w:r>
          </w:p>
        </w:tc>
      </w:tr>
      <w:tr>
        <w:trPr/>
        <w:tc>
          <w:tcPr>
            <w:tcW w:w="3572" w:type="dxa"/>
            <w:tcBorders/>
            <w:shd w:fill="auto" w:val="clear"/>
          </w:tcPr>
          <w:p>
            <w:pPr>
              <w:pStyle w:val="TableContents"/>
              <w:spacing w:before="0" w:after="283"/>
              <w:jc w:val="left"/>
              <w:rPr/>
            </w:pPr>
            <w:r>
              <w:rPr/>
              <w:t> </w:t>
            </w:r>
          </w:p>
        </w:tc>
        <w:tc>
          <w:tcPr>
            <w:tcW w:w="5103" w:type="dxa"/>
            <w:gridSpan w:val="3"/>
            <w:tcBorders/>
            <w:shd w:fill="auto" w:val="clear"/>
            <w:vAlign w:val="center"/>
          </w:tcPr>
          <w:p>
            <w:pPr>
              <w:pStyle w:val="TableContents"/>
              <w:spacing w:before="0" w:after="283"/>
              <w:jc w:val="left"/>
              <w:rPr/>
            </w:pPr>
            <w:r>
              <w:rPr/>
              <w:t> </w:t>
            </w:r>
          </w:p>
        </w:tc>
        <w:tc>
          <w:tcPr>
            <w:tcW w:w="1530" w:type="dxa"/>
            <w:tcBorders/>
            <w:shd w:fill="auto" w:val="clear"/>
            <w:vAlign w:val="center"/>
          </w:tcPr>
          <w:p>
            <w:pPr>
              <w:pStyle w:val="TableContents"/>
              <w:spacing w:before="0" w:after="283"/>
              <w:rPr/>
            </w:pPr>
            <w:r>
              <w:rPr/>
              <w:t> </w:t>
            </w:r>
          </w:p>
        </w:tc>
      </w:tr>
      <w:tr>
        <w:trPr/>
        <w:tc>
          <w:tcPr>
            <w:tcW w:w="3572" w:type="dxa"/>
            <w:tcBorders>
              <w:bottom w:val="single" w:sz="2" w:space="0" w:color="000000"/>
            </w:tcBorders>
            <w:shd w:fill="auto" w:val="clear"/>
            <w:tcMar>
              <w:bottom w:w="28" w:type="dxa"/>
            </w:tcMar>
            <w:vAlign w:val="center"/>
          </w:tcPr>
          <w:p>
            <w:pPr>
              <w:pStyle w:val="TableContents"/>
              <w:spacing w:before="0" w:after="283"/>
              <w:jc w:val="left"/>
              <w:rPr/>
            </w:pPr>
            <w:r>
              <w:rPr/>
              <w:t>/s/ BDO Seidman, LLP  </w:t>
            </w:r>
          </w:p>
        </w:tc>
        <w:tc>
          <w:tcPr>
            <w:tcW w:w="102" w:type="dxa"/>
            <w:tcBorders/>
            <w:shd w:fill="auto" w:val="clear"/>
            <w:vAlign w:val="center"/>
          </w:tcPr>
          <w:p>
            <w:pPr>
              <w:pStyle w:val="TableContents"/>
              <w:spacing w:before="0" w:after="283"/>
              <w:rPr/>
            </w:pPr>
            <w:r>
              <w:rPr/>
              <w:t> </w:t>
            </w:r>
          </w:p>
        </w:tc>
        <w:tc>
          <w:tcPr>
            <w:tcW w:w="6531" w:type="dxa"/>
            <w:gridSpan w:val="3"/>
            <w:tcBorders/>
            <w:shd w:fill="auto" w:val="clea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jc w:val="left"/>
              <w:rPr/>
            </w:pPr>
            <w:r>
              <w:rPr/>
              <w:t> </w:t>
            </w:r>
          </w:p>
        </w:tc>
        <w:tc>
          <w:tcPr>
            <w:tcW w:w="5103" w:type="dxa"/>
            <w:gridSpan w:val="3"/>
            <w:tcBorders/>
            <w:shd w:fill="auto" w:val="clear"/>
            <w:vAlign w:val="center"/>
          </w:tcPr>
          <w:p>
            <w:pPr>
              <w:pStyle w:val="TableContents"/>
              <w:spacing w:before="0" w:after="283"/>
              <w:jc w:val="left"/>
              <w:rPr/>
            </w:pPr>
            <w:r>
              <w:rPr/>
              <w:t> </w:t>
            </w:r>
          </w:p>
        </w:tc>
        <w:tc>
          <w:tcPr>
            <w:tcW w:w="1530" w:type="dxa"/>
            <w:tcBorders/>
            <w:shd w:fill="auto" w:val="clear"/>
            <w:vAlign w:val="center"/>
          </w:tcPr>
          <w:p>
            <w:pPr>
              <w:pStyle w:val="TableContents"/>
              <w:spacing w:before="0" w:after="283"/>
              <w:rPr/>
            </w:pPr>
            <w:r>
              <w:rPr/>
              <w:t> </w:t>
            </w:r>
          </w:p>
        </w:tc>
      </w:tr>
      <w:tr>
        <w:trPr/>
        <w:tc>
          <w:tcPr>
            <w:tcW w:w="3572" w:type="dxa"/>
            <w:tcBorders/>
            <w:shd w:fill="auto" w:val="clear"/>
            <w:vAlign w:val="center"/>
          </w:tcPr>
          <w:p>
            <w:pPr>
              <w:pStyle w:val="TableContents"/>
              <w:spacing w:before="0" w:after="283"/>
              <w:jc w:val="left"/>
              <w:rPr/>
            </w:pPr>
            <w:r>
              <w:rPr/>
              <w:t>BDO Seidman, LLP  </w:t>
            </w:r>
          </w:p>
        </w:tc>
        <w:tc>
          <w:tcPr>
            <w:tcW w:w="102" w:type="dxa"/>
            <w:tcBorders/>
            <w:shd w:fill="auto" w:val="clear"/>
            <w:vAlign w:val="center"/>
          </w:tcPr>
          <w:p>
            <w:pPr>
              <w:pStyle w:val="TableContents"/>
              <w:spacing w:before="0" w:after="283"/>
              <w:rPr/>
            </w:pPr>
            <w:r>
              <w:rPr/>
              <w:t> </w:t>
            </w:r>
          </w:p>
        </w:tc>
        <w:tc>
          <w:tcPr>
            <w:tcW w:w="6531" w:type="dxa"/>
            <w:gridSpan w:val="3"/>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jc w:val="left"/>
              <w:rPr/>
            </w:pPr>
            <w:r>
              <w:rPr/>
              <w:t>Dallas, Texas </w:t>
            </w:r>
          </w:p>
        </w:tc>
        <w:tc>
          <w:tcPr>
            <w:tcW w:w="102" w:type="dxa"/>
            <w:tcBorders/>
            <w:shd w:fill="auto" w:val="clear"/>
            <w:vAlign w:val="center"/>
          </w:tcPr>
          <w:p>
            <w:pPr>
              <w:pStyle w:val="TableContents"/>
              <w:spacing w:before="0" w:after="283"/>
              <w:rPr/>
            </w:pPr>
            <w:r>
              <w:rPr/>
              <w:t> </w:t>
            </w:r>
          </w:p>
        </w:tc>
        <w:tc>
          <w:tcPr>
            <w:tcW w:w="6531" w:type="dxa"/>
            <w:gridSpan w:val="3"/>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June 23, 2008 </w:t>
      </w:r>
    </w:p>
    <w:p>
      <w:pPr>
        <w:pStyle w:val="TextBody"/>
        <w:jc w:val="center"/>
        <w:rPr/>
      </w:pPr>
      <w:r>
        <w:rPr/>
        <w:t xml:space="preserve">  </w:t>
      </w:r>
      <w:r>
        <w:br w:type="page"/>
      </w:r>
    </w:p>
    <w:p>
      <w:pPr>
        <w:pStyle w:val="TextBody"/>
        <w:spacing w:before="360" w:after="283"/>
        <w:jc w:val="center"/>
        <w:rPr>
          <w:rFonts w:ascii="Times New Roman;Times;serif" w:hAnsi="Times New Roman;Times;serif"/>
          <w:sz w:val="17"/>
        </w:rPr>
      </w:pPr>
      <w:bookmarkStart w:id="29" w:name="d57914exv23w2.htm"/>
      <w:bookmarkStart w:id="30" w:name="ksd57914exv23w2"/>
      <w:bookmarkEnd w:id="29"/>
      <w:bookmarkEnd w:id="30"/>
      <w:r>
        <w:rPr>
          <w:rFonts w:ascii="Times New Roman;Times;serif" w:hAnsi="Times New Roman;Times;serif"/>
          <w:sz w:val="17"/>
        </w:rPr>
        <w:t xml:space="preserve">Exhibit 23.2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Consent of Independent Auditor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consent to the use in this Registration Statement on Form S-3 of EZCORP, Inc. of our report dated June 2, 2008 relating to our audit of the consolidated financial statements of Value Financial Services, Inc., appearing in the Prospectus, which is part of this Registration Statement.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consent to the reference to our firm under the caption Experts in such Prospectus.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McGladrey &amp; Pullen,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Orlando, Florida</w:t>
        <w:br/>
        <w:t xml:space="preserve">June 23, 2008 </w:t>
      </w:r>
    </w:p>
    <w:p>
      <w:pPr>
        <w:pStyle w:val="TextBody"/>
        <w:jc w:val="center"/>
        <w:rPr/>
      </w:pPr>
      <w:r>
        <w:rPr/>
        <w:t xml:space="preserve">  </w:t>
      </w:r>
      <w:r>
        <w:br w:type="page"/>
      </w:r>
    </w:p>
    <w:p>
      <w:pPr>
        <w:pStyle w:val="TextBody"/>
        <w:spacing w:before="360" w:after="283"/>
        <w:jc w:val="center"/>
        <w:rPr>
          <w:rFonts w:ascii="Times New Roman;Times;serif" w:hAnsi="Times New Roman;Times;serif"/>
          <w:sz w:val="17"/>
        </w:rPr>
      </w:pPr>
      <w:bookmarkStart w:id="31" w:name="d57914exv23w3.htm"/>
      <w:bookmarkStart w:id="32" w:name="ksd57914exv23w3"/>
      <w:bookmarkEnd w:id="31"/>
      <w:bookmarkEnd w:id="32"/>
      <w:r>
        <w:rPr>
          <w:rFonts w:ascii="Times New Roman;Times;serif" w:hAnsi="Times New Roman;Times;serif"/>
          <w:sz w:val="17"/>
        </w:rPr>
        <w:t xml:space="preserve">Exhibit 23.3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Consent of Independent Auditor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consent to the use in this Registration Statement on Form S-3 of EZCORP, Inc. of our report dated August 13, 2007, except for the effects of the restatements to the consolidated financial statements of operations and cash flows and as described in Note 1(a), as to which the date is November 8, 2007, relating to our audit of the consolidated financial statements of Value Financial Services, Inc., appearing in the Prospectus, which is part of this Registration Statement.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consent to the reference to our firm under the caption Experts in such Prospectus.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Tedder, James, Worden &amp; Associates, P.A. </w:t>
      </w:r>
    </w:p>
    <w:p>
      <w:pPr>
        <w:pStyle w:val="TextBody"/>
        <w:spacing w:before="120" w:after="283"/>
        <w:jc w:val="left"/>
        <w:rPr>
          <w:rFonts w:ascii="Times New Roman;Times;serif" w:hAnsi="Times New Roman;Times;serif"/>
          <w:sz w:val="17"/>
        </w:rPr>
      </w:pPr>
      <w:r>
        <w:rPr>
          <w:rFonts w:ascii="Times New Roman;Times;serif" w:hAnsi="Times New Roman;Times;serif"/>
          <w:sz w:val="17"/>
        </w:rPr>
        <w:t>Orlando, Florida</w:t>
        <w:br/>
        <w:t xml:space="preserve">June 23, 2008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74</Pages>
  <Words>27172</Words>
  <CharactersWithSpaces>175844</CharactersWithSpaces>
  <Paragraphs>12692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exv23w3</dc:title>
</cp:coreProperties>
</file>