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ind w:left="2960"/>
        <w:spacing w:after="0"/>
        <w:rPr>
          <w:sz w:val="20"/>
          <w:szCs w:val="20"/>
          <w:color w:val="auto"/>
        </w:rPr>
      </w:pPr>
      <w:r>
        <w:rPr>
          <w:rFonts w:ascii="Arial" w:cs="Arial" w:eastAsia="Arial" w:hAnsi="Arial"/>
          <w:sz w:val="25"/>
          <w:szCs w:val="25"/>
          <w:b w:val="1"/>
          <w:bCs w:val="1"/>
          <w:color w:val="auto"/>
        </w:rPr>
        <w:t>SECURITIES AND EXCHANGE COMMISSION</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123190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73025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5" w:lineRule="exact"/>
        <w:rPr>
          <w:sz w:val="24"/>
          <w:szCs w:val="24"/>
          <w:color w:val="auto"/>
        </w:rPr>
      </w:pPr>
    </w:p>
    <w:p>
      <w:pPr>
        <w:ind w:left="3600" w:right="740" w:hanging="2980"/>
        <w:spacing w:after="0" w:line="397" w:lineRule="auto"/>
        <w:tabs>
          <w:tab w:leader="none" w:pos="122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2024 or</w:t>
      </w:r>
    </w:p>
    <w:p>
      <w:pPr>
        <w:spacing w:after="0" w:line="70" w:lineRule="exact"/>
        <w:rPr>
          <w:sz w:val="24"/>
          <w:szCs w:val="24"/>
          <w:color w:val="auto"/>
        </w:rPr>
      </w:pPr>
    </w:p>
    <w:p>
      <w:pPr>
        <w:ind w:left="1220" w:hanging="600"/>
        <w:spacing w:after="0"/>
        <w:tabs>
          <w:tab w:leader="none" w:pos="12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3"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-7620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52070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EZCORP, INC.</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660" w:type="dxa"/>
        <w:tblCellMar>
          <w:top w:w="0" w:type="dxa"/>
          <w:left w:w="0" w:type="dxa"/>
          <w:bottom w:w="0" w:type="dxa"/>
          <w:right w:w="0" w:type="dxa"/>
        </w:tblCellMar>
      </w:tblPr>
      <w:tr>
        <w:trPr>
          <w:trHeight w:val="196"/>
        </w:trPr>
        <w:tc>
          <w:tcPr>
            <w:tcW w:w="1100" w:type="dxa"/>
            <w:vAlign w:val="bottom"/>
          </w:tcPr>
          <w:p>
            <w:pPr>
              <w:spacing w:after="0"/>
              <w:rPr>
                <w:sz w:val="17"/>
                <w:szCs w:val="17"/>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020" w:type="dxa"/>
            <w:vAlign w:val="bottom"/>
          </w:tcPr>
          <w:p>
            <w:pPr>
              <w:jc w:val="right"/>
              <w:ind w:right="50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68"/>
        </w:trPr>
        <w:tc>
          <w:tcPr>
            <w:tcW w:w="394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90"/>
        </w:trPr>
        <w:tc>
          <w:tcPr>
            <w:tcW w:w="3940" w:type="dxa"/>
            <w:vAlign w:val="bottom"/>
            <w:gridSpan w:val="2"/>
            <w:vMerge w:val="continue"/>
          </w:tcPr>
          <w:p>
            <w:pPr>
              <w:spacing w:after="0"/>
              <w:rPr>
                <w:sz w:val="16"/>
                <w:szCs w:val="16"/>
                <w:color w:val="auto"/>
              </w:rPr>
            </w:pP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2500 Bee Cave</w:t>
            </w:r>
          </w:p>
        </w:tc>
        <w:tc>
          <w:tcPr>
            <w:tcW w:w="2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Bldg One Suite 200 Rollingwood  TX</w:t>
            </w:r>
          </w:p>
        </w:tc>
        <w:tc>
          <w:tcPr>
            <w:tcW w:w="20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89"/>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Road</w:t>
            </w:r>
          </w:p>
        </w:tc>
        <w:tc>
          <w:tcPr>
            <w:tcW w:w="28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gridSpan w:val="2"/>
          </w:tcPr>
          <w:p>
            <w:pPr>
              <w:jc w:val="center"/>
              <w:ind w:right="4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126365</wp:posOffset>
            </wp:positionV>
            <wp:extent cx="233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9" w:lineRule="exact"/>
        <w:rPr>
          <w:sz w:val="24"/>
          <w:szCs w:val="24"/>
          <w:color w:val="auto"/>
        </w:rPr>
      </w:pPr>
    </w:p>
    <w:tbl>
      <w:tblPr>
        <w:tblLayout w:type="fixed"/>
        <w:tblInd w:w="1000" w:type="dxa"/>
        <w:tblCellMar>
          <w:top w:w="0" w:type="dxa"/>
          <w:left w:w="0" w:type="dxa"/>
          <w:bottom w:w="0" w:type="dxa"/>
          <w:right w:w="0" w:type="dxa"/>
        </w:tblCellMar>
      </w:tblPr>
      <w:tr>
        <w:trPr>
          <w:trHeight w:val="19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EZPW</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6"/>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vMerge w:val="continue"/>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ind w:right="4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52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Accelerated filer</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Smaller reporting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580" w:type="dxa"/>
            <w:vAlign w:val="bottom"/>
          </w:tcPr>
          <w:p>
            <w:pPr>
              <w:ind w:left="120"/>
              <w:spacing w:after="0"/>
              <w:rPr>
                <w:sz w:val="20"/>
                <w:szCs w:val="20"/>
                <w:color w:val="auto"/>
              </w:rPr>
            </w:pPr>
            <w:r>
              <w:rPr>
                <w:rFonts w:ascii="Arial" w:cs="Arial" w:eastAsia="Arial" w:hAnsi="Arial"/>
                <w:sz w:val="14"/>
                <w:szCs w:val="14"/>
                <w:color w:val="auto"/>
              </w:rPr>
              <w:t>Emerging growth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36"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As of July 24, 2024, 51,769,716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60" w:type="dxa"/>
            <w:vAlign w:val="bottom"/>
            <w:gridSpan w:val="12"/>
          </w:tcPr>
          <w:p>
            <w:pPr>
              <w:jc w:val="center"/>
              <w:ind w:right="4780"/>
              <w:spacing w:after="0"/>
              <w:rPr>
                <w:sz w:val="20"/>
                <w:szCs w:val="20"/>
                <w:color w:val="auto"/>
              </w:rPr>
            </w:pPr>
            <w:r>
              <w:rPr>
                <w:rFonts w:ascii="Arial" w:cs="Arial" w:eastAsia="Arial" w:hAnsi="Arial"/>
                <w:sz w:val="18"/>
                <w:szCs w:val="18"/>
                <w:b w:val="1"/>
                <w:bCs w:val="1"/>
                <w:color w:val="auto"/>
                <w:w w:val="98"/>
              </w:rPr>
              <w:t>EZCORP, Inc.</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0" w:type="dxa"/>
            <w:vAlign w:val="bottom"/>
            <w:gridSpan w:val="13"/>
          </w:tcPr>
          <w:p>
            <w:pPr>
              <w:jc w:val="center"/>
              <w:ind w:right="4160"/>
              <w:spacing w:after="0"/>
              <w:rPr>
                <w:sz w:val="20"/>
                <w:szCs w:val="20"/>
                <w:color w:val="auto"/>
              </w:rPr>
            </w:pPr>
            <w:r>
              <w:rPr>
                <w:rFonts w:ascii="Arial" w:cs="Arial" w:eastAsia="Arial" w:hAnsi="Arial"/>
                <w:sz w:val="18"/>
                <w:szCs w:val="18"/>
                <w:b w:val="1"/>
                <w:bCs w:val="1"/>
                <w:color w:val="auto"/>
                <w:w w:val="99"/>
              </w:rPr>
              <w:t>INDEX TO FORM 10-Q</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980" w:type="dxa"/>
            <w:vAlign w:val="bottom"/>
            <w:gridSpan w:val="31"/>
          </w:tcPr>
          <w:p>
            <w:pPr>
              <w:spacing w:after="0"/>
              <w:rPr>
                <w:sz w:val="20"/>
                <w:szCs w:val="20"/>
                <w:color w:val="auto"/>
              </w:rPr>
            </w:pPr>
            <w:r>
              <w:rPr>
                <w:rFonts w:ascii="Arial" w:cs="Arial" w:eastAsia="Arial" w:hAnsi="Arial"/>
                <w:sz w:val="18"/>
                <w:szCs w:val="18"/>
                <w:color w:val="0000FF"/>
              </w:rPr>
              <w:t>PART I — 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tcBorders>
              <w:bottom w:val="single" w:sz="8" w:color="0000FF"/>
            </w:tcBorders>
            <w:gridSpan w:val="15"/>
          </w:tcPr>
          <w:p>
            <w:pPr>
              <w:ind w:left="20"/>
              <w:spacing w:after="0"/>
              <w:rPr>
                <w:sz w:val="20"/>
                <w:szCs w:val="20"/>
                <w:color w:val="auto"/>
              </w:rPr>
            </w:pPr>
            <w:r>
              <w:rPr>
                <w:rFonts w:ascii="Arial" w:cs="Arial" w:eastAsia="Arial" w:hAnsi="Arial"/>
                <w:sz w:val="18"/>
                <w:szCs w:val="18"/>
                <w:color w:val="0000FF"/>
                <w:w w:val="99"/>
              </w:rPr>
              <w:t>Item 1. Financial Statements (unaudited)</w:t>
            </w:r>
          </w:p>
        </w:tc>
        <w:tc>
          <w:tcPr>
            <w:tcW w:w="7400" w:type="dxa"/>
            <w:vAlign w:val="bottom"/>
            <w:gridSpan w:val="15"/>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29"/>
          </w:tcPr>
          <w:p>
            <w:pPr>
              <w:spacing w:after="0"/>
              <w:rPr>
                <w:sz w:val="20"/>
                <w:szCs w:val="20"/>
                <w:color w:val="auto"/>
              </w:rPr>
            </w:pPr>
            <w:r>
              <w:rPr>
                <w:rFonts w:ascii="Arial" w:cs="Arial" w:eastAsia="Arial" w:hAnsi="Arial"/>
                <w:sz w:val="18"/>
                <w:szCs w:val="18"/>
                <w:color w:val="0000FF"/>
              </w:rPr>
              <w:t>Condensed Consolidated Balance Sheets as of June 30, 2024 and 2023 and September 30, 2023</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160" w:type="dxa"/>
            <w:vAlign w:val="bottom"/>
            <w:gridSpan w:val="27"/>
          </w:tcPr>
          <w:p>
            <w:pPr>
              <w:spacing w:after="0"/>
              <w:rPr>
                <w:sz w:val="20"/>
                <w:szCs w:val="20"/>
                <w:color w:val="auto"/>
              </w:rPr>
            </w:pPr>
            <w:r>
              <w:rPr>
                <w:rFonts w:ascii="Arial" w:cs="Arial" w:eastAsia="Arial" w:hAnsi="Arial"/>
                <w:sz w:val="18"/>
                <w:szCs w:val="18"/>
                <w:color w:val="0000FF"/>
                <w:w w:val="99"/>
              </w:rPr>
              <w:t>Condensed Consolidated Statements of Operations for the Three and Nine Months Ended June 30, 2024 and 2023</w:t>
            </w:r>
          </w:p>
        </w:tc>
        <w:tc>
          <w:tcPr>
            <w:tcW w:w="1160" w:type="dxa"/>
            <w:vAlign w:val="bottom"/>
            <w:gridSpan w:val="2"/>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Condensed Consolidated Statements of Comprehensive Income for the Three and Nine Months Ended June 30, 2024</w:t>
            </w:r>
          </w:p>
        </w:tc>
        <w:tc>
          <w:tcPr>
            <w:tcW w:w="940" w:type="dxa"/>
            <w:vAlign w:val="bottom"/>
          </w:tcPr>
          <w:p>
            <w:pPr>
              <w:spacing w:after="0"/>
              <w:rPr>
                <w:sz w:val="18"/>
                <w:szCs w:val="18"/>
                <w:color w:val="auto"/>
              </w:rPr>
            </w:pPr>
          </w:p>
        </w:tc>
        <w:tc>
          <w:tcPr>
            <w:tcW w:w="2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320" w:type="dxa"/>
            <w:vAlign w:val="bottom"/>
            <w:gridSpan w:val="29"/>
            <w:vMerge w:val="restart"/>
          </w:tcPr>
          <w:p>
            <w:pPr>
              <w:spacing w:after="0" w:line="156" w:lineRule="exact"/>
              <w:rPr>
                <w:sz w:val="20"/>
                <w:szCs w:val="20"/>
                <w:color w:val="auto"/>
              </w:rPr>
            </w:pPr>
            <w:r>
              <w:rPr>
                <w:rFonts w:ascii="Arial" w:cs="Arial" w:eastAsia="Arial" w:hAnsi="Arial"/>
                <w:sz w:val="18"/>
                <w:szCs w:val="18"/>
                <w:color w:val="0000FF"/>
              </w:rPr>
              <w:t>and 2023</w:t>
            </w:r>
          </w:p>
        </w:tc>
        <w:tc>
          <w:tcPr>
            <w:tcW w:w="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320" w:type="dxa"/>
            <w:vAlign w:val="bottom"/>
            <w:gridSpan w:val="29"/>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40" w:type="dxa"/>
            <w:vAlign w:val="bottom"/>
            <w:gridSpan w:val="26"/>
          </w:tcPr>
          <w:p>
            <w:pPr>
              <w:spacing w:after="0"/>
              <w:rPr>
                <w:sz w:val="20"/>
                <w:szCs w:val="20"/>
                <w:color w:val="auto"/>
              </w:rPr>
            </w:pPr>
            <w:r>
              <w:rPr>
                <w:rFonts w:ascii="Arial" w:cs="Arial" w:eastAsia="Arial" w:hAnsi="Arial"/>
                <w:sz w:val="18"/>
                <w:szCs w:val="18"/>
                <w:color w:val="0000FF"/>
                <w:w w:val="99"/>
              </w:rPr>
              <w:t>Condensed Consolidated Statements of Stockholders’ Equity for the Periods Ended June 30, 2024 and 2023</w:t>
            </w:r>
          </w:p>
        </w:tc>
        <w:tc>
          <w:tcPr>
            <w:tcW w:w="1680" w:type="dxa"/>
            <w:vAlign w:val="bottom"/>
            <w:gridSpan w:val="3"/>
          </w:tcPr>
          <w:p>
            <w:pPr>
              <w:spacing w:after="0"/>
              <w:rPr>
                <w:sz w:val="19"/>
                <w:szCs w:val="19"/>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Cash Flows for the Nine Months Ended June 30, 2024 and 2023</w:t>
            </w:r>
          </w:p>
        </w:tc>
        <w:tc>
          <w:tcPr>
            <w:tcW w:w="1680" w:type="dxa"/>
            <w:vAlign w:val="bottom"/>
            <w:gridSpan w:val="3"/>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980" w:type="dxa"/>
            <w:vAlign w:val="bottom"/>
            <w:gridSpan w:val="4"/>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0000FF"/>
              </w:rPr>
              <w:t>Note 1: Organization and Summary of Significant Accounting Policies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w w:val="93"/>
              </w:rPr>
              <w:t>Note 2: Goodwill</w:t>
            </w:r>
          </w:p>
        </w:tc>
        <w:tc>
          <w:tcPr>
            <w:tcW w:w="4180" w:type="dxa"/>
            <w:vAlign w:val="bottom"/>
            <w:gridSpan w:val="15"/>
          </w:tcPr>
          <w:p>
            <w:pPr>
              <w:spacing w:after="0"/>
              <w:rPr>
                <w:sz w:val="18"/>
                <w:szCs w:val="18"/>
                <w:color w:val="auto"/>
              </w:rPr>
            </w:pPr>
          </w:p>
        </w:tc>
        <w:tc>
          <w:tcPr>
            <w:tcW w:w="4380" w:type="dxa"/>
            <w:vAlign w:val="bottom"/>
            <w:gridSpan w:val="7"/>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0000FF"/>
                <w:w w:val="96"/>
              </w:rPr>
              <w:t>Note 3: Earnings Per Share</w:t>
            </w:r>
          </w:p>
        </w:tc>
        <w:tc>
          <w:tcPr>
            <w:tcW w:w="7680" w:type="dxa"/>
            <w:vAlign w:val="bottom"/>
            <w:gridSpan w:val="18"/>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0000FF"/>
              </w:rPr>
              <w:t>Note 4: Leases</w:t>
            </w:r>
          </w:p>
        </w:tc>
        <w:tc>
          <w:tcPr>
            <w:tcW w:w="7680" w:type="dxa"/>
            <w:vAlign w:val="bottom"/>
            <w:gridSpan w:val="18"/>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6"/>
              </w:rPr>
              <w:t>Note 5: Strategic Investments</w:t>
            </w:r>
          </w:p>
        </w:tc>
        <w:tc>
          <w:tcPr>
            <w:tcW w:w="7520" w:type="dxa"/>
            <w:vAlign w:val="bottom"/>
            <w:gridSpan w:val="17"/>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6"/>
              </w:rPr>
              <w:t>Note 6: Fair Value Measurements</w:t>
            </w:r>
          </w:p>
        </w:tc>
        <w:tc>
          <w:tcPr>
            <w:tcW w:w="7200" w:type="dxa"/>
            <w:vAlign w:val="bottom"/>
            <w:gridSpan w:val="14"/>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0000FF"/>
              </w:rPr>
              <w:t>Note 7: Debt</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7"/>
              </w:rPr>
              <w:t>Note 8: Common Stock and Stock Compensation</w:t>
            </w:r>
          </w:p>
        </w:tc>
        <w:tc>
          <w:tcPr>
            <w:tcW w:w="5960" w:type="dxa"/>
            <w:vAlign w:val="bottom"/>
            <w:gridSpan w:val="1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7"/>
              </w:rPr>
              <w:t>Note 9: Commitments and Contingencies</w:t>
            </w:r>
          </w:p>
        </w:tc>
        <w:tc>
          <w:tcPr>
            <w:tcW w:w="6600" w:type="dxa"/>
            <w:vAlign w:val="bottom"/>
            <w:gridSpan w:val="1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6"/>
              </w:rPr>
              <w:t>Note 10: Segment Information</w:t>
            </w:r>
          </w:p>
        </w:tc>
        <w:tc>
          <w:tcPr>
            <w:tcW w:w="7480" w:type="dxa"/>
            <w:vAlign w:val="bottom"/>
            <w:gridSpan w:val="16"/>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5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8"/>
              </w:rPr>
              <w:t>Note 11: Supplemental Consolidated Financial Information</w:t>
            </w:r>
          </w:p>
        </w:tc>
        <w:tc>
          <w:tcPr>
            <w:tcW w:w="5240" w:type="dxa"/>
            <w:vAlign w:val="bottom"/>
            <w:gridSpan w:val="8"/>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30"/>
          </w:tcPr>
          <w:p>
            <w:pPr>
              <w:ind w:left="2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top w:val="single" w:sz="8" w:color="0000FF"/>
            </w:tcBorders>
            <w:gridSpan w:val="24"/>
          </w:tcPr>
          <w:p>
            <w:pPr>
              <w:ind w:left="20"/>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980" w:type="dxa"/>
            <w:vAlign w:val="bottom"/>
            <w:gridSpan w:val="6"/>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top w:val="single" w:sz="8" w:color="0000FF"/>
            </w:tcBorders>
            <w:gridSpan w:val="21"/>
          </w:tcPr>
          <w:p>
            <w:pPr>
              <w:ind w:left="20"/>
              <w:spacing w:after="0"/>
              <w:rPr>
                <w:sz w:val="20"/>
                <w:szCs w:val="20"/>
                <w:color w:val="auto"/>
              </w:rPr>
            </w:pPr>
            <w:r>
              <w:rPr>
                <w:rFonts w:ascii="Arial" w:cs="Arial" w:eastAsia="Arial" w:hAnsi="Arial"/>
                <w:sz w:val="18"/>
                <w:szCs w:val="18"/>
                <w:color w:val="0000FF"/>
              </w:rPr>
              <w:t>Item 4. Controls and Procedures</w:t>
            </w:r>
          </w:p>
        </w:tc>
        <w:tc>
          <w:tcPr>
            <w:tcW w:w="5360" w:type="dxa"/>
            <w:vAlign w:val="bottom"/>
            <w:gridSpan w:val="9"/>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980" w:type="dxa"/>
            <w:vAlign w:val="bottom"/>
            <w:gridSpan w:val="31"/>
          </w:tcPr>
          <w:p>
            <w:pPr>
              <w:spacing w:after="0"/>
              <w:rPr>
                <w:sz w:val="20"/>
                <w:szCs w:val="20"/>
                <w:color w:val="auto"/>
              </w:rPr>
            </w:pPr>
            <w:r>
              <w:rPr>
                <w:rFonts w:ascii="Arial" w:cs="Arial" w:eastAsia="Arial" w:hAnsi="Arial"/>
                <w:sz w:val="18"/>
                <w:szCs w:val="18"/>
                <w:color w:val="0000FF"/>
              </w:rPr>
              <w:t>PART II — OTHER INFORMATION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color w:val="0000FF"/>
              </w:rPr>
              <w:t>Item 1. Legal Proceedings</w:t>
            </w:r>
          </w:p>
        </w:tc>
        <w:tc>
          <w:tcPr>
            <w:tcW w:w="8160" w:type="dxa"/>
            <w:vAlign w:val="bottom"/>
            <w:gridSpan w:val="21"/>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tcBorders>
            <w:gridSpan w:val="8"/>
          </w:tcPr>
          <w:p>
            <w:pPr>
              <w:ind w:left="20"/>
              <w:spacing w:after="0"/>
              <w:rPr>
                <w:sz w:val="20"/>
                <w:szCs w:val="20"/>
                <w:color w:val="auto"/>
              </w:rPr>
            </w:pPr>
            <w:r>
              <w:rPr>
                <w:rFonts w:ascii="Arial" w:cs="Arial" w:eastAsia="Arial" w:hAnsi="Arial"/>
                <w:sz w:val="18"/>
                <w:szCs w:val="18"/>
                <w:color w:val="0000FF"/>
              </w:rPr>
              <w:t>Item 1A. Risk Factors</w:t>
            </w:r>
          </w:p>
        </w:tc>
        <w:tc>
          <w:tcPr>
            <w:tcW w:w="8560" w:type="dxa"/>
            <w:vAlign w:val="bottom"/>
            <w:gridSpan w:val="22"/>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Borders>
              <w:bottom w:val="single" w:sz="8" w:color="0000FF"/>
            </w:tcBorders>
            <w:gridSpan w:val="20"/>
          </w:tcPr>
          <w:p>
            <w:pPr>
              <w:ind w:left="20"/>
              <w:spacing w:after="0"/>
              <w:rPr>
                <w:sz w:val="20"/>
                <w:szCs w:val="20"/>
                <w:color w:val="auto"/>
              </w:rPr>
            </w:pPr>
            <w:r>
              <w:rPr>
                <w:rFonts w:ascii="Arial" w:cs="Arial" w:eastAsia="Arial" w:hAnsi="Arial"/>
                <w:sz w:val="18"/>
                <w:szCs w:val="18"/>
                <w:color w:val="0000FF"/>
                <w:w w:val="99"/>
              </w:rPr>
              <w:t>Item 2. Unregistered Sale of Equity Security and Use of Proceeds</w:t>
            </w:r>
          </w:p>
        </w:tc>
        <w:tc>
          <w:tcPr>
            <w:tcW w:w="5420" w:type="dxa"/>
            <w:vAlign w:val="bottom"/>
            <w:gridSpan w:val="10"/>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30"/>
          </w:tcPr>
          <w:p>
            <w:pPr>
              <w:ind w:left="20"/>
              <w:spacing w:after="0"/>
              <w:rPr>
                <w:sz w:val="20"/>
                <w:szCs w:val="20"/>
                <w:color w:val="auto"/>
              </w:rPr>
            </w:pPr>
            <w:r>
              <w:rPr>
                <w:rFonts w:ascii="Arial" w:cs="Arial" w:eastAsia="Arial" w:hAnsi="Arial"/>
                <w:sz w:val="18"/>
                <w:szCs w:val="18"/>
                <w:color w:val="0000FF"/>
              </w:rPr>
              <w:t>Item 5. Other Information</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97"/>
              </w:rPr>
              <w:t>Item 6. Exhibits</w:t>
            </w:r>
          </w:p>
        </w:tc>
        <w:tc>
          <w:tcPr>
            <w:tcW w:w="760" w:type="dxa"/>
            <w:vAlign w:val="bottom"/>
            <w:tcBorders>
              <w:top w:val="single" w:sz="8" w:color="0000FF"/>
            </w:tcBorders>
            <w:gridSpan w:val="3"/>
          </w:tcPr>
          <w:p>
            <w:pPr>
              <w:spacing w:after="0"/>
              <w:rPr>
                <w:sz w:val="18"/>
                <w:szCs w:val="18"/>
                <w:color w:val="auto"/>
              </w:rPr>
            </w:pPr>
          </w:p>
        </w:tc>
        <w:tc>
          <w:tcPr>
            <w:tcW w:w="8660" w:type="dxa"/>
            <w:vAlign w:val="bottom"/>
            <w:gridSpan w:val="23"/>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31"/>
          </w:tcPr>
          <w:p>
            <w:pPr>
              <w:spacing w:after="0"/>
              <w:rPr>
                <w:sz w:val="20"/>
                <w:szCs w:val="20"/>
                <w:color w:val="auto"/>
              </w:rPr>
            </w:pPr>
            <w:r>
              <w:rPr>
                <w:rFonts w:ascii="Arial" w:cs="Arial" w:eastAsia="Arial" w:hAnsi="Arial"/>
                <w:sz w:val="18"/>
                <w:szCs w:val="18"/>
                <w:color w:val="0000FF"/>
              </w:rPr>
              <w:t>SIGNATURES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220,595</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8,373</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loans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245,766</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40,638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34,959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 net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40,391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719,719</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10,987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36,220</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68,096</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 assets, net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234,388</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302,372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58,216</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25,702</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1,510,163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1,457,678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r>
        <w:trPr>
          <w:trHeight w:val="417"/>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69,742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74,458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81,605</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18,920</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58,905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191,972</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359,686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325,847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liability, net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188,996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197,499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193,187</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9,258</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10,502</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708,708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718,636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721,943</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Commitments and contingencies (Note 9)</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A Non-voting Common Stock, par value $0.01 per share; shares authorized: 100</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million; issued and outstanding: 51,771,917 as of June 30, 2024; 52,214,761 as of</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June 30, 2023; and 51,869,569 as of September 30, 2023</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346,181</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493,830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422,549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431,140</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(40,005)</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(28,916)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(32,102)</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801,455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739,042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745,768</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1,510,163</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1,457,678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4"/>
        </w:trPr>
        <w:tc>
          <w:tcPr>
            <w:tcW w:w="520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r>
      <w:tr>
        <w:trPr>
          <w:trHeight w:val="251"/>
        </w:trPr>
        <w:tc>
          <w:tcPr>
            <w:tcW w:w="520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158,140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502,230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464,274</w:t>
            </w:r>
          </w:p>
        </w:tc>
      </w:tr>
      <w:tr>
        <w:trPr>
          <w:trHeight w:val="215"/>
        </w:trPr>
        <w:tc>
          <w:tcPr>
            <w:tcW w:w="52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15,395</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43,191</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34,640</w:t>
            </w:r>
          </w:p>
        </w:tc>
      </w:tr>
      <w:tr>
        <w:trPr>
          <w:trHeight w:val="21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107,830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321,442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279,442</w:t>
            </w:r>
          </w:p>
        </w:tc>
      </w:tr>
      <w:tr>
        <w:trPr>
          <w:trHeight w:val="215"/>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188</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10"/>
        </w:trPr>
        <w:tc>
          <w:tcPr>
            <w:tcW w:w="5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281,421</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867,051</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778,562</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101,211</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95,069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322,680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297,285</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13,483</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37,479</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30,813</w:t>
            </w:r>
          </w:p>
        </w:tc>
      </w:tr>
      <w:tr>
        <w:trPr>
          <w:trHeight w:val="209"/>
        </w:trPr>
        <w:tc>
          <w:tcPr>
            <w:tcW w:w="52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166,727</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148,785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506,892</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450,464</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116,335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341,472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307,004</w:t>
            </w:r>
          </w:p>
        </w:tc>
      </w:tr>
      <w:tr>
        <w:trPr>
          <w:trHeight w:val="215"/>
        </w:trPr>
        <w:tc>
          <w:tcPr>
            <w:tcW w:w="52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20,060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54,869</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48,961</w:t>
            </w:r>
          </w:p>
        </w:tc>
      </w:tr>
      <w:tr>
        <w:trPr>
          <w:trHeight w:val="21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8,158</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24,942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23,977</w:t>
            </w:r>
          </w:p>
        </w:tc>
      </w:tr>
      <w:tr>
        <w:trPr>
          <w:trHeight w:val="215"/>
        </w:trPr>
        <w:tc>
          <w:tcPr>
            <w:tcW w:w="5200" w:type="dxa"/>
            <w:vAlign w:val="bottom"/>
          </w:tcPr>
          <w:p>
            <w:pPr>
              <w:ind w:left="220"/>
              <w:spacing w:after="0"/>
              <w:rPr>
                <w:sz w:val="20"/>
                <w:szCs w:val="20"/>
                <w:color w:val="auto"/>
              </w:rPr>
            </w:pPr>
            <w:r>
              <w:rPr>
                <w:rFonts w:ascii="Arial" w:cs="Arial" w:eastAsia="Arial" w:hAnsi="Arial"/>
                <w:sz w:val="16"/>
                <w:szCs w:val="16"/>
                <w:color w:val="auto"/>
              </w:rPr>
              <w:t>Loss (gain) on sale or disposal of assets and other</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(5,097)</w:t>
            </w:r>
          </w:p>
        </w:tc>
      </w:tr>
      <w:tr>
        <w:trPr>
          <w:trHeight w:val="210"/>
        </w:trPr>
        <w:tc>
          <w:tcPr>
            <w:tcW w:w="52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144,573</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128,173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420,369</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374,873</w:t>
            </w:r>
          </w:p>
        </w:tc>
      </w:tr>
      <w:tr>
        <w:trPr>
          <w:trHeight w:val="210"/>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22,154</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86,523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75,591</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3,539</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10,381</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12,994</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(4,135)</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29,394</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0"/>
        </w:trPr>
        <w:tc>
          <w:tcPr>
            <w:tcW w:w="5200" w:type="dxa"/>
            <w:vAlign w:val="bottom"/>
          </w:tcPr>
          <w:p>
            <w:pPr>
              <w:ind w:left="8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23,000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89,356</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38,508</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5,050</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21,457</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10,298</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17,950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18,222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67,899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28,210</w:t>
            </w:r>
          </w:p>
        </w:tc>
      </w:tr>
      <w:tr>
        <w:trPr>
          <w:trHeight w:val="21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0.33</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0.25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0.89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0.38</w:t>
            </w:r>
          </w:p>
        </w:tc>
      </w:tr>
      <w:tr>
        <w:trPr>
          <w:trHeight w:val="21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54,898</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55,022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55,776</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83,008</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84,309</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79,559</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28,210</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Foreign currency translation adjustment, net of income tax (benefit)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expense for our investment in unconsolidated affiliate of $(101) and</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$(30) for the three months ended June 30, 2024, and 2023,</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respectively and $(60) and $706 for the nine months ended June 30,</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(16,993)</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26,753</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2024, and 2023, respectively</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59,996</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5"/>
          </w:tcPr>
          <w:p>
            <w:pPr>
              <w:jc w:val="right"/>
              <w:spacing w:after="0" w:line="158" w:lineRule="exact"/>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20" w:type="dxa"/>
            <w:vAlign w:val="bottom"/>
          </w:tcPr>
          <w:p>
            <w:pPr>
              <w:jc w:val="center"/>
              <w:ind w:right="1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6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5"/>
                <w:szCs w:val="5"/>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6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54,840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8"/>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745,768</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4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(355)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28,470</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2023</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55,243</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553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343,870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774,883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tcPr>
          <w:p>
            <w:pPr>
              <w:jc w:val="right"/>
              <w:ind w:right="61"/>
              <w:spacing w:after="0"/>
              <w:rPr>
                <w:sz w:val="20"/>
                <w:szCs w:val="20"/>
                <w:color w:val="auto"/>
              </w:rPr>
            </w:pPr>
            <w:r>
              <w:rPr>
                <w:rFonts w:ascii="Arial" w:cs="Arial" w:eastAsia="Arial" w:hAnsi="Arial"/>
                <w:sz w:val="16"/>
                <w:szCs w:val="16"/>
                <w:color w:val="auto"/>
              </w:rPr>
              <w:t>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60" w:type="dxa"/>
            <w:vAlign w:val="bottom"/>
            <w:gridSpan w:val="2"/>
          </w:tcPr>
          <w:p>
            <w:pPr>
              <w:jc w:val="right"/>
              <w:ind w:right="61"/>
              <w:spacing w:after="0"/>
              <w:rPr>
                <w:sz w:val="20"/>
                <w:szCs w:val="20"/>
                <w:color w:val="auto"/>
              </w:rPr>
            </w:pPr>
            <w:r>
              <w:rPr>
                <w:rFonts w:ascii="Arial" w:cs="Arial" w:eastAsia="Arial" w:hAnsi="Arial"/>
                <w:sz w:val="16"/>
                <w:szCs w:val="16"/>
                <w:color w:val="auto"/>
              </w:rPr>
              <w:t>(305)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(3,003)</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21,479</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2024</w:t>
            </w:r>
          </w:p>
        </w:tc>
        <w:tc>
          <w:tcPr>
            <w:tcW w:w="86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55,027</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551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345,174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477,683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800,396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Foreign currency translation loss</w:t>
            </w:r>
          </w:p>
        </w:tc>
        <w:tc>
          <w:tcPr>
            <w:tcW w:w="4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(16,993)</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(285)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0" w:type="dxa"/>
            <w:vAlign w:val="bottom"/>
          </w:tcPr>
          <w:p>
            <w:pPr>
              <w:spacing w:after="0"/>
              <w:rPr>
                <w:sz w:val="1"/>
                <w:szCs w:val="1"/>
                <w:color w:val="auto"/>
              </w:rPr>
            </w:pPr>
          </w:p>
        </w:tc>
      </w:tr>
      <w:tr>
        <w:trPr>
          <w:trHeight w:val="215"/>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17,950</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June 30, 2024</w:t>
            </w:r>
          </w:p>
        </w:tc>
        <w:tc>
          <w:tcPr>
            <w:tcW w:w="860" w:type="dxa"/>
            <w:vAlign w:val="bottom"/>
            <w:tcBorders>
              <w:bottom w:val="single" w:sz="8" w:color="auto"/>
            </w:tcBorders>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54,742</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368"/>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548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347,082</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493,830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(40,005)</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801,455</w:t>
            </w:r>
          </w:p>
        </w:tc>
        <w:tc>
          <w:tcPr>
            <w:tcW w:w="0" w:type="dxa"/>
            <w:vAlign w:val="bottom"/>
          </w:tcPr>
          <w:p>
            <w:pPr>
              <w:spacing w:after="0"/>
              <w:rPr>
                <w:sz w:val="1"/>
                <w:szCs w:val="1"/>
                <w:color w:val="auto"/>
              </w:rPr>
            </w:pPr>
          </w:p>
        </w:tc>
      </w:tr>
      <w:tr>
        <w:trPr>
          <w:trHeight w:val="409"/>
        </w:trPr>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5"/>
          </w:tcPr>
          <w:p>
            <w:pPr>
              <w:jc w:val="right"/>
              <w:spacing w:after="0" w:line="158" w:lineRule="exact"/>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20" w:type="dxa"/>
            <w:vAlign w:val="bottom"/>
          </w:tcPr>
          <w:p>
            <w:pPr>
              <w:jc w:val="center"/>
              <w:ind w:right="1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6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5"/>
                <w:szCs w:val="5"/>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9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56,425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692,231</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equity consideration for acquisition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235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Foreign currency translation gain</w:t>
            </w:r>
          </w:p>
        </w:tc>
        <w:tc>
          <w:tcPr>
            <w:tcW w:w="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(7,027)</w:t>
            </w:r>
          </w:p>
        </w:tc>
        <w:tc>
          <w:tcPr>
            <w:tcW w:w="0" w:type="dxa"/>
            <w:vAlign w:val="bottom"/>
          </w:tcPr>
          <w:p>
            <w:pPr>
              <w:spacing w:after="0"/>
              <w:rPr>
                <w:sz w:val="1"/>
                <w:szCs w:val="1"/>
                <w:color w:val="auto"/>
              </w:rPr>
            </w:pPr>
          </w:p>
        </w:tc>
      </w:tr>
      <w:tr>
        <w:trPr>
          <w:trHeight w:val="215"/>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16,778</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55,848</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343,012</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414,929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(53,165)</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705,335</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(448)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2023</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55,531</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343,088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405,961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(37,017)</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712,588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Foreign currency translation gain</w:t>
            </w:r>
          </w:p>
        </w:tc>
        <w:tc>
          <w:tcPr>
            <w:tcW w:w="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8,101</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15"/>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18,222</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June 30, 2023</w:t>
            </w:r>
          </w:p>
        </w:tc>
        <w:tc>
          <w:tcPr>
            <w:tcW w:w="86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55,185</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344,857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422,549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(28,916)</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739,042</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ind w:left="1820"/>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67,899</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28,210</w:t>
            </w:r>
          </w:p>
        </w:tc>
      </w:tr>
      <w:tr>
        <w:trPr>
          <w:trHeight w:val="215"/>
        </w:trPr>
        <w:tc>
          <w:tcPr>
            <w:tcW w:w="824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24,942</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23,977</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1,212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1,135</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43,999</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41,752</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(7,489)</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compensation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7,945</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Equity in net (income) loss from 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(4,135)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29,394</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on extinguishment of debt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Pawn service charges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(2,775)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(5,501)</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(65,396)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(53,018)</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1,055</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8,923</w:t>
            </w:r>
          </w:p>
        </w:tc>
      </w:tr>
      <w:tr>
        <w:trPr>
          <w:trHeight w:val="216"/>
        </w:trPr>
        <w:tc>
          <w:tcPr>
            <w:tcW w:w="82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3,589</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70,264</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74,309</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(683,121)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(592,689)</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391,297</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343,886</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272,781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251,608</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(16,870)</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(27,751)</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(11,963)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(12,968)</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notes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1,100</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3,535</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(59,234)</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(70,547)</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issuance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230,000</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issuance cost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(7,458)</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Cash paid on extinguishment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(1,951)</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debt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(178,488)</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(9,009)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(13,982)</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Payments of finance leases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(12,648)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26,972</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32,154</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228,968</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214,369</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227,242</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246,523</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0497F"/>
        </w:rPr>
        <w:t>Notes to Condensed Consolidated Financial Statements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497F"/>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6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6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spacing w:after="0" w:line="122" w:lineRule="exact"/>
        <w:rPr>
          <w:sz w:val="20"/>
          <w:szCs w:val="20"/>
          <w:color w:val="auto"/>
        </w:rPr>
      </w:pPr>
    </w:p>
    <w:p>
      <w:pPr>
        <w:jc w:val="both"/>
        <w:ind w:right="14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1">
        <w:r>
          <w:rPr>
            <w:rFonts w:ascii="Arial" w:cs="Arial" w:eastAsia="Arial" w:hAnsi="Arial"/>
            <w:sz w:val="18"/>
            <w:szCs w:val="18"/>
            <w:color w:val="auto"/>
          </w:rPr>
          <w:t xml:space="preserve">Annual Report on Form 10-K for the year ended September 30, </w:t>
        </w:r>
      </w:hyperlink>
      <w:r>
        <w:rPr>
          <w:rFonts w:ascii="Arial" w:cs="Arial" w:eastAsia="Arial" w:hAnsi="Arial"/>
          <w:sz w:val="18"/>
          <w:szCs w:val="18"/>
          <w:color w:val="auto"/>
        </w:rPr>
        <w:t>2023, filed with the Securities and Exchange Commission (“SEC”) on November 15, 2023 (“2023 Annual Report”).</w:t>
      </w:r>
    </w:p>
    <w:p>
      <w:pPr>
        <w:spacing w:after="0" w:line="117" w:lineRule="exact"/>
        <w:rPr>
          <w:sz w:val="20"/>
          <w:szCs w:val="20"/>
          <w:color w:val="auto"/>
        </w:rPr>
      </w:pPr>
    </w:p>
    <w:p>
      <w:pPr>
        <w:ind w:right="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the opinion of management, the accompanying Condensed Consolidated Financial Statements include all adjustments, consisting of normal recurring adjustments, considered necessary for a fair presentation. Financial results for the three and nine month periods ended June 30, 2024, are not necessarily indicative of results that may be expected for the fiscal year ending September 30, 2024 or any other period due, in part, to seasonal variations. There have been no changes that have had a material impact in significant accounting policies as described in our 2023 </w:t>
      </w:r>
      <w:hyperlink r:id="rId21">
        <w:r>
          <w:rPr>
            <w:rFonts w:ascii="Arial" w:cs="Arial" w:eastAsia="Arial" w:hAnsi="Arial"/>
            <w:sz w:val="18"/>
            <w:szCs w:val="18"/>
            <w:color w:val="auto"/>
          </w:rPr>
          <w:t>Annual Report.</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Sales Revenue Recognition</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Customer layaway deposits are recorded as liabilities when a customer provides a deposit for merchandise. Customer layaway deposits are generally refundable upon cancellation. Our customer layaway deposits balance as of June 30, 2024, 2023 and September 30, 2023 was $20.1 million, $18.6 million and $18.9 million, respectively, and are generally recognized as revenue within a one-year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account for our investment in Rich Data Corporation (“RDC”) in accordance with Accounting Standards Codification (“ASC”) 321, Investments — Equity Securities, and we have elected to use the measurement alternative to measure this investment at cost, less any impairment, plus or minus changes resulting from observable price changes in orderly transactions for identical or similar investments of the same issuer, if any. As of June 30, 2024, 2023 and September 30, 2023, the carrying value of our investment in RDC was $6.2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Strategic Investments for details on our investment in Founders One, LLC (“Founders”).</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October 2023, the Financial Accounting Standards Board (“FASB”) issued Accounting Standards Update (“ASU”) 2023-06,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 Codification Amendments in Response to the SEC’s Disclosure Update and Simplification Initiative </w:t>
      </w:r>
      <w:r>
        <w:rPr>
          <w:rFonts w:ascii="Arial" w:cs="Arial" w:eastAsia="Arial" w:hAnsi="Arial"/>
          <w:sz w:val="18"/>
          <w:szCs w:val="18"/>
          <w:color w:val="auto"/>
        </w:rPr>
        <w:t>(“ASU 2023-06”).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of this standard on our consolidated financial statements and related disclosures.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November 2023, the FASB issued ASU 2023-07, Segment Reporting (Topic 280):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xml:space="preserve"> (“ASU 2023-07”). ASU 2023-07 requires disclosure of significant segment expenses regularly provided to the chief operating decision maker (“CODM”) included within segment operating profit or loss. Additionally, the ASU requires a description of how the CODM utilizes segment operating profit or loss to assess segment performance. The requirements of ASU 2023-07 are effective for the Company for fiscal years beginning after December 15, 2023, and interim periods within fiscal years beginning after December 15, 2024. Early adoption is permitted, and retrospective application is required for all periods presented. We are currently evaluating the impact of this standard on our consolidated financial statements and related disclosures.</w:t>
      </w:r>
    </w:p>
    <w:p>
      <w:pPr>
        <w:spacing w:after="0" w:line="12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fiscal years beginning after December 15, 2024. Early adoption is permitted, and the amendments should be applied on a prospective basis. Retrospective application is permitted. We are currently evaluating the impact of this standard on our consolidated financial statements and related disclosures.</w:t>
      </w:r>
    </w:p>
    <w:p>
      <w:pPr>
        <w:spacing w:after="0" w:line="1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In March 2024, the FASB issued ASU 2024-02, </w:t>
      </w:r>
      <w:r>
        <w:rPr>
          <w:rFonts w:ascii="Arial" w:cs="Arial" w:eastAsia="Arial" w:hAnsi="Arial"/>
          <w:sz w:val="18"/>
          <w:szCs w:val="18"/>
          <w:i w:val="1"/>
          <w:iCs w:val="1"/>
          <w:color w:val="auto"/>
        </w:rPr>
        <w:t>Codification Improvements—Amendments to Remove References to the Concepts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(“ASU 2024-02”). ASU 2024-02 contains amendments to the Codification that remove references to various FASB Concepts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requirements of this ASU 2024-02 are effective for the Company for fiscal years beginning after December 15, 2024 and can be applied on a prospective or retrospective basis. This standard is not expected to have a significant impact on our consolidated financial statements and related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June 30, 2024</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4"/>
        </w:trPr>
        <w:tc>
          <w:tcPr>
            <w:tcW w:w="60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2023</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255,942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302,372</w:t>
            </w: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8,329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8,329</w:t>
            </w:r>
          </w:p>
        </w:tc>
      </w:tr>
      <w:tr>
        <w:trPr>
          <w:trHeight w:val="215"/>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June 30, 2024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264,271</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44,576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308,847</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7"/>
          </w:tcPr>
          <w:p>
            <w:pPr>
              <w:jc w:val="right"/>
              <w:ind w:right="1159"/>
              <w:spacing w:after="0"/>
              <w:rPr>
                <w:sz w:val="20"/>
                <w:szCs w:val="20"/>
                <w:color w:val="auto"/>
              </w:rPr>
            </w:pPr>
            <w:r>
              <w:rPr>
                <w:rFonts w:ascii="Arial" w:cs="Arial" w:eastAsia="Arial" w:hAnsi="Arial"/>
                <w:sz w:val="16"/>
                <w:szCs w:val="16"/>
                <w:b w:val="1"/>
                <w:bCs w:val="1"/>
                <w:color w:val="auto"/>
              </w:rPr>
              <w:t>Nine Months Ended June 30, 2023</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Consolidated</w:t>
            </w:r>
          </w:p>
        </w:tc>
      </w:tr>
      <w:tr>
        <w:trPr>
          <w:trHeight w:val="34"/>
        </w:trPr>
        <w:tc>
          <w:tcPr>
            <w:tcW w:w="59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245,503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286,828</w:t>
            </w:r>
          </w:p>
        </w:tc>
      </w:tr>
      <w:tr>
        <w:trPr>
          <w:trHeight w:val="216"/>
        </w:trPr>
        <w:tc>
          <w:tcPr>
            <w:tcW w:w="5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9,468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9,468</w:t>
            </w:r>
          </w:p>
        </w:tc>
      </w:tr>
      <w:tr>
        <w:trPr>
          <w:trHeight w:val="215"/>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5,824</w:t>
            </w:r>
          </w:p>
        </w:tc>
      </w:tr>
      <w:tr>
        <w:trPr>
          <w:trHeight w:val="20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June 30, 2023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254,971</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302,120</w:t>
            </w:r>
          </w:p>
        </w:tc>
      </w:tr>
    </w:tbl>
    <w:p>
      <w:pPr>
        <w:spacing w:after="0" w:line="126" w:lineRule="exact"/>
        <w:rPr>
          <w:sz w:val="20"/>
          <w:szCs w:val="20"/>
          <w:color w:val="auto"/>
        </w:rPr>
      </w:pPr>
    </w:p>
    <w:p>
      <w:pPr>
        <w:ind w:left="180" w:right="180" w:hanging="172"/>
        <w:spacing w:after="0" w:line="305" w:lineRule="auto"/>
        <w:tabs>
          <w:tab w:leader="none" w:pos="234"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 represents goodwill recognized in connection with acquisitions within the U.S. Pawn segment that were immaterial, individually and in the aggregate, and we have therefore omitted certain disclosures.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EARNINGS PER SHARE</w:t>
      </w:r>
    </w:p>
    <w:p>
      <w:pPr>
        <w:spacing w:after="0" w:line="17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64"/>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360"/>
              <w:spacing w:after="0" w:line="164"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639"/>
              <w:spacing w:after="0" w:line="164" w:lineRule="exact"/>
              <w:rPr>
                <w:sz w:val="20"/>
                <w:szCs w:val="20"/>
                <w:color w:val="auto"/>
              </w:rPr>
            </w:pPr>
            <w:r>
              <w:rPr>
                <w:rFonts w:ascii="Arial" w:cs="Arial" w:eastAsia="Arial" w:hAnsi="Arial"/>
                <w:sz w:val="16"/>
                <w:szCs w:val="16"/>
                <w:b w:val="1"/>
                <w:bCs w:val="1"/>
                <w:color w:val="auto"/>
              </w:rPr>
              <w:t>Nine Months Ended</w:t>
            </w:r>
          </w:p>
        </w:tc>
      </w:tr>
      <w:tr>
        <w:trPr>
          <w:trHeight w:val="216"/>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34"/>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17,950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18,222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67,899</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28,210</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54,898</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55,367</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55,022</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55,776</w:t>
            </w: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28,210</w:t>
            </w:r>
          </w:p>
        </w:tc>
      </w:tr>
      <w:tr>
        <w:trPr>
          <w:trHeight w:val="215"/>
        </w:trPr>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Add: Convertible Notes interest expense, net of tax*</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20,377</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20,866</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75,400</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30,095</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55,776</w:t>
            </w:r>
          </w:p>
        </w:tc>
      </w:tr>
      <w:tr>
        <w:trPr>
          <w:trHeight w:val="217"/>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Equity-based compensation awards - effect of dilution**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r>
      <w:tr>
        <w:trPr>
          <w:trHeight w:val="215"/>
        </w:trPr>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Convertible Notes - effect of dilution***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30,417</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28,158</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22,725</w:t>
            </w:r>
          </w:p>
        </w:tc>
      </w:tr>
      <w:tr>
        <w:trPr>
          <w:trHeight w:val="20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83,008</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86,825</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84,309</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79,559</w:t>
            </w: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62"/>
        </w:trPr>
        <w:tc>
          <w:tcPr>
            <w:tcW w:w="5200" w:type="dxa"/>
            <w:vAlign w:val="bottom"/>
          </w:tcPr>
          <w:p>
            <w:pPr>
              <w:ind w:left="20"/>
              <w:spacing w:after="0" w:line="162" w:lineRule="exact"/>
              <w:rPr>
                <w:sz w:val="20"/>
                <w:szCs w:val="20"/>
                <w:color w:val="auto"/>
              </w:rPr>
            </w:pPr>
            <w:r>
              <w:rPr>
                <w:rFonts w:ascii="Arial" w:cs="Arial" w:eastAsia="Arial" w:hAnsi="Arial"/>
                <w:sz w:val="16"/>
                <w:szCs w:val="16"/>
                <w:color w:val="auto"/>
              </w:rPr>
              <w:t>Potential common shares excluded from the calculation of diluted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earnings per common share above: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Convertible Notes***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6,323</w:t>
            </w:r>
          </w:p>
        </w:tc>
      </w:tr>
      <w:tr>
        <w:trPr>
          <w:trHeight w:val="215"/>
        </w:trPr>
        <w:tc>
          <w:tcPr>
            <w:tcW w:w="5200" w:type="dxa"/>
            <w:vAlign w:val="bottom"/>
            <w:tcBorders>
              <w:bottom w:val="single" w:sz="8" w:color="929292"/>
            </w:tcBorders>
          </w:tcPr>
          <w:p>
            <w:pPr>
              <w:ind w:left="240"/>
              <w:spacing w:after="0"/>
              <w:rPr>
                <w:sz w:val="20"/>
                <w:szCs w:val="20"/>
                <w:color w:val="auto"/>
              </w:rPr>
            </w:pPr>
            <w:r>
              <w:rPr>
                <w:rFonts w:ascii="Arial" w:cs="Arial" w:eastAsia="Arial" w:hAnsi="Arial"/>
                <w:sz w:val="16"/>
                <w:szCs w:val="16"/>
                <w:color w:val="auto"/>
              </w:rPr>
              <w:t>Restricted stock****</w:t>
            </w:r>
          </w:p>
        </w:tc>
        <w:tc>
          <w:tcPr>
            <w:tcW w:w="320" w:type="dxa"/>
            <w:vAlign w:val="bottom"/>
            <w:tcBorders>
              <w:bottom w:val="single" w:sz="8" w:color="929292"/>
            </w:tcBorders>
          </w:tcPr>
          <w:p>
            <w:pPr>
              <w:spacing w:after="0"/>
              <w:rPr>
                <w:sz w:val="18"/>
                <w:szCs w:val="18"/>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929292"/>
            </w:tcBorders>
          </w:tcPr>
          <w:p>
            <w:pPr>
              <w:spacing w:after="0"/>
              <w:rPr>
                <w:sz w:val="18"/>
                <w:szCs w:val="18"/>
                <w:color w:val="auto"/>
              </w:rPr>
            </w:pPr>
          </w:p>
        </w:tc>
        <w:tc>
          <w:tcPr>
            <w:tcW w:w="400" w:type="dxa"/>
            <w:vAlign w:val="bottom"/>
            <w:tcBorders>
              <w:bottom w:val="single" w:sz="8" w:color="929292"/>
            </w:tcBorders>
          </w:tcPr>
          <w:p>
            <w:pPr>
              <w:spacing w:after="0"/>
              <w:rPr>
                <w:sz w:val="18"/>
                <w:szCs w:val="18"/>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1,705</w:t>
            </w:r>
          </w:p>
        </w:tc>
        <w:tc>
          <w:tcPr>
            <w:tcW w:w="100" w:type="dxa"/>
            <w:vAlign w:val="bottom"/>
            <w:tcBorders>
              <w:bottom w:val="single" w:sz="8" w:color="929292"/>
            </w:tcBorders>
          </w:tcPr>
          <w:p>
            <w:pPr>
              <w:spacing w:after="0"/>
              <w:rPr>
                <w:sz w:val="18"/>
                <w:szCs w:val="18"/>
                <w:color w:val="auto"/>
              </w:rPr>
            </w:pPr>
          </w:p>
        </w:tc>
        <w:tc>
          <w:tcPr>
            <w:tcW w:w="340" w:type="dxa"/>
            <w:vAlign w:val="bottom"/>
            <w:tcBorders>
              <w:bottom w:val="single" w:sz="8" w:color="929292"/>
            </w:tcBorders>
          </w:tcPr>
          <w:p>
            <w:pPr>
              <w:spacing w:after="0"/>
              <w:rPr>
                <w:sz w:val="18"/>
                <w:szCs w:val="18"/>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929292"/>
            </w:tcBorders>
          </w:tcPr>
          <w:p>
            <w:pPr>
              <w:spacing w:after="0"/>
              <w:rPr>
                <w:sz w:val="18"/>
                <w:szCs w:val="18"/>
                <w:color w:val="auto"/>
              </w:rPr>
            </w:pPr>
          </w:p>
        </w:tc>
        <w:tc>
          <w:tcPr>
            <w:tcW w:w="420" w:type="dxa"/>
            <w:vAlign w:val="bottom"/>
            <w:tcBorders>
              <w:bottom w:val="single" w:sz="8" w:color="929292"/>
            </w:tcBorders>
          </w:tcPr>
          <w:p>
            <w:pPr>
              <w:spacing w:after="0"/>
              <w:rPr>
                <w:sz w:val="18"/>
                <w:szCs w:val="18"/>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1,728</w:t>
            </w:r>
          </w:p>
        </w:tc>
      </w:tr>
      <w:tr>
        <w:trPr>
          <w:trHeight w:val="217"/>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8,051</w:t>
            </w:r>
          </w:p>
        </w:tc>
      </w:tr>
    </w:tbl>
    <w:p>
      <w:pPr>
        <w:spacing w:after="0" w:line="301" w:lineRule="exact"/>
        <w:rPr>
          <w:sz w:val="20"/>
          <w:szCs w:val="20"/>
          <w:color w:val="auto"/>
        </w:rPr>
      </w:pPr>
    </w:p>
    <w:p>
      <w:pPr>
        <w:ind w:left="340" w:right="180" w:hanging="332"/>
        <w:spacing w:after="0" w:line="272" w:lineRule="auto"/>
        <w:tabs>
          <w:tab w:leader="none" w:pos="232" w:val="left"/>
        </w:tabs>
        <w:numPr>
          <w:ilvl w:val="0"/>
          <w:numId w:val="4"/>
        </w:numPr>
        <w:rPr>
          <w:rFonts w:ascii="Arial" w:cs="Arial" w:eastAsia="Arial" w:hAnsi="Arial"/>
          <w:sz w:val="14"/>
          <w:szCs w:val="14"/>
          <w:color w:val="auto"/>
        </w:rPr>
      </w:pPr>
      <w:r>
        <w:rPr>
          <w:rFonts w:ascii="Arial" w:cs="Arial" w:eastAsia="Arial" w:hAnsi="Arial"/>
          <w:sz w:val="14"/>
          <w:szCs w:val="14"/>
          <w:color w:val="auto"/>
        </w:rPr>
        <w:t>Effective January 1, 2024, we are required to combination settle the 2024 Convertible Notes. As such, no interest expense is included in the diluted earnings per share computation for the three months ended June 30, 2024 and only the first quarter of 2024 interest expense is included for the nine months ended June 30, 2024. The nine</w:t>
      </w:r>
    </w:p>
    <w:p>
      <w:pPr>
        <w:ind w:left="340" w:right="160"/>
        <w:spacing w:after="0" w:line="251" w:lineRule="auto"/>
        <w:rPr>
          <w:sz w:val="20"/>
          <w:szCs w:val="20"/>
          <w:color w:val="auto"/>
        </w:rPr>
      </w:pPr>
      <w:r>
        <w:rPr>
          <w:rFonts w:ascii="Arial" w:cs="Arial" w:eastAsia="Arial" w:hAnsi="Arial"/>
          <w:sz w:val="14"/>
          <w:szCs w:val="14"/>
          <w:color w:val="auto"/>
        </w:rPr>
        <w:t>months ended June 30,2023 includes $5.4 million gain on the partial extinguishment of debt, associated with the 2025 Convertible Notes, which was recorded to “Interest expense” in the Company’s condensed consolidated statement of operations. See Note 7: Debt for additional information.</w:t>
      </w:r>
    </w:p>
    <w:p>
      <w:pPr>
        <w:spacing w:after="0" w:line="1" w:lineRule="exact"/>
        <w:rPr>
          <w:sz w:val="20"/>
          <w:szCs w:val="20"/>
          <w:color w:val="auto"/>
        </w:rPr>
      </w:pPr>
    </w:p>
    <w:p>
      <w:pPr>
        <w:ind w:left="340" w:right="480" w:hanging="332"/>
        <w:spacing w:after="0" w:line="261" w:lineRule="auto"/>
        <w:tabs>
          <w:tab w:leader="none" w:pos="288"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 based awards for which targets for fiscal year tranches have been achieved and vesting is subject only to achievement of service conditions.</w:t>
      </w:r>
    </w:p>
    <w:p>
      <w:pPr>
        <w:ind w:left="340" w:hanging="332"/>
        <w:spacing w:after="0" w:line="257" w:lineRule="auto"/>
        <w:tabs>
          <w:tab w:leader="none" w:pos="336"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we are required to combination settle the 2024 Convertible Notes effective January 1, 2024, the 3.4 million principal shares are not included for the three months ended June 30, 2024 and only the weighted average shares of 1.2 million are included for the nine months ended June 30, 2024. Additionally, 75,854 and 25,192 potential common shares related to the accreted value of the 2024 Convertible Notes are included for the three and nine months ended June 30, 2024, respectively, as the average market rate was above the initial conversion price of $10.00 per share for the period ended June 30, 2024. See Note 7: Debt for conversion price, initial conversion rate and additional information on the 2024 Convertible Notes, 2025 Convertible Notes, and 2029 Convertible Notes.</w:t>
      </w:r>
    </w:p>
    <w:p>
      <w:pPr>
        <w:spacing w:after="0" w:line="2" w:lineRule="exact"/>
        <w:rPr>
          <w:rFonts w:ascii="Arial" w:cs="Arial" w:eastAsia="Arial" w:hAnsi="Arial"/>
          <w:sz w:val="14"/>
          <w:szCs w:val="14"/>
          <w:color w:val="auto"/>
        </w:rPr>
      </w:pPr>
    </w:p>
    <w:p>
      <w:pPr>
        <w:ind w:left="340" w:right="200" w:hanging="332"/>
        <w:spacing w:after="0" w:line="284"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LEASES</w:t>
      </w:r>
    </w:p>
    <w:p>
      <w:pPr>
        <w:spacing w:after="0" w:line="17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 and finance leases for vehicles with lease terms ranging from two to five years.</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table below presents balances of our lease assets and liabilities and their balance sheet locations for both operating and financing leases: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4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2024</w:t>
            </w: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2023</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2720" w:type="dxa"/>
            <w:vAlign w:val="bottom"/>
            <w:vMerge w:val="continue"/>
          </w:tcPr>
          <w:p>
            <w:pPr>
              <w:spacing w:after="0"/>
              <w:rPr>
                <w:sz w:val="18"/>
                <w:szCs w:val="18"/>
                <w:color w:val="auto"/>
              </w:rPr>
            </w:pPr>
          </w:p>
        </w:tc>
        <w:tc>
          <w:tcPr>
            <w:tcW w:w="4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Lease assets:</w:t>
            </w:r>
          </w:p>
        </w:tc>
        <w:tc>
          <w:tcPr>
            <w:tcW w:w="3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234,388</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assets</w:t>
            </w: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204"/>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assets</w:t>
            </w:r>
          </w:p>
        </w:tc>
        <w:tc>
          <w:tcPr>
            <w:tcW w:w="3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236,862</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245,176</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236,566</w:t>
            </w:r>
          </w:p>
        </w:tc>
        <w:tc>
          <w:tcPr>
            <w:tcW w:w="0" w:type="dxa"/>
            <w:vAlign w:val="bottom"/>
          </w:tcPr>
          <w:p>
            <w:pPr>
              <w:spacing w:after="0"/>
              <w:rPr>
                <w:sz w:val="1"/>
                <w:szCs w:val="1"/>
                <w:color w:val="auto"/>
              </w:rPr>
            </w:pPr>
          </w:p>
        </w:tc>
      </w:tr>
      <w:tr>
        <w:trPr>
          <w:trHeight w:val="418"/>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Current:</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57,182</w:t>
            </w:r>
          </w:p>
        </w:tc>
        <w:tc>
          <w:tcPr>
            <w:tcW w:w="0" w:type="dxa"/>
            <w:vAlign w:val="bottom"/>
          </w:tcPr>
          <w:p>
            <w:pPr>
              <w:spacing w:after="0"/>
              <w:rPr>
                <w:sz w:val="1"/>
                <w:szCs w:val="1"/>
                <w:color w:val="auto"/>
              </w:rPr>
            </w:pPr>
          </w:p>
        </w:tc>
      </w:tr>
      <w:tr>
        <w:trPr>
          <w:trHeight w:val="162"/>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Financing lease liabilities</w:t>
            </w:r>
          </w:p>
        </w:tc>
        <w:tc>
          <w:tcPr>
            <w:tcW w:w="40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Accounts payable, accrued expenses and other</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current lease liabilities</w:t>
            </w:r>
          </w:p>
        </w:tc>
        <w:tc>
          <w:tcPr>
            <w:tcW w:w="3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59,501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57,391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57,712</w:t>
            </w:r>
          </w:p>
        </w:tc>
        <w:tc>
          <w:tcPr>
            <w:tcW w:w="0" w:type="dxa"/>
            <w:vAlign w:val="bottom"/>
          </w:tcPr>
          <w:p>
            <w:pPr>
              <w:spacing w:after="0"/>
              <w:rPr>
                <w:sz w:val="1"/>
                <w:szCs w:val="1"/>
                <w:color w:val="auto"/>
              </w:rPr>
            </w:pP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193,187</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liabilities</w:t>
            </w: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non-current lease liabilities</w:t>
            </w:r>
          </w:p>
        </w:tc>
        <w:tc>
          <w:tcPr>
            <w:tcW w:w="3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190,348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199,144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194,902</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liabilities</w:t>
            </w:r>
          </w:p>
        </w:tc>
        <w:tc>
          <w:tcPr>
            <w:tcW w:w="3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249,849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256,535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252,614</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major components of our lease costs: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5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Operating lease cost: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 *</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54,219</w:t>
            </w: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cost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13,176</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12,068</w:t>
            </w:r>
          </w:p>
        </w:tc>
      </w:tr>
      <w:tr>
        <w:trPr>
          <w:trHeight w:val="217"/>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operating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24,724</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22,889</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72,488</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66,287</w:t>
            </w:r>
          </w:p>
        </w:tc>
      </w:tr>
      <w:tr>
        <w:trPr>
          <w:trHeight w:val="418"/>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Financing lease cost:</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financing lease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on financing lease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17"/>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financing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2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cost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24,913</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23,042</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73,120</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66,549</w:t>
            </w:r>
          </w:p>
        </w:tc>
      </w:tr>
    </w:tbl>
    <w:p>
      <w:pPr>
        <w:spacing w:after="0" w:line="85" w:lineRule="exact"/>
        <w:rPr>
          <w:sz w:val="20"/>
          <w:szCs w:val="20"/>
          <w:color w:val="auto"/>
        </w:rPr>
      </w:pPr>
    </w:p>
    <w:p>
      <w:pPr>
        <w:ind w:right="600" w:firstLine="8"/>
        <w:spacing w:after="0" w:line="305"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 reduction for sublease rental income of $0.7 million and $1.0 million for the three months ended June 30, 2024 and 2023, respectively, and $2.4 million and $2.8 million for the nine months ended June 30, 2024 and 2023, respectively.</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expenses” and “General and administrative” under operating expenses, based on the underlying lease use. Cash paid for operating leases was $15.9 million and $19.5 million for the three months ended June 30, 2024 and 2023, respectively, and $60.5 million and $56.9 million for the nine months ended June 30, 2024 and 2023, respectively. Cash paid for principal and interest on finance leases was $0.1 million and $0.1 million, respectively, for the three months ended June 30, 2024 and $0.4 million and $0.2 million for the nine months ended June 30, 2024 respectively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There was no cash paid for principal or interest on finance leases during the three and nine months ended June 30, 2023.</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term and discount rates for leases are as follows:</w:t>
      </w:r>
    </w:p>
    <w:p>
      <w:pPr>
        <w:spacing w:after="0" w:line="48"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49"/>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70"/>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8.52 %</w:t>
            </w: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11.14 %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11.14 %</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maturities of lease liabilities under ASC 842 by fiscal year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Financing Leases</w:t>
            </w:r>
          </w:p>
        </w:tc>
      </w:tr>
      <w:tr>
        <w:trPr>
          <w:trHeight w:val="210"/>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75,596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50,391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5"/>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56,958</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r>
      <w:tr>
        <w:trPr>
          <w:trHeight w:val="215"/>
        </w:trPr>
        <w:tc>
          <w:tcPr>
            <w:tcW w:w="7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imputed interest</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54,337</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10"/>
        </w:trPr>
        <w:tc>
          <w:tcPr>
            <w:tcW w:w="7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w:t>
            </w:r>
          </w:p>
        </w:tc>
      </w:tr>
      <w:tr>
        <w:trPr>
          <w:trHeight w:val="215"/>
        </w:trPr>
        <w:tc>
          <w:tcPr>
            <w:tcW w:w="79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58,905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r>
      <w:tr>
        <w:trPr>
          <w:trHeight w:val="217"/>
        </w:trPr>
        <w:tc>
          <w:tcPr>
            <w:tcW w:w="7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long term net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188,996</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r>
    </w:tbl>
    <w:p>
      <w:pPr>
        <w:spacing w:after="0" w:line="23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recorded $ 46.1 million and $55.2 million in non-cash additions to our operating right-of-use assets and lease liabilities for the nine months ended June 30, 2024 and 2023, respectively. We recorded $0.3 million and $2.1 million in non-cash finance lease additions for the nine months ended June 30, 2024 and 2023,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STRATEGIC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June 30, 2024, we owned 273,939,157 shares, or approximately 43.7%, of Cash Converters. We acquired our original investment (representing approximately 30% of the outstanding shares) in November 2009 and have increased our ownership through the acquisition of additional shares periodically since that time.</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received cash dividends from Cash Converters of $3.5 million and $3.6 million during the nine months ended June 30, 2024 and 2023, respectively.</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tables present summary financial information for Cash Converters’ most recently reported results at December 31, 2023 after translation to U.S.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186,572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189,179</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137,271</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98,301</w:t>
            </w:r>
          </w:p>
        </w:tc>
      </w:tr>
      <w:tr>
        <w:trPr>
          <w:trHeight w:val="217"/>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323,843</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287,480</w:t>
            </w:r>
          </w:p>
        </w:tc>
      </w:tr>
      <w:tr>
        <w:trPr>
          <w:trHeight w:val="41"/>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101,097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91,601</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79,926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56,792</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142,820</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139,087</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323,843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287,480</w:t>
            </w: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Half-Year Ended December 31,</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34"/>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8"/>
              </w:rPr>
              <w:t>98,768</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73,675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399"/>
              <w:spacing w:after="0"/>
              <w:rPr>
                <w:sz w:val="20"/>
                <w:szCs w:val="20"/>
                <w:color w:val="auto"/>
              </w:rPr>
            </w:pPr>
            <w:r>
              <w:rPr>
                <w:rFonts w:ascii="Arial" w:cs="Arial" w:eastAsia="Arial" w:hAnsi="Arial"/>
                <w:sz w:val="16"/>
                <w:szCs w:val="16"/>
                <w:color w:val="auto"/>
                <w:w w:val="98"/>
              </w:rPr>
              <w:t>63,800</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(73,197)</w:t>
            </w:r>
          </w:p>
        </w:tc>
      </w:tr>
    </w:tbl>
    <w:p>
      <w:pPr>
        <w:spacing w:after="0" w:line="23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212529"/>
        </w:rPr>
        <w:t xml:space="preserve">During the </w:t>
      </w:r>
      <w:r>
        <w:rPr>
          <w:rFonts w:ascii="Arial" w:cs="Arial" w:eastAsia="Arial" w:hAnsi="Arial"/>
          <w:sz w:val="18"/>
          <w:szCs w:val="18"/>
          <w:color w:val="000000"/>
        </w:rPr>
        <w:t>three and nine</w:t>
      </w:r>
      <w:r>
        <w:rPr>
          <w:rFonts w:ascii="Arial" w:cs="Arial" w:eastAsia="Arial" w:hAnsi="Arial"/>
          <w:sz w:val="18"/>
          <w:szCs w:val="18"/>
          <w:color w:val="212529"/>
        </w:rPr>
        <w:t xml:space="preserve"> months ended June 30, 2024, we recorded our share of income of $1.4 million and $ 4.3 million, respectively, from Cash Converters. During the </w:t>
      </w:r>
      <w:r>
        <w:rPr>
          <w:rFonts w:ascii="Arial" w:cs="Arial" w:eastAsia="Arial" w:hAnsi="Arial"/>
          <w:sz w:val="18"/>
          <w:szCs w:val="18"/>
          <w:color w:val="000000"/>
        </w:rPr>
        <w:t>three and nine</w:t>
      </w:r>
      <w:r>
        <w:rPr>
          <w:rFonts w:ascii="Arial" w:cs="Arial" w:eastAsia="Arial" w:hAnsi="Arial"/>
          <w:sz w:val="18"/>
          <w:szCs w:val="18"/>
          <w:color w:val="212529"/>
        </w:rPr>
        <w:t xml:space="preserve"> months ended June 30, 2023, we recorded our share of income of $1.5 million and a</w:t>
      </w:r>
    </w:p>
    <w:p>
      <w:pPr>
        <w:spacing w:after="0" w:line="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212529"/>
        </w:rPr>
        <w:t xml:space="preserve">$29.4 million loss on our share of losses from Cash Converters, respectively, included in </w:t>
      </w:r>
      <w:r>
        <w:rPr>
          <w:rFonts w:ascii="Arial" w:cs="Arial" w:eastAsia="Arial" w:hAnsi="Arial"/>
          <w:sz w:val="18"/>
          <w:szCs w:val="18"/>
          <w:color w:val="000000"/>
        </w:rPr>
        <w:t>“Equity in net (income) loss of unconsolidated</w:t>
      </w:r>
      <w:r>
        <w:rPr>
          <w:rFonts w:ascii="Arial" w:cs="Arial" w:eastAsia="Arial" w:hAnsi="Arial"/>
          <w:sz w:val="18"/>
          <w:szCs w:val="18"/>
          <w:color w:val="212529"/>
        </w:rPr>
        <w:t xml:space="preserve"> </w:t>
      </w:r>
      <w:r>
        <w:rPr>
          <w:rFonts w:ascii="Arial" w:cs="Arial" w:eastAsia="Arial" w:hAnsi="Arial"/>
          <w:sz w:val="18"/>
          <w:szCs w:val="18"/>
          <w:color w:val="000000"/>
        </w:rPr>
        <w:t xml:space="preserve">affiliates” </w:t>
      </w:r>
      <w:r>
        <w:rPr>
          <w:rFonts w:ascii="Arial" w:cs="Arial" w:eastAsia="Arial" w:hAnsi="Arial"/>
          <w:sz w:val="18"/>
          <w:szCs w:val="18"/>
          <w:color w:val="212529"/>
        </w:rPr>
        <w:t>in the condensed consolidated statements of operations. For the nine months ended June 30, 2023, the $29.4 million loss includes</w:t>
      </w:r>
      <w:r>
        <w:rPr>
          <w:rFonts w:ascii="Arial" w:cs="Arial" w:eastAsia="Arial" w:hAnsi="Arial"/>
          <w:sz w:val="18"/>
          <w:szCs w:val="18"/>
          <w:color w:val="000000"/>
        </w:rPr>
        <w:t xml:space="preserve"> </w:t>
      </w:r>
      <w:r>
        <w:rPr>
          <w:rFonts w:ascii="Arial" w:cs="Arial" w:eastAsia="Arial" w:hAnsi="Arial"/>
          <w:sz w:val="18"/>
          <w:szCs w:val="18"/>
          <w:color w:val="212529"/>
        </w:rPr>
        <w:t>$32.4 million of our share of their non-cash goodwill impairment charge.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 and carrying value of our investment in Cash Converters.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4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October 2021, we invested $15.0 million in exchange for a non-redeemable voting participating preferred equity interest in Founders One, LLC (“Founders”), a then newly-formed entity with one other member.</w:t>
      </w:r>
    </w:p>
    <w:p>
      <w:pPr>
        <w:spacing w:after="0" w:line="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December 2, 2022, we contributed an additional $15.0 million to Founders associated with our preferred interest. In addition, we loaned $15.0 million to Founders in exchange for a Demand Promissory Note secured by the common interest in Founders held by the other member.</w:t>
      </w:r>
    </w:p>
    <w:p>
      <w:pPr>
        <w:spacing w:after="0" w:line="7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October 2023, we contributed an additional $15.0 million to Founders associated with our preferred interest, bringing our total preferred equity investment in Founders to $45.0 million.</w:t>
      </w:r>
    </w:p>
    <w:p>
      <w:pPr>
        <w:spacing w:after="0" w:line="7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preferred equity investment in Founders is accounted for utilizing the measurement alternative within ASC 321, Investments — Equity Securities. As of June 30, 2024, our $45.0 million carrying value of the preferred equity investment and $15.0 million Demand Promissory Note are included in “Other investments” and “Prepaid expenses and other current assets” in our condensed consolidated balance sheets, respectively. As of June 30, 2024, our maximum exposure for losses related to our investment in Founders was our $45.0 million preferred equity investment and $15.0 million Demand Promissory Note plus accrued and unpaid interest.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 and carrying value of our loan to Founders.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FAIR VALUE MEASUREMENTS</w:t>
      </w:r>
    </w:p>
    <w:p>
      <w:pPr>
        <w:spacing w:after="0" w:line="1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2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Carrying Value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June 30, 2024</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2024</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16,186</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40,762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39,912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102,940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99,238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99,238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Carrying Value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June 30, 2023</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due April 2024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16,050</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94,586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94,586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due April 2024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16,500</w:t>
            </w: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96,137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96,137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primarily on the short-term nature of cash and cash equivalents, pawn loans, pawn service charges receivable and other liabilities, we estimate that their carrying value approximates fair value. We consider our cash and cash equivalents, including money market accounts, to be measured using Level 1 inputs and our pawn loans, pawn service charges receivable and other liabilities to be measured using Level 3 inputs. Significant increases or decreases in the underlying assumptions used to value pawn loans, pawn service charges receivable, fees and interest receivable and other debt could significantly increase or decrease these fair value estimates.</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remeasured its acquisition-related contingent obligation associated with the acquisition in June 2021 of PLO del Bajio S. de R.S. de C.V., which owned stores operating under the name “Cash Apoyo Efectivo,” at the end of each reporting period. This remeasurement resulted in a $2.6 million and $5.1 million reduction of the obligation with an offset recorded to “Other” as an operating item in our condensed consolidated statement of operations during the three and nine months ended June 30, 2023, respectively. There is no remaining obligation in our Consolidated Balance Sheet as of June 30, 2023. The key assumptions used to determine the fair value of acquisition-related contingent consideration are estimated by management, not observable in the market and, therefore, considered Level 3 inputs within the fair value hierarchy.</w:t>
      </w:r>
    </w:p>
    <w:p>
      <w:pPr>
        <w:spacing w:after="0" w:line="12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$1.1 million back to the seller of GPMX in exchange for a promissory note. The interest rate on the note was 2.89% per annum and was secured by certain marketable securities owned by the seller and held in a U.S. brokerage account. All principal and accrued interest was received in April 2024.</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December 2022, we loaned $15.0 million to Founders in exchange for a Demand Promissory Note secured by the common interest in Founders held by the other member. As of June 30, 2024, the interest rate on the note was 15.00% per annum, and all principal and accrued interest is due on demand. Based primarily on the short-term nature of the note, we estimate that its carrying value approximates fair value as of June 30, 2024.</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measured the fair value of the 2024, 2025 and 2029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June 30, 2024</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223,284</w:t>
            </w: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102,940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102,433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102,563</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34,386</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34,223</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367,762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361,324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367,762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359,686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367,762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360,112</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137,762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137,326</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17"/>
        </w:trPr>
        <w:tc>
          <w:tcPr>
            <w:tcW w:w="2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223,998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367,762</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359,686</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333,373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325,847</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June 30,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Schedule of Contractual Maturities</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10"/>
        </w:trPr>
        <w:tc>
          <w:tcPr>
            <w:tcW w:w="34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2029 Convertible Notes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2025 Convertible Notes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2024 Convertible Notes</w:t>
            </w:r>
          </w:p>
        </w:tc>
        <w:tc>
          <w:tcPr>
            <w:tcW w:w="440" w:type="dxa"/>
            <w:vAlign w:val="bottom"/>
          </w:tcPr>
          <w:p>
            <w:pPr>
              <w:spacing w:after="0"/>
              <w:rPr>
                <w:sz w:val="18"/>
                <w:szCs w:val="18"/>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34"/>
        </w:trPr>
        <w:tc>
          <w:tcPr>
            <w:tcW w:w="3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2024</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34,389</w:t>
            </w: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6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103,373</w:t>
            </w: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6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r>
      <w:tr>
        <w:trPr>
          <w:trHeight w:val="217"/>
        </w:trPr>
        <w:tc>
          <w:tcPr>
            <w:tcW w:w="3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367,762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and nine months ended June 30, 2024 and 2023:</w:t>
      </w:r>
    </w:p>
    <w:tbl>
      <w:tblPr>
        <w:tblLayout w:type="fixed"/>
        <w:tblInd w:w="0" w:type="dxa"/>
        <w:tblCellMar>
          <w:top w:w="0" w:type="dxa"/>
          <w:left w:w="0" w:type="dxa"/>
          <w:bottom w:w="0" w:type="dxa"/>
          <w:right w:w="0" w:type="dxa"/>
        </w:tblCellMar>
      </w:tblPr>
      <w:tr>
        <w:trPr>
          <w:trHeight w:val="164"/>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5"/>
          </w:tcPr>
          <w:p>
            <w:pPr>
              <w:ind w:left="320"/>
              <w:spacing w:after="0" w:line="164" w:lineRule="exact"/>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4"/>
                <w:szCs w:val="14"/>
                <w:color w:val="auto"/>
              </w:rPr>
            </w:pPr>
          </w:p>
        </w:tc>
        <w:tc>
          <w:tcPr>
            <w:tcW w:w="2540" w:type="dxa"/>
            <w:vAlign w:val="bottom"/>
            <w:gridSpan w:val="4"/>
          </w:tcPr>
          <w:p>
            <w:pPr>
              <w:jc w:val="right"/>
              <w:ind w:right="579"/>
              <w:spacing w:after="0" w:line="164" w:lineRule="exact"/>
              <w:rPr>
                <w:sz w:val="20"/>
                <w:szCs w:val="20"/>
                <w:color w:val="auto"/>
              </w:rPr>
            </w:pPr>
            <w:r>
              <w:rPr>
                <w:rFonts w:ascii="Arial" w:cs="Arial" w:eastAsia="Arial" w:hAnsi="Arial"/>
                <w:sz w:val="16"/>
                <w:szCs w:val="16"/>
                <w:b w:val="1"/>
                <w:bCs w:val="1"/>
                <w:color w:val="auto"/>
              </w:rPr>
              <w:t>Nine Months Ended</w:t>
            </w:r>
          </w:p>
        </w:tc>
      </w:tr>
      <w:tr>
        <w:trPr>
          <w:trHeight w:val="216"/>
        </w:trPr>
        <w:tc>
          <w:tcPr>
            <w:tcW w:w="5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49"/>
        </w:trPr>
        <w:tc>
          <w:tcPr>
            <w:tcW w:w="5460" w:type="dxa"/>
            <w:vAlign w:val="bottom"/>
          </w:tcPr>
          <w:p>
            <w:pPr>
              <w:ind w:left="20"/>
              <w:spacing w:after="0"/>
              <w:rPr>
                <w:sz w:val="20"/>
                <w:szCs w:val="20"/>
                <w:color w:val="auto"/>
              </w:rPr>
            </w:pPr>
            <w:r>
              <w:rPr>
                <w:rFonts w:ascii="Arial" w:cs="Arial" w:eastAsia="Arial" w:hAnsi="Arial"/>
                <w:sz w:val="16"/>
                <w:szCs w:val="16"/>
                <w:color w:val="auto"/>
              </w:rPr>
              <w:t>2029 Convertible Notes: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w:t>
            </w:r>
          </w:p>
        </w:tc>
      </w:tr>
      <w:tr>
        <w:trPr>
          <w:trHeight w:val="215"/>
        </w:trPr>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r>
      <w:tr>
        <w:trPr>
          <w:trHeight w:val="217"/>
        </w:trPr>
        <w:tc>
          <w:tcPr>
            <w:tcW w:w="54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5,232</w:t>
            </w:r>
          </w:p>
        </w:tc>
      </w:tr>
      <w:tr>
        <w:trPr>
          <w:trHeight w:val="418"/>
        </w:trPr>
        <w:tc>
          <w:tcPr>
            <w:tcW w:w="546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r>
      <w:tr>
        <w:trPr>
          <w:trHeight w:val="215"/>
        </w:trPr>
        <w:tc>
          <w:tcPr>
            <w:tcW w:w="546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16"/>
        </w:trPr>
        <w:tc>
          <w:tcPr>
            <w:tcW w:w="5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Gain on extinguishment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w:t>
            </w:r>
          </w:p>
        </w:tc>
      </w:tr>
      <w:tr>
        <w:trPr>
          <w:trHeight w:val="217"/>
        </w:trPr>
        <w:tc>
          <w:tcPr>
            <w:tcW w:w="54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w:t>
            </w:r>
          </w:p>
        </w:tc>
      </w:tr>
      <w:tr>
        <w:trPr>
          <w:trHeight w:val="203"/>
        </w:trPr>
        <w:tc>
          <w:tcPr>
            <w:tcW w:w="5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2024 Convertible Notes: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r>
      <w:tr>
        <w:trPr>
          <w:trHeight w:val="215"/>
        </w:trPr>
        <w:tc>
          <w:tcPr>
            <w:tcW w:w="546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6"/>
        </w:trPr>
        <w:tc>
          <w:tcPr>
            <w:tcW w:w="5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Loss on extinguishment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8,935</w:t>
            </w:r>
          </w:p>
        </w:tc>
      </w:tr>
      <w:tr>
        <w:trPr>
          <w:trHeight w:val="217"/>
        </w:trPr>
        <w:tc>
          <w:tcPr>
            <w:tcW w:w="54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3.750% Convertible Senior Notes Due 2029</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2022, we issued $230.0 million aggregate principal amount of 3.750% Convertible Senior Notes Due 2029 (the “2029 Convertible Notes”), for which $230.0 million remains outstanding as of June 30, 2024. The 2029 Convertible Notes were issued pursuant to an indenture dated December 12, 2022 (the “2022 Indenture”) by and between the Company and Truist Bank, as trustee. The 2029 Convertible Notes were issued in a private offering under Rule 144A under the Securities Act of 1933. 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equal to the principal of the 2029 Convertible Notes plus accrued interest.</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effective interest rate for the three and nine months ended June 30, 2024 was approximately 4.28%. As of June 30, 2024, the remaining unamortized debt issuance costs will be amortized using the effective interest method through the 2029 Maturity Date assuming no early conversion.</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2029 Convertible Notes are convertible based on an initial conversion rate of 89.0313 shares of Class A Common Stock per $1,000 principal amount (equivalent to an initial conversion price of $11.23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may not redeem the 2029 Convertible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spacing w:after="0" w:line="12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June 30, 2024. As of June 30, 2024, the if-converted value of the 2029 Convertible Notes did not exceed the principal amount.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Repurchases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recognized a $3.5 million loss on extinguishment of debt recorded to “Interest expense” in the Company’s condensed consolidated statement of operations for the three months ended December 31,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for which $103.4 million remains outstanding as of June 30, 2024.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w:t>
      </w:r>
    </w:p>
    <w:p>
      <w:pPr>
        <w:spacing w:after="0" w:line="1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effective interest rate for the three and nine months ended June 30, 2024 was approximately 2.88% for the 2025 Convertible Notes. As of June 30, 2024, the remaining unamortized debt issuance costs will be amortized using the effective interest method through the 2025 Maturity Date assuming no early conversion.</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w:t>
      </w:r>
    </w:p>
    <w:p>
      <w:pPr>
        <w:spacing w:after="0" w:line="1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1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our option, we may redeem for cash all or any portion of the 2025 Convertible Notes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12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June 30, 2024. As of June 30, 2024, the if-converted value of the 2025 Convertible Notes did not exceed the principal amount.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of which $ 34.4 million remains outstanding as of June 30, 2024.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effective interest rate for the three and nine months ended June 30, 2024 was approximately 3.35%. As of June 30, 2024, the remaining unamortized debt issuance costs will be amortized using the effective interest method through the 2024 Maturity Date assuming no early conversion.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$ 10.00 per share). The conversion rate will not be adjusted for any accrued and unpaid interest. The 2024 Convertible Notes contain certain make-whole fundamental change premiums and customary anti-dilution adjustments.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Until the close of business on the business day immediately preceding the 2024 Maturity Date, holders of 2024 Convertible Notes may, at their option, convert their 2024 Convertible Notes at any time.</w:t>
      </w:r>
    </w:p>
    <w:p>
      <w:pPr>
        <w:spacing w:after="0" w:line="9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Because we did not elect an alternative settlement method prior to January 1, 2024, conversions will be settled by combination settlement, which is $1,000 cash (per the $1,000 principal value) plus stock equal to the accreted value as defined in the 2017 Indenture.</w:t>
      </w:r>
    </w:p>
    <w:p>
      <w:pPr>
        <w:spacing w:after="0" w:line="9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of June 30, 2024, based on the terms of the 2017 Indenture, the if-converted value of the 2024 Convertible Notes exceeded the principal amount by $0.8 million, or approximately 77,000 Class A common shares.</w:t>
      </w:r>
    </w:p>
    <w:p>
      <w:pPr>
        <w:spacing w:after="0" w:line="99"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Prior to the 2024 Maturity Date, certain holders of the 2024 Convertible Notes elected to convert their 2024 Convertible Notes, resulting in combination settlement on the 2024 Maturity Date. On July 1, 2024, the $34.4 million aggregate principal amount outstanding plus accrued interest was repaid using cash on hand and 77,328 Class A Common Stock shares, equal to the accreted value, were issued as part of the 2024 Convertible Notes conversion.</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COMMON STOCK AND STOCK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May 3, 2022, the Company’s Board of Directors (the “Board”) authorized the repurchase of up to $ 50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As of June 30, 2024, we had repurchased and retired 2,572,794 shares of our Class A Common Stock for $23.0 million under the Common Stock Repurchase Program, of which 285,392 and 945,749 shares were repurchased and retired for $3.0 million and $9.0 million during the three and nine months ended June 30, 2024, respectively. During the three and nine months ended June 30, 2023, 346,310 and 1,037,703 shares were repurchased and retired for $3.0 million and $9.0 million, respectively, under the Common Stock Repurchase Program. The repurchase amount is allocated between “Additional paid-in capital” and “Retained earnings” in our condensed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Common Stock Repurchases</w:t>
      </w:r>
    </w:p>
    <w:p>
      <w:pPr>
        <w:spacing w:after="0" w:line="17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December 2022, the Company used approximately $5.0 million of the net proceeds from the 2029 Convertible Notes offering to repurchase for cash 578,703 shares of its Class A common stock from purchasers of the notes in privately negotiated transactions. Such transactions were authorized separately from, and not considered a part of, the publicly announced share repurchase program discussed above. The repurchase amount is allocated between “Additional paid-in capital” and “Retained earnings” in our condensed consolidated balance sheets.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compensation activity: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200" w:type="dxa"/>
            <w:vAlign w:val="bottom"/>
            <w:gridSpan w:val="2"/>
            <w:vMerge w:val="restart"/>
          </w:tcPr>
          <w:p>
            <w:pPr>
              <w:ind w:left="7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6"/>
                <w:szCs w:val="16"/>
                <w:color w:val="auto"/>
              </w:rPr>
            </w:pPr>
          </w:p>
        </w:tc>
        <w:tc>
          <w:tcPr>
            <w:tcW w:w="1940" w:type="dxa"/>
            <w:vAlign w:val="bottom"/>
          </w:tcPr>
          <w:p>
            <w:pPr>
              <w:jc w:val="right"/>
              <w:ind w:right="27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ind w:right="153"/>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2,555,899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(a)</w:t>
            </w:r>
          </w:p>
        </w:tc>
        <w:tc>
          <w:tcPr>
            <w:tcW w:w="2080" w:type="dxa"/>
            <w:vAlign w:val="bottom"/>
          </w:tcPr>
          <w:p>
            <w:pPr>
              <w:jc w:val="right"/>
              <w:spacing w:after="0"/>
              <w:rPr>
                <w:sz w:val="20"/>
                <w:szCs w:val="20"/>
                <w:color w:val="auto"/>
              </w:rPr>
            </w:pPr>
            <w:r>
              <w:rPr>
                <w:rFonts w:ascii="Arial" w:cs="Arial" w:eastAsia="Arial" w:hAnsi="Arial"/>
                <w:sz w:val="18"/>
                <w:szCs w:val="18"/>
                <w:color w:val="auto"/>
              </w:rPr>
              <w:t>1,442,461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Released </w:t>
            </w:r>
            <w:r>
              <w:rPr>
                <w:rFonts w:ascii="Arial" w:cs="Arial" w:eastAsia="Arial" w:hAnsi="Arial"/>
                <w:sz w:val="23"/>
                <w:szCs w:val="23"/>
                <w:color w:val="auto"/>
                <w:vertAlign w:val="superscript"/>
              </w:rPr>
              <w:t>(b)</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Cancelled</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2024</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2,709,821</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performance adjustment of 353,993 shares awarded above their target grants resulting from the achievement of performance targets established at the grant date.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377,231 shares were withheld to satisfy related income tax withholding.</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CONTINGENCIES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SEGMENT INFORMATION</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evaluates performance for purposes of allocating resources and assessing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right="260" w:hanging="328"/>
        <w:spacing w:after="0" w:line="287"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the net income of Cash Converters along with our investment in RDC and our investment in and notes receivable from Founders.</w:t>
      </w:r>
    </w:p>
    <w:p>
      <w:pPr>
        <w:spacing w:after="0" w:line="9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income (loss) before income taxes tables present revenue for each reportable segment, disaggregated revenue within our reportable segments and Corporate, segment profits and segment contribution.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June 30, 2024</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158,140</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15,395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107,830</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281,421</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101,211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101,211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11,887</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13,483</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166,727</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81,441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116,335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20,060</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8,158</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(Gain) loss on sale or disposal of assets and</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3,539</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Equity in net (income) loss of unconsolidated</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36,087</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10,341</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48,427</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(25,427)</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June 30, 2023</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147,980</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13,931</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93,819</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255,812</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62,799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95,069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11,958</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110,192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38,578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148,785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148,785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104,932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104,932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17,876</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8,026</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or disposal of assets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32,299</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43,541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43,541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Nine Months Ended June 30, 2024</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348,211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154,019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502,230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502,230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43,191</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84,943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321,442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321,442</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624,062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867,051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867,051</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322,680</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37,479</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506,892</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341,472</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54,869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54,869</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24,942</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(Gain) loss on sale or disposal of assets and</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10,381</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(8,452)</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Equity in net (income) loss of unconsolidated</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(4,278)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(4,278)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(4,135)</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124,283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28,608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158,988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158,988</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(69,632)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Nine Months Ended June 30, 2023</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329,231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135,043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464,274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464,274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34,640</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208,045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279,442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279,442</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567,448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211,067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778,562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778,562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297,285</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25,867</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30,813</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337,883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450,464</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307,004</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48,961</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23,977</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Loss (gain) on sale or disposal of assets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12,994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29,394</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109,342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25,239</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105,214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(66,706)</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w:t>
            </w:r>
          </w:p>
        </w:tc>
        <w:tc>
          <w:tcPr>
            <w:tcW w:w="220" w:type="dxa"/>
            <w:vAlign w:val="bottom"/>
          </w:tcPr>
          <w:p>
            <w:pPr>
              <w:spacing w:after="0"/>
              <w:rPr>
                <w:sz w:val="16"/>
                <w:szCs w:val="16"/>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b w:val="1"/>
                <w:bCs w:val="1"/>
                <w:color w:val="auto"/>
                <w:w w:val="97"/>
                <w:vertAlign w:val="superscript"/>
              </w:rPr>
              <w:t>(a)</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Items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June 30, 2024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199,277</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62,443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261,720</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40,638</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121,941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49,996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171,937</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1,030,571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1,510,163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June 30, 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178,877</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50,502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229,379</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34,959</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114,910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154,944</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943,438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1,457,678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190,624</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55,142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245,766</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128,901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80" w:right="140" w:hanging="172"/>
        <w:spacing w:after="0" w:line="285" w:lineRule="auto"/>
        <w:tabs>
          <w:tab w:leader="none" w:pos="234"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Segment assets as of September 30, 2023 have been recast to conform to current year presentation as CCV no longer meets the 10 percent threshold to be considered its own segment.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SUPPLEMENTAL CONSOLIDATED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2024</w:t>
            </w:r>
          </w:p>
        </w:tc>
        <w:tc>
          <w:tcPr>
            <w:tcW w:w="16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2023</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50,881</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40,638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169,138</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171,937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154,944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notes receivable and other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29,860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30,548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prepaid and receivable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40,391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345,461</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(218,305)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(273,447)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(277,365)</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59,926</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61,849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68,096</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23,022</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Accrued payroll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11,472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accrual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18,544</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Other payroll related expenses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and VAT taxes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Accrued income taxes payable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15,112</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69,742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81,605</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 of condensed consolidated statements of cash flows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220,595</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206,028</w:t>
            </w:r>
          </w:p>
        </w:tc>
      </w:tr>
      <w:tr>
        <w:trPr>
          <w:trHeight w:val="21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8,373</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8,341</w:t>
            </w:r>
          </w:p>
        </w:tc>
      </w:tr>
      <w:tr>
        <w:trPr>
          <w:trHeight w:val="217"/>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 at beginning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228,968</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214,369</w:t>
            </w:r>
          </w:p>
        </w:tc>
      </w:tr>
      <w:tr>
        <w:trPr>
          <w:trHeight w:val="203"/>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218,038</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237,974</w:t>
            </w:r>
          </w:p>
        </w:tc>
      </w:tr>
      <w:tr>
        <w:trPr>
          <w:trHeight w:val="21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 at end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9,204</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8,549</w:t>
            </w:r>
          </w:p>
        </w:tc>
      </w:tr>
      <w:tr>
        <w:trPr>
          <w:trHeight w:val="217"/>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227,242</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246,523</w:t>
            </w:r>
          </w:p>
        </w:tc>
      </w:tr>
      <w:tr>
        <w:trPr>
          <w:trHeight w:val="255"/>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276,101</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238,899</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Transfer of equity consideration for acquisition</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earn-out contingency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Accrued acquisition consideration</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741</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1,220</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680"/>
        <w:spacing w:after="0" w:line="29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61"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21">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ended September 30, 2023,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and pre-owned merchandise purchased from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206375</wp:posOffset>
            </wp:positionV>
            <wp:extent cx="4732020" cy="1139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732020" cy="1139825"/>
                    </a:xfrm>
                    <a:prstGeom prst="rect">
                      <a:avLst/>
                    </a:prstGeom>
                    <a:noFill/>
                  </pic:spPr>
                </pic:pic>
              </a:graphicData>
            </a:graphic>
          </wp:anchor>
        </w:drawing>
      </w:r>
    </w:p>
    <w:p>
      <w:pPr>
        <w:spacing w:after="0" w:line="305" w:lineRule="exact"/>
        <w:rPr>
          <w:sz w:val="20"/>
          <w:szCs w:val="20"/>
          <w:color w:val="auto"/>
        </w:rPr>
      </w:pPr>
    </w:p>
    <w:tbl>
      <w:tblPr>
        <w:tblLayout w:type="fixed"/>
        <w:tblInd w:w="1920" w:type="dxa"/>
        <w:tblCellMar>
          <w:top w:w="0" w:type="dxa"/>
          <w:left w:w="0" w:type="dxa"/>
          <w:bottom w:w="0" w:type="dxa"/>
          <w:right w:w="0" w:type="dxa"/>
        </w:tblCellMar>
      </w:tblPr>
      <w:tr>
        <w:trPr>
          <w:trHeight w:val="278"/>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Strengthen the Core</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Relentless focus on superior execution and operational</w:t>
            </w:r>
          </w:p>
        </w:tc>
        <w:tc>
          <w:tcPr>
            <w:tcW w:w="0" w:type="dxa"/>
            <w:vAlign w:val="bottom"/>
          </w:tcPr>
          <w:p>
            <w:pPr>
              <w:spacing w:after="0"/>
              <w:rPr>
                <w:sz w:val="1"/>
                <w:szCs w:val="1"/>
                <w:color w:val="auto"/>
              </w:rPr>
            </w:pPr>
          </w:p>
        </w:tc>
      </w:tr>
      <w:tr>
        <w:trPr>
          <w:trHeight w:val="152"/>
        </w:trPr>
        <w:tc>
          <w:tcPr>
            <w:tcW w:w="2080" w:type="dxa"/>
            <w:vAlign w:val="bottom"/>
            <w:vMerge w:val="continue"/>
            <w:shd w:val="clear" w:color="auto" w:fill="026DCE"/>
          </w:tcPr>
          <w:p>
            <w:pPr>
              <w:spacing w:after="0"/>
              <w:rPr>
                <w:sz w:val="13"/>
                <w:szCs w:val="13"/>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excellence in our core pawn business</w:t>
            </w:r>
          </w:p>
        </w:tc>
        <w:tc>
          <w:tcPr>
            <w:tcW w:w="0" w:type="dxa"/>
            <w:vAlign w:val="bottom"/>
          </w:tcPr>
          <w:p>
            <w:pPr>
              <w:spacing w:after="0"/>
              <w:rPr>
                <w:sz w:val="1"/>
                <w:szCs w:val="1"/>
                <w:color w:val="auto"/>
              </w:rPr>
            </w:pPr>
          </w:p>
        </w:tc>
      </w:tr>
      <w:tr>
        <w:trPr>
          <w:trHeight w:val="95"/>
        </w:trPr>
        <w:tc>
          <w:tcPr>
            <w:tcW w:w="2080" w:type="dxa"/>
            <w:vAlign w:val="bottom"/>
            <w:shd w:val="clear" w:color="auto" w:fill="026DCE"/>
          </w:tcPr>
          <w:p>
            <w:pPr>
              <w:spacing w:after="0"/>
              <w:rPr>
                <w:sz w:val="8"/>
                <w:szCs w:val="8"/>
                <w:color w:val="auto"/>
              </w:rPr>
            </w:pPr>
          </w:p>
        </w:tc>
        <w:tc>
          <w:tcPr>
            <w:tcW w:w="534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Cost Efficiency and</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Shape a culture of cost efficiency through ongoing focus on</w:t>
            </w:r>
          </w:p>
        </w:tc>
        <w:tc>
          <w:tcPr>
            <w:tcW w:w="0" w:type="dxa"/>
            <w:vAlign w:val="bottom"/>
          </w:tcPr>
          <w:p>
            <w:pPr>
              <w:spacing w:after="0"/>
              <w:rPr>
                <w:sz w:val="1"/>
                <w:szCs w:val="1"/>
                <w:color w:val="auto"/>
              </w:rPr>
            </w:pPr>
          </w:p>
        </w:tc>
      </w:tr>
      <w:tr>
        <w:trPr>
          <w:trHeight w:val="247"/>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Simplification</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simplification and optimization</w:t>
            </w:r>
          </w:p>
        </w:tc>
        <w:tc>
          <w:tcPr>
            <w:tcW w:w="0" w:type="dxa"/>
            <w:vAlign w:val="bottom"/>
          </w:tcPr>
          <w:p>
            <w:pPr>
              <w:spacing w:after="0"/>
              <w:rPr>
                <w:sz w:val="1"/>
                <w:szCs w:val="1"/>
                <w:color w:val="auto"/>
              </w:rPr>
            </w:pPr>
          </w:p>
        </w:tc>
      </w:tr>
      <w:tr>
        <w:trPr>
          <w:trHeight w:val="347"/>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Innovate and Grow</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Broaden customer engagement to service more customers</w:t>
            </w:r>
          </w:p>
        </w:tc>
        <w:tc>
          <w:tcPr>
            <w:tcW w:w="0" w:type="dxa"/>
            <w:vAlign w:val="bottom"/>
          </w:tcPr>
          <w:p>
            <w:pPr>
              <w:spacing w:after="0"/>
              <w:rPr>
                <w:sz w:val="1"/>
                <w:szCs w:val="1"/>
                <w:color w:val="auto"/>
              </w:rPr>
            </w:pPr>
          </w:p>
        </w:tc>
      </w:tr>
      <w:tr>
        <w:trPr>
          <w:trHeight w:val="152"/>
        </w:trPr>
        <w:tc>
          <w:tcPr>
            <w:tcW w:w="2080" w:type="dxa"/>
            <w:vAlign w:val="bottom"/>
            <w:vMerge w:val="continue"/>
            <w:shd w:val="clear" w:color="auto" w:fill="026DCE"/>
          </w:tcPr>
          <w:p>
            <w:pPr>
              <w:spacing w:after="0"/>
              <w:rPr>
                <w:sz w:val="13"/>
                <w:szCs w:val="13"/>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more frequently in more locations</w:t>
            </w:r>
          </w:p>
        </w:tc>
        <w:tc>
          <w:tcPr>
            <w:tcW w:w="0" w:type="dxa"/>
            <w:vAlign w:val="bottom"/>
          </w:tcPr>
          <w:p>
            <w:pPr>
              <w:spacing w:after="0"/>
              <w:rPr>
                <w:sz w:val="1"/>
                <w:szCs w:val="1"/>
                <w:color w:val="auto"/>
              </w:rPr>
            </w:pPr>
          </w:p>
        </w:tc>
      </w:tr>
      <w:tr>
        <w:trPr>
          <w:trHeight w:val="94"/>
        </w:trPr>
        <w:tc>
          <w:tcPr>
            <w:tcW w:w="2080" w:type="dxa"/>
            <w:vAlign w:val="bottom"/>
            <w:shd w:val="clear" w:color="auto" w:fill="026DCE"/>
          </w:tcPr>
          <w:p>
            <w:pPr>
              <w:spacing w:after="0"/>
              <w:rPr>
                <w:sz w:val="8"/>
                <w:szCs w:val="8"/>
                <w:color w:val="auto"/>
              </w:rPr>
            </w:pPr>
          </w:p>
        </w:tc>
        <w:tc>
          <w:tcPr>
            <w:tcW w:w="534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80" w:type="dxa"/>
            <w:vAlign w:val="bottom"/>
            <w:shd w:val="clear" w:color="auto" w:fill="026DCE"/>
          </w:tcPr>
          <w:p>
            <w:pPr>
              <w:spacing w:after="0"/>
              <w:rPr>
                <w:sz w:val="6"/>
                <w:szCs w:val="6"/>
                <w:color w:val="auto"/>
              </w:rPr>
            </w:pPr>
          </w:p>
        </w:tc>
        <w:tc>
          <w:tcPr>
            <w:tcW w:w="5340" w:type="dxa"/>
            <w:vAlign w:val="bottom"/>
            <w:shd w:val="clear" w:color="auto" w:fill="80C9FF"/>
          </w:tcPr>
          <w:p>
            <w:pPr>
              <w:spacing w:after="0"/>
              <w:rPr>
                <w:sz w:val="6"/>
                <w:szCs w:val="6"/>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or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In Mexico, we saw similar downward pressure in loan balances during the third quarter of fiscal 2023 due to a change in law related to company profit sharing payments to employees. We anticipated this change would impact pawn loan redemptions annually in May and June; however, in 2024, the demand for pawn loans in Mexico exceeded any downward pressure related to profit sharing payments. As a net effect of these and other factors and excluding discrete charges, our consolidated income before tax is generally highest in our first fiscal quarter (October through December) and lowest in our third fiscal quarter (April through June).</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19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and nine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51435</wp:posOffset>
            </wp:positionV>
            <wp:extent cx="5743575" cy="2785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chart presents sources of gross profit by geographic disbursement for the three and nine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40640</wp:posOffset>
            </wp:positionV>
            <wp:extent cx="5743575" cy="2786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4357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and Same-Store Financial Information</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“same-store” basis. We use constant currency results to evaluate our Latin America Pawn operations, which are denominated primarily in Mexican pesos, Guatemalan quetzales and other Latin American currencies. We analyze results on a same-store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nine months ended June 30, 2024 and 2023 were as follows: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420" w:type="dxa"/>
            <w:vAlign w:val="bottom"/>
            <w:gridSpan w:val="3"/>
            <w:vMerge w:val="restart"/>
          </w:tcPr>
          <w:p>
            <w:pPr>
              <w:ind w:left="740"/>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1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4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17.2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color w:val="auto"/>
              </w:rPr>
              <w:t>7.6</w:t>
            </w: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24.3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Australian dollar</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color w:val="auto"/>
              </w:rPr>
              <w:t>1.5</w:t>
            </w: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segments:</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Investments — Represents our equity interest in the net income of Cash Converters along with our investment in Rich Data Corporation (“RDC”) and our investment in and notes receivable from Founders.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Count by Segment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 2024</w:t>
            </w: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 2023</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 June 30, 2024</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combined or closed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June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 June 30, 2023</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combined or closed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As of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2024 vs. Three Months Ended June 30, 2023</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77,416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68,790</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13%</w:t>
            </w:r>
          </w:p>
        </w:tc>
      </w:tr>
      <w:tr>
        <w:trPr>
          <w:trHeight w:val="217"/>
        </w:trPr>
        <w:tc>
          <w:tcPr>
            <w:tcW w:w="6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107,849</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102,177</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6%</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40,620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39,378</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(100)bps</w:t>
            </w:r>
          </w:p>
        </w:tc>
      </w:tr>
      <w:tr>
        <w:trPr>
          <w:trHeight w:val="217"/>
        </w:trPr>
        <w:tc>
          <w:tcPr>
            <w:tcW w:w="6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13,757</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13,098</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5%</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1,997</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(100)bps</w:t>
            </w:r>
          </w:p>
        </w:tc>
      </w:tr>
      <w:tr>
        <w:trPr>
          <w:trHeight w:val="217"/>
        </w:trPr>
        <w:tc>
          <w:tcPr>
            <w:tcW w:w="6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4%</w:t>
            </w:r>
          </w:p>
        </w:tc>
      </w:tr>
      <w:tr>
        <w:trPr>
          <w:trHeight w:val="210"/>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119,934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110,192</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9%</w:t>
            </w:r>
          </w:p>
        </w:tc>
      </w:tr>
      <w:tr>
        <w:trPr>
          <w:trHeight w:val="216"/>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81,441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75,389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2,505</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Gain on sale or disposal of assets and other</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17"/>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36,087</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32,298</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12%</w:t>
            </w:r>
          </w:p>
        </w:tc>
      </w:tr>
      <w:tr>
        <w:trPr>
          <w:trHeight w:val="203"/>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5"/>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income</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7"/>
        </w:trPr>
        <w:tc>
          <w:tcPr>
            <w:tcW w:w="65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36,087</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32,299</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12%</w:t>
            </w:r>
          </w:p>
        </w:tc>
      </w:tr>
      <w:tr>
        <w:trPr>
          <w:trHeight w:val="203"/>
        </w:trPr>
        <w:tc>
          <w:tcPr>
            <w:tcW w:w="6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321,218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293,787</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9%</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2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325</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merchandise as a % of PLO</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(100)bps</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Jewelry as a % of PLO</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100bps</w:t>
            </w:r>
          </w:p>
        </w:tc>
      </w:tr>
    </w:tbl>
    <w:p>
      <w:pPr>
        <w:spacing w:after="0" w:line="127"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PLO ended the quarter at $199.3 million, up 11% or 10% on a same-store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was up 8% and gross profit was up 9%, reflecting increased PSC and higher merchandise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PSC increased 13% as a result of higher average PLO.</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Merchandise sales increased 6%, and gross margin decreased to 38% from 39%. Aged general merchandise, which is inventory over one year old, increased to 5.0% to $2.0 million of total general merchandise inventory. Excluding luxury handbags in our three Max Pawn stores in Las Vegas, aged general merchandise remains under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inventory increased 6%, as expected with the growth in PLO. Inventory turnover remained flat at 2.6x.</w:t>
      </w:r>
    </w:p>
    <w:p>
      <w:pPr>
        <w:spacing w:after="0" w:line="17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Store expenses increased 8% and 6% on a same-store basis, primarily due to increased labor in-line with store activity and to a lesser extent, expenses related to our loyalty program.</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12% to $36.1 million, due to the changes noted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store count increased by six, due to the acquisition of five stores and opening of one de novo store.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Constant Currency and Same-Store Financial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7"/>
          </w:tcPr>
          <w:p>
            <w:pPr>
              <w:ind w:left="680"/>
              <w:spacing w:after="0"/>
              <w:rPr>
                <w:sz w:val="20"/>
                <w:szCs w:val="20"/>
                <w:color w:val="auto"/>
              </w:rPr>
            </w:pPr>
            <w:r>
              <w:rPr>
                <w:rFonts w:ascii="Arial" w:cs="Arial" w:eastAsia="Arial" w:hAnsi="Arial"/>
                <w:sz w:val="16"/>
                <w:szCs w:val="16"/>
                <w:b w:val="1"/>
                <w:bCs w:val="1"/>
                <w:color w:val="auto"/>
              </w:rPr>
              <w:t>Three Months Ended June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2024 (Constant</w:t>
            </w: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4"/>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2024 (GAAP)</w:t>
            </w: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2023 (GAAP)</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89"/>
        </w:trPr>
        <w:tc>
          <w:tcPr>
            <w:tcW w:w="4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Currency)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3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30,414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25,029</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22%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29,822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19%</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50,291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45,803</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49,263</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8%</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13,533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15,954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15"/>
        </w:trPr>
        <w:tc>
          <w:tcPr>
            <w:tcW w:w="432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200bps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200bps</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1,638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97%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92%</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5"/>
        </w:trPr>
        <w:tc>
          <w:tcPr>
            <w:tcW w:w="432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600bps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600bps</w:t>
            </w:r>
          </w:p>
        </w:tc>
        <w:tc>
          <w:tcPr>
            <w:tcW w:w="0" w:type="dxa"/>
            <w:vAlign w:val="bottom"/>
          </w:tcPr>
          <w:p>
            <w:pPr>
              <w:spacing w:after="0"/>
              <w:rPr>
                <w:sz w:val="1"/>
                <w:szCs w:val="1"/>
                <w:color w:val="auto"/>
              </w:rPr>
            </w:pPr>
          </w:p>
        </w:tc>
      </w:tr>
      <w:tr>
        <w:trPr>
          <w:trHeight w:val="271"/>
        </w:trPr>
        <w:tc>
          <w:tcPr>
            <w:tcW w:w="4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(35)%</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46,793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38,578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45,845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34,894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29,543</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34,110</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(2,632)</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Loss (gain) on sale or disposal of assets and other</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0"/>
        </w:trPr>
        <w:tc>
          <w:tcPr>
            <w:tcW w:w="4320" w:type="dxa"/>
            <w:vAlign w:val="bottom"/>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9,787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9,393</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9,670</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57%</w:t>
            </w:r>
          </w:p>
        </w:tc>
        <w:tc>
          <w:tcPr>
            <w:tcW w:w="0" w:type="dxa"/>
            <w:vAlign w:val="bottom"/>
          </w:tcPr>
          <w:p>
            <w:pPr>
              <w:spacing w:after="0"/>
              <w:rPr>
                <w:sz w:val="1"/>
                <w:szCs w:val="1"/>
                <w:color w:val="auto"/>
              </w:rPr>
            </w:pPr>
          </w:p>
        </w:tc>
      </w:tr>
      <w:tr>
        <w:trPr>
          <w:trHeight w:val="217"/>
        </w:trPr>
        <w:tc>
          <w:tcPr>
            <w:tcW w:w="43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10,341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9,714</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10,175</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112,439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90,536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24%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118,080</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(12)%</w:t>
            </w:r>
          </w:p>
        </w:tc>
        <w:tc>
          <w:tcPr>
            <w:tcW w:w="0" w:type="dxa"/>
            <w:vAlign w:val="bottom"/>
          </w:tcPr>
          <w:p>
            <w:pPr>
              <w:spacing w:after="0"/>
              <w:rPr>
                <w:sz w:val="1"/>
                <w:szCs w:val="1"/>
                <w:color w:val="auto"/>
              </w:rPr>
            </w:pPr>
          </w:p>
        </w:tc>
      </w:tr>
      <w:tr>
        <w:trPr>
          <w:trHeight w:val="215"/>
        </w:trPr>
        <w:tc>
          <w:tcPr>
            <w:tcW w:w="4480" w:type="dxa"/>
            <w:vAlign w:val="bottom"/>
            <w:gridSpan w:val="2"/>
          </w:tcPr>
          <w:p>
            <w:pPr>
              <w:ind w:left="220"/>
              <w:spacing w:after="0"/>
              <w:rPr>
                <w:sz w:val="20"/>
                <w:szCs w:val="20"/>
                <w:color w:val="auto"/>
              </w:rPr>
            </w:pPr>
            <w:r>
              <w:rPr>
                <w:rFonts w:ascii="Arial" w:cs="Arial" w:eastAsia="Arial" w:hAnsi="Arial"/>
                <w:sz w:val="16"/>
                <w:szCs w:val="16"/>
                <w:color w:val="auto"/>
              </w:rPr>
              <w:t>Average monthly ending pawn loan balance per store (b) $</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22%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20%</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(100)bps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General merchandise as a % of PLO</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rPr>
              <w:t>(500)bps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(500)bps</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as a % of PLO</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500bps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500bps</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2024 Change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2024 Change</w:t>
            </w:r>
          </w:p>
        </w:tc>
      </w:tr>
      <w:tr>
        <w:trPr>
          <w:trHeight w:val="216"/>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w:t>
            </w: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39"/>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1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12%</w:t>
            </w:r>
          </w:p>
        </w:tc>
      </w:tr>
    </w:tbl>
    <w:p>
      <w:pPr>
        <w:spacing w:after="0" w:line="21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PLO improved to $62.4 million, up 24% (30% on constant currency basis). On a same-store basis, PLO increased 20% (26% on a constant currency basis) due to improved operational performance and increased loan demand.</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revenues was up 15% (13% on constant currency basis), and gross profit increased 21% (19% on a constant currency basis), reflecting increased PSC, higher merchandise sales and improved merchandise sales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PSC increased 22% (19% on a constant currency basis) as a result of higher average PLO.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gross margin increased to 32% from 30%. Aged general merchandise was less than 1% of total merchandise inventory.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inventory increased 25% (32% on a constant currency basis). Inventory turnover decreased to 3.0x, from 3.4x.</w:t>
      </w:r>
    </w:p>
    <w:p>
      <w:pPr>
        <w:spacing w:after="0" w:line="1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Store expenses increased 18% (15% on a constant currency basis) and 14% (12% on a constant currency basis) on a same-store basis, primarily due to increased labor, in line with store activity and to a lesser extent, rent.</w:t>
      </w:r>
    </w:p>
    <w:p>
      <w:pPr>
        <w:spacing w:after="0" w:line="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Segment contribution increased 6% (5% on a constant currency basis) to $10.3 million, due to the changes noted above, in addition to the impact of the prior year reversal of contingent consideration liability in connection with a previously completed acquisition, which was recorded to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store count increased by six de novo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(100)%</w:t>
            </w:r>
          </w:p>
        </w:tc>
      </w:tr>
      <w:tr>
        <w:trPr>
          <w:trHeight w:val="210"/>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16"/>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r>
      <w:tr>
        <w:trPr>
          <w:trHeight w:val="210"/>
        </w:trPr>
        <w:tc>
          <w:tcPr>
            <w:tcW w:w="6700" w:type="dxa"/>
            <w:vAlign w:val="bottom"/>
          </w:tcPr>
          <w:p>
            <w:pPr>
              <w:ind w:left="460"/>
              <w:spacing w:after="0"/>
              <w:rPr>
                <w:sz w:val="20"/>
                <w:szCs w:val="20"/>
                <w:color w:val="auto"/>
              </w:rPr>
            </w:pPr>
            <w:r>
              <w:rPr>
                <w:rFonts w:ascii="Arial" w:cs="Arial" w:eastAsia="Arial" w:hAnsi="Arial"/>
                <w:sz w:val="16"/>
                <w:szCs w:val="16"/>
                <w:color w:val="auto"/>
              </w:rPr>
              <w:t>Segment operating contribution</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1,538</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31%</w:t>
            </w:r>
          </w:p>
        </w:tc>
      </w:tr>
      <w:tr>
        <w:trPr>
          <w:trHeight w:val="217"/>
        </w:trPr>
        <w:tc>
          <w:tcPr>
            <w:tcW w:w="6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loss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20%</w:t>
            </w:r>
          </w:p>
        </w:tc>
      </w:tr>
      <w:tr>
        <w:trPr>
          <w:trHeight w:val="217"/>
        </w:trPr>
        <w:tc>
          <w:tcPr>
            <w:tcW w:w="6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31%</w:t>
            </w:r>
          </w:p>
        </w:tc>
      </w:tr>
    </w:tbl>
    <w:p>
      <w:pPr>
        <w:spacing w:after="0" w:line="126" w:lineRule="exact"/>
        <w:rPr>
          <w:sz w:val="20"/>
          <w:szCs w:val="20"/>
          <w:color w:val="auto"/>
        </w:rPr>
      </w:pPr>
    </w:p>
    <w:p>
      <w:pPr>
        <w:ind w:left="360" w:hanging="334"/>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3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Segment contribution was $2.0 million, an increase of $0.5 million primarily due to our interest income from our notes receivable investment in Founders offset by the decrease in our share of equity in income of Cash Converters.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43,541</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11%</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17,876</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12%</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3,218</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14%</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(2,327)</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(16)%</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Equity in net loss of unconsolidated affiliates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138%</w:t>
            </w: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w:t>
            </w: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64%</w:t>
            </w:r>
          </w:p>
        </w:tc>
      </w:tr>
      <w:tr>
        <w:trPr>
          <w:trHeight w:val="21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17,950</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18,222</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r>
    </w:tbl>
    <w:p>
      <w:pPr>
        <w:spacing w:after="0" w:line="126" w:lineRule="exact"/>
        <w:rPr>
          <w:sz w:val="20"/>
          <w:szCs w:val="20"/>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4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Segment contribution increased $4.9 million or 11% over the prior year quarter, primarily due to improved operating results of the U.S. Pawn and Latin America Pawn segments above.</w:t>
      </w:r>
    </w:p>
    <w:p>
      <w:pPr>
        <w:spacing w:after="0" w:line="10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General and administrative expense increased $ 2.2 million or 12%, primarily due to labor, incentive compensation and, to a lesser extent, costs related to the implementation and ongoing support of Workday.</w:t>
      </w:r>
    </w:p>
    <w:p>
      <w:pPr>
        <w:spacing w:after="0" w:line="10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Income tax expense increased $2.0 million primarily due to an increase in the effective tax rate this quarter compared to the prior year. In the prior year there was a benefit to the effective tax rate due to the reversal of contingent consideration liability in connection with a previously completed acquisition.</w:t>
      </w:r>
    </w:p>
    <w:p>
      <w:pPr>
        <w:spacing w:after="0" w:line="128"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the foreign rate differential. See our Annual Report on Form 10-K for the year ended September 30, 2023, Note 11: Income Taxes of Notes to Consolidated Financial Statements included in “Part II, Item 8 — Financial Statements and Supplemental Data” for quantification of these items.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2024 vs. Nine Months Ended June 30, 2023</w:t>
      </w:r>
    </w:p>
    <w:p>
      <w:pPr>
        <w:spacing w:after="0" w:line="16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tables below and discussion that follows should be read in conjunction with the accompanying condensed consolidated financial statements and related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Pawn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June 30,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236,499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208,045</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17"/>
        </w:trPr>
        <w:tc>
          <w:tcPr>
            <w:tcW w:w="6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348,211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329,231</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6%</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129,475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125,533</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(100)bps</w:t>
            </w:r>
          </w:p>
        </w:tc>
      </w:tr>
      <w:tr>
        <w:trPr>
          <w:trHeight w:val="217"/>
        </w:trPr>
        <w:tc>
          <w:tcPr>
            <w:tcW w:w="6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39,258</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30,088</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30%</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4,221</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25%</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(100)bps</w:t>
            </w:r>
          </w:p>
        </w:tc>
      </w:tr>
      <w:tr>
        <w:trPr>
          <w:trHeight w:val="217"/>
        </w:trPr>
        <w:tc>
          <w:tcPr>
            <w:tcW w:w="6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12%</w:t>
            </w:r>
          </w:p>
        </w:tc>
      </w:tr>
      <w:tr>
        <w:trPr>
          <w:trHeight w:val="210"/>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371,361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337,883</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239,536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220,639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7,820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7"/>
              </w:rPr>
              <w:t>107%</w:t>
            </w:r>
          </w:p>
        </w:tc>
      </w:tr>
      <w:tr>
        <w:trPr>
          <w:trHeight w:val="210"/>
        </w:trPr>
        <w:tc>
          <w:tcPr>
            <w:tcW w:w="6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124,283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109,340</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income</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7"/>
        </w:trPr>
        <w:tc>
          <w:tcPr>
            <w:tcW w:w="65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124,283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109,342</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03"/>
        </w:trPr>
        <w:tc>
          <w:tcPr>
            <w:tcW w:w="6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317</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11%</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bl>
    <w:p>
      <w:pPr>
        <w:spacing w:after="0" w:line="195" w:lineRule="exact"/>
        <w:rPr>
          <w:sz w:val="20"/>
          <w:szCs w:val="20"/>
          <w:color w:val="auto"/>
        </w:rPr>
      </w:pPr>
    </w:p>
    <w:p>
      <w:pPr>
        <w:ind w:left="360" w:hanging="334"/>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7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During the nine months ended June 30, 2024, net store count increased by 12 due to the acquisition of 12 stores, opening of one de novo store, and the consolidation of one store.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increased 14% as a result of higher average PLO.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increased 6%, and merchandise sale gross profit increased 3%, reflecting a 100bps decrease in gross margin.</w:t>
      </w:r>
    </w:p>
    <w:p>
      <w:pPr>
        <w:spacing w:after="0" w:line="17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Store expenses increased 9%, primarily due to increased labor in-line with store activity and to a lesser extent, expenses related to our loyalty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$14.9 million, or 14%, primarily due to the changes described above.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Pawn</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presents selected summary financial data our Latin America Pawn segment, including constant currency results, after translation to U.S. dollars from functional currencies. See “Results of Operations — Non-GAAP Constant Currency and Same-Store Financial Information”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840"/>
              <w:spacing w:after="0"/>
              <w:rPr>
                <w:sz w:val="20"/>
                <w:szCs w:val="20"/>
                <w:color w:val="auto"/>
              </w:rPr>
            </w:pPr>
            <w:r>
              <w:rPr>
                <w:rFonts w:ascii="Arial" w:cs="Arial" w:eastAsia="Arial" w:hAnsi="Arial"/>
                <w:sz w:val="16"/>
                <w:szCs w:val="16"/>
                <w:b w:val="1"/>
                <w:bCs w:val="1"/>
                <w:color w:val="auto"/>
              </w:rPr>
              <w:t>Nine Months Ended June 30,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2024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2023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2024 (Constant</w:t>
            </w:r>
          </w:p>
        </w:tc>
        <w:tc>
          <w:tcPr>
            <w:tcW w:w="12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85"/>
        </w:trPr>
        <w:tc>
          <w:tcPr>
            <w:tcW w:w="4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84,943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71,397</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80,401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154,019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135,043</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144,538</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41,456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46,938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15"/>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200bps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100bps</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3,933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4,552</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3,742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5"/>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424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135,496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112,534</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127,779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14%</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101,936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86,365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95,812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6,821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6,850</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6,385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(5,097)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Gain on sale or disposal of assets and other</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318%</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24,472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25,816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(1,629)</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(767)</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(1,653)</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116%</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28,608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25,239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27,469</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w:t>
            </w:r>
          </w:p>
        </w:tc>
        <w:tc>
          <w:tcPr>
            <w:tcW w:w="1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60" w:hanging="334"/>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2024 Change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2024 Change</w:t>
            </w:r>
          </w:p>
        </w:tc>
      </w:tr>
      <w:tr>
        <w:trPr>
          <w:trHeight w:val="216"/>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w:t>
            </w:r>
          </w:p>
        </w:tc>
      </w:tr>
      <w:tr>
        <w:trPr>
          <w:trHeight w:val="239"/>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1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7%</w:t>
            </w:r>
          </w:p>
        </w:tc>
      </w:tr>
    </w:tbl>
    <w:p>
      <w:pPr>
        <w:spacing w:after="0" w:line="21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During the nine months ended June 30, 2024, net store count increased by 15 due to the opening of twenty de novo stores and the consolidation of five stores.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PSC increased 19% to $84.9 million (13% to $80.4 million on a constant currency basis) as a result of higher average PLO.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increased 14% (7% on a constant currency basis) and 11% on a same-store basis (4% on a constant currency basis).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gross margin increased 200 bps to 33% from 31%.</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Store expenses increased by 18% (11% on a constant currency basis) and 14% (7% on a constant currency basis) on a same-store basis, primarily due to increased labor, in line with store activity and to a lesser extent, rent.</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Segment contribution increased $3.4 million, or 13% ($2.2 million, or 9%, on a constant currency basis), due to the changes noted above, in addition to the impact of the prior year reversal of contingent consideration liability in connection with a previously completed acquisition, which was recorded to “Other income.”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Investments</w:t>
      </w:r>
    </w:p>
    <w:p>
      <w:pPr>
        <w:spacing w:after="0" w:line="16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June 30,</w:t>
            </w:r>
          </w:p>
        </w:tc>
        <w:tc>
          <w:tcPr>
            <w:tcW w:w="100" w:type="dxa"/>
            <w:vAlign w:val="bottom"/>
          </w:tcPr>
          <w:p>
            <w:pPr>
              <w:spacing w:after="0"/>
              <w:rPr>
                <w:sz w:val="18"/>
                <w:szCs w:val="18"/>
                <w:color w:val="auto"/>
              </w:rPr>
            </w:pPr>
          </w:p>
        </w:tc>
        <w:tc>
          <w:tcPr>
            <w:tcW w:w="14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Equity in net (income) loss of unconsolidated affiliates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29,394</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115%</w:t>
            </w:r>
          </w:p>
        </w:tc>
        <w:tc>
          <w:tcPr>
            <w:tcW w:w="0" w:type="dxa"/>
            <w:vAlign w:val="bottom"/>
          </w:tcPr>
          <w:p>
            <w:pPr>
              <w:spacing w:after="0"/>
              <w:rPr>
                <w:sz w:val="1"/>
                <w:szCs w:val="1"/>
                <w:color w:val="auto"/>
              </w:rPr>
            </w:pPr>
          </w:p>
        </w:tc>
      </w:tr>
      <w:tr>
        <w:trPr>
          <w:trHeight w:val="209"/>
        </w:trPr>
        <w:tc>
          <w:tcPr>
            <w:tcW w:w="6700" w:type="dxa"/>
            <w:vAlign w:val="bottom"/>
          </w:tcPr>
          <w:p>
            <w:pPr>
              <w:ind w:left="460"/>
              <w:spacing w:after="0"/>
              <w:rPr>
                <w:sz w:val="20"/>
                <w:szCs w:val="20"/>
                <w:color w:val="auto"/>
              </w:rPr>
            </w:pPr>
            <w:r>
              <w:rPr>
                <w:rFonts w:ascii="Arial" w:cs="Arial" w:eastAsia="Arial" w:hAnsi="Arial"/>
                <w:sz w:val="16"/>
                <w:szCs w:val="16"/>
                <w:color w:val="auto"/>
              </w:rPr>
              <w:t>Segment operating contribution (loss)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(29,347)</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loss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35%</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6,097</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(29,367)</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34"/>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1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Segment income was $6.1 million, an increase of $35.5 million from the prior-year nine months ended June 30, 2023, primarily due to our share of the prior year net loss from Cash Converters related to their non-cash goodwill impairment charge.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Items</w:t>
      </w:r>
    </w:p>
    <w:p>
      <w:pPr>
        <w:spacing w:after="0" w:line="16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June 30,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105,214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51%</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48,964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12%</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9,307</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14%</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on sale or disposal of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(20)%</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(4,421)</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19%</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Equity in net loss of unconsolidated affiliates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207%</w:t>
            </w: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38,508</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132%</w:t>
            </w: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21,457</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10,298</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108%</w:t>
            </w:r>
          </w:p>
        </w:tc>
      </w:tr>
      <w:tr>
        <w:trPr>
          <w:trHeight w:val="20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67,899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28,210</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141%</w:t>
            </w:r>
          </w:p>
        </w:tc>
      </w:tr>
    </w:tbl>
    <w:p>
      <w:pPr>
        <w:spacing w:after="0" w:line="112" w:lineRule="exact"/>
        <w:rPr>
          <w:sz w:val="20"/>
          <w:szCs w:val="20"/>
          <w:color w:val="auto"/>
        </w:rPr>
      </w:pPr>
    </w:p>
    <w:p>
      <w:pPr>
        <w:ind w:left="360" w:hanging="334"/>
        <w:spacing w:after="0"/>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32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Segment contribution increased $53.8 million or 51% over the prior year nine months ended June 30, 2023, primarily due to our share of the net loss from Cash Converters related to their non-cash goodwill impairment charge during the prior year and the improved operating results of the segments above.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General and administrative expenses increased $5.9 million or 12%, primarily due to labor, incentive compensation and, to a lesser extent, costs related to the implementation and ongoing support of Workday.</w:t>
      </w:r>
    </w:p>
    <w:p>
      <w:pPr>
        <w:spacing w:after="0" w:line="8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Interest expense decreased $2.6 million, primarily due to the loss on extinguishment of debt in the prior year. 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recorded a $3.5 million loss on extinguishment of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$0.8 million, due primarily to our treasury management with increased market interest rates.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expense increased $ 11.2 million, primarily due to an increase in income before income taxes of $50.8 million for the nine months ended June 30, 2024 compared to the same prior year nine month period due to our share of the net loss from Cash Converters in the prior year quarter, the non-deductible loss on the convertible debt refinancing during the first quarter of 2023, and an increase in the effective tax rate this quarter compared to the prior year. In the prior year there was a benefit to the effective tax rate due to the reversal of contingent consideration liability in connection with a previously completed acquisition.</w:t>
      </w:r>
    </w:p>
    <w:p>
      <w:pPr>
        <w:spacing w:after="0" w:line="1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the foreign rate differential. See Annual Report on Form 10-K for the year ended September 30, 2023, Note 11: Income Taxes of Notes to Consolidated Financial Statements included in “Part II, Item 8 — Financial Statements and Supplemental Data” for quantification of these items.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6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Our cash and equivalents balance was $218.0 million at June 30, 2024 compared to $220.6 million at September 30, 2023. At June 30, 2024, our cash and equivalents were held in cash depository accounts with major banks or invested in high quality, short-term liquid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10"/>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74,309</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(59,234)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(70,547)</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(16)%</w:t>
            </w: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26,972</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(147)%</w:t>
            </w: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w:t>
            </w:r>
          </w:p>
        </w:tc>
        <w:tc>
          <w:tcPr>
            <w:tcW w:w="12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(108)%</w:t>
            </w:r>
          </w:p>
        </w:tc>
      </w:tr>
      <w:tr>
        <w:trPr>
          <w:trHeight w:val="217"/>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32,154</w:t>
            </w:r>
          </w:p>
        </w:tc>
        <w:tc>
          <w:tcPr>
            <w:tcW w:w="12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(105)%</w:t>
            </w:r>
          </w:p>
        </w:tc>
      </w:tr>
    </w:tbl>
    <w:p>
      <w:pPr>
        <w:spacing w:after="0" w:line="29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decrease in cash flows provided by operating activities year-over-year was primarily due to changes in working capital primarily related to the timing of payments of accounts payable and income taxes, offset by an increase in net income (when considering adjustments for non-cash items affecting net income).</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$11.3 million decrease in cash flows used in investing activities year-over-year was primarily due to a $ 29.6 million decrease in cash flows used to fund acquisitions, strategic investments and capital expenditures and a $21.2 million increase in cash inflows from the sale of forfeited collateral, offset by an increase of $43.0 million in net pawn lending outflows.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$39.6 million decrease in cash flows provided by financing activities was primarily related to the December 2022 financing of the 2029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in which we issued $230.0 million principal amount of 3.750% Convertible Senior Notes Due 2029 offset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of approximately $109.4 million aggregate principal amount of our 2024 Convertible Notes for approximately $117.5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accrued interest and approximately $69.1 million aggregate principal amount of our 2025 Convertible Notes for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$62.9 million plus accrued interest. In addition, we used approximately $5.0 million of the net proceeds from the 2029 Convertible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to repurchase 578,703 shares of our Class A common stock from purchasers of the notes in privately negotiated transactions.</w:t>
      </w:r>
    </w:p>
    <w:p>
      <w:pPr>
        <w:spacing w:after="0" w:line="153"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The net effect of these changes was an $ 1.7 million decrease in cash on hand during the current year to date period, resulting in a $227.2 million ending cash and restricted cash balance.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2022, we issued $230.0 million aggregate principal amount of 2029 Convertible Notes. In conjunction with the issuance of the 2029 Convertible Notes, we extinguished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See Note 7 of Notes to Condensed Consolidated Financial Statements included in “Part I, Item 1 — Financial Statements.” The shares repurchased in conjunction with the transactions discussed above were authorized separately from, and not considered part of, the publicly announced share repurchase program referred to below.</w:t>
      </w:r>
    </w:p>
    <w:p>
      <w:pPr>
        <w:spacing w:after="0" w:line="13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May 3, 2022, our Board authorized the repurchase of up to $50 million of our Class A Common Stock over three years. As of June 30, 2024, we have repurchased 2,572,794 shares of our Class A Common Stock under the program for $23.0 million. Execution of the program will be responsive to fluctuating market conditions and valuations, liquidity needs and the expected return on investment compared to other opportunities.</w:t>
      </w:r>
    </w:p>
    <w:p>
      <w:pPr>
        <w:spacing w:after="0" w:line="1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See Note 8 of Notes to Condensed Consolidated Financial Statements included in “Part I, Item 1 — Financial Statements.”</w:t>
      </w:r>
    </w:p>
    <w:p>
      <w:pPr>
        <w:spacing w:after="0" w:line="1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On July 1, 2024, the 2024 Convertible Notes matured and the remaining $34.4 million aggregate principal amount outstanding plus accrued interest was repaid using cash on hand.</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ongoing operations, current debt service requirements, tax payments, any future stock repurchases, strategic investments, our contractual 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Depending</w:t>
      </w:r>
      <w:r>
        <w:rPr>
          <w:rFonts w:ascii="Arial" w:cs="Arial" w:eastAsia="Arial" w:hAnsi="Arial"/>
          <w:sz w:val="18"/>
          <w:szCs w:val="18"/>
          <w:color w:val="auto"/>
        </w:rPr>
        <w:t xml:space="preserve"> </w:t>
      </w:r>
      <w:r>
        <w:rPr>
          <w:rFonts w:ascii="Arial" w:cs="Arial" w:eastAsia="Arial" w:hAnsi="Arial"/>
          <w:sz w:val="18"/>
          <w:szCs w:val="18"/>
          <w:color w:val="212529"/>
        </w:rPr>
        <w:t>on the level of acquisition activity and other factors, our ability to repay our longer-term debt obligations, including the convertible debt maturing in 2025 and 2029, may require us to refinance these obligations through the issuance of new debt securities, equity securities, convertible securities or through new credit facilities.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“Part II, Item 7 — Management’s Discussion and Analysis of Financial Condition and Results of Operations” of our Annual Report on Form 10-K for the year ended September 30, 2023, we reported that we had $ 736.6 million in total contractual obligations as of September 30, 2023. There have been no material changes to this total obligation since September 30, 2023.</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2023, these collectively amounted to $16.3 million.</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19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See Note 1 of the Notes to Condensed Consolidated Financial Statements included in “Part I, Item 1 — Financial Statements” of this Quarterly Report for recently issued accounting pronouncements including the expected dates of adoption and estimated effects, if any, on our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177" w:lineRule="exact"/>
        <w:rPr>
          <w:sz w:val="20"/>
          <w:szCs w:val="20"/>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 -looking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1">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 xml:space="preserve">Item 1A — Risk Factors” of our Annual Report on Form 10-K for the year ended September 30, 2023 and “Part II, Item 1A — Risk Factors” </w:t>
        </w:r>
      </w:hyperlink>
      <w:r>
        <w:rPr>
          <w:rFonts w:ascii="Arial" w:cs="Arial" w:eastAsia="Arial" w:hAnsi="Arial"/>
          <w:sz w:val="18"/>
          <w:szCs w:val="18"/>
          <w:color w:val="auto"/>
        </w:rPr>
        <w:t>of this Report.</w:t>
      </w:r>
    </w:p>
    <w:p>
      <w:pPr>
        <w:spacing w:after="0" w:line="13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19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2023. There have been no material changes in our reported market risks or risk management policies since the filing of our Annual Report on Form 10-K for the year ended September 30, 2023.</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June 30, 2024. Our principal executive officer and principal financial officer have concluded that as of June 30, 2024,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1" w:lineRule="exact"/>
        <w:rPr>
          <w:sz w:val="20"/>
          <w:szCs w:val="20"/>
          <w:color w:val="auto"/>
        </w:rPr>
      </w:pPr>
    </w:p>
    <w:p>
      <w:pPr>
        <w:ind w:right="3560" w:firstLine="3627"/>
        <w:spacing w:after="0" w:line="391" w:lineRule="auto"/>
        <w:rPr>
          <w:sz w:val="20"/>
          <w:szCs w:val="20"/>
          <w:color w:val="auto"/>
        </w:rPr>
      </w:pPr>
      <w:r>
        <w:rPr>
          <w:rFonts w:ascii="Arial" w:cs="Arial" w:eastAsia="Arial" w:hAnsi="Arial"/>
          <w:sz w:val="25"/>
          <w:szCs w:val="25"/>
          <w:b w:val="1"/>
          <w:bCs w:val="1"/>
          <w:color w:val="00497F"/>
        </w:rPr>
        <w:t>PART II — OTHER INFORMATION ITEM 1. LEGAL PROCEEDINGS</w:t>
      </w:r>
    </w:p>
    <w:p>
      <w:pPr>
        <w:spacing w:after="0"/>
        <w:rPr>
          <w:sz w:val="20"/>
          <w:szCs w:val="20"/>
          <w:color w:val="auto"/>
        </w:rPr>
      </w:pPr>
      <w:r>
        <w:rPr>
          <w:rFonts w:ascii="Arial" w:cs="Arial" w:eastAsia="Arial" w:hAnsi="Arial"/>
          <w:sz w:val="18"/>
          <w:szCs w:val="18"/>
          <w:color w:val="auto"/>
        </w:rPr>
        <w:t>See Note 9: Contingencies of Notes to Condensed Consolidated Financial Statements included in “Part I, Item 1 —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2023, as supplemented by the information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recently passed the Pawnbroker Regulation Act of 2023, which went into effect on March 22, 2024.</w:t>
      </w:r>
    </w:p>
    <w:p>
      <w:pPr>
        <w:spacing w:after="0" w:line="234" w:lineRule="auto"/>
        <w:rPr>
          <w:sz w:val="20"/>
          <w:szCs w:val="20"/>
          <w:color w:val="auto"/>
        </w:rPr>
      </w:pPr>
      <w:r>
        <w:rPr>
          <w:rFonts w:ascii="Arial" w:cs="Arial" w:eastAsia="Arial" w:hAnsi="Arial"/>
          <w:sz w:val="18"/>
          <w:szCs w:val="18"/>
          <w:color w:val="auto"/>
        </w:rPr>
        <w:t>The new law clarifies that pawn transactions are exempt from the Illinois Predatory Loan Prevention Act. It also reduces the monthly finance</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charge on certain pawn transactions, which is not expected to have a material adverse impact on our business in Illinois (20 stores) or the Company as a whole.</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2. Unregistered Sale of Equity Security and Use of Proceeds</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provides certain information about our repurchase of shares of Class A Non-voting Common Stock during the quarter ended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jc w:val="right"/>
              <w:ind w:right="995"/>
              <w:spacing w:after="0"/>
              <w:rPr>
                <w:sz w:val="20"/>
                <w:szCs w:val="20"/>
                <w:color w:val="auto"/>
              </w:rPr>
            </w:pPr>
            <w:r>
              <w:rPr>
                <w:rFonts w:ascii="Arial" w:cs="Arial" w:eastAsia="Arial" w:hAnsi="Arial"/>
                <w:sz w:val="16"/>
                <w:szCs w:val="16"/>
                <w:b w:val="1"/>
                <w:bCs w:val="1"/>
                <w:color w:val="auto"/>
              </w:rPr>
              <w:t>Share Repurchases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3"/>
                <w:szCs w:val="13"/>
                <w:color w:val="auto"/>
              </w:rPr>
            </w:pPr>
          </w:p>
        </w:tc>
        <w:tc>
          <w:tcPr>
            <w:tcW w:w="1640" w:type="dxa"/>
            <w:vAlign w:val="bottom"/>
          </w:tcPr>
          <w:p>
            <w:pPr>
              <w:jc w:val="right"/>
              <w:ind w:right="52"/>
              <w:spacing w:after="0" w:line="155" w:lineRule="exact"/>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66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Total Number of</w:t>
            </w:r>
          </w:p>
        </w:tc>
        <w:tc>
          <w:tcPr>
            <w:tcW w:w="300" w:type="dxa"/>
            <w:vAlign w:val="bottom"/>
          </w:tcPr>
          <w:p>
            <w:pPr>
              <w:spacing w:after="0"/>
              <w:rPr>
                <w:sz w:val="14"/>
                <w:szCs w:val="14"/>
                <w:color w:val="auto"/>
              </w:rPr>
            </w:pPr>
          </w:p>
        </w:tc>
        <w:tc>
          <w:tcPr>
            <w:tcW w:w="164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rPr>
              <w:t>Average Price Paid</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 as</w:t>
            </w:r>
          </w:p>
        </w:tc>
        <w:tc>
          <w:tcPr>
            <w:tcW w:w="180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18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Per Share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Announced Programs</w:t>
            </w:r>
          </w:p>
        </w:tc>
        <w:tc>
          <w:tcPr>
            <w:tcW w:w="1800" w:type="dxa"/>
            <w:vAlign w:val="bottom"/>
            <w:tcBorders>
              <w:bottom w:val="single" w:sz="8" w:color="auto"/>
            </w:tcBorders>
            <w:gridSpan w:val="2"/>
          </w:tcPr>
          <w:p>
            <w:pPr>
              <w:ind w:left="60"/>
              <w:spacing w:after="0" w:line="216" w:lineRule="exact"/>
              <w:rPr>
                <w:sz w:val="20"/>
                <w:szCs w:val="20"/>
                <w:color w:val="auto"/>
              </w:rPr>
            </w:pPr>
            <w:r>
              <w:rPr>
                <w:rFonts w:ascii="Arial" w:cs="Arial" w:eastAsia="Arial" w:hAnsi="Arial"/>
                <w:sz w:val="16"/>
                <w:szCs w:val="16"/>
                <w:b w:val="1"/>
                <w:bCs w:val="1"/>
                <w:color w:val="auto"/>
                <w:w w:val="98"/>
              </w:rPr>
              <w:t xml:space="preserve">Under the Programs </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980" w:type="dxa"/>
            <w:vAlign w:val="bottom"/>
            <w:gridSpan w:val="4"/>
          </w:tcPr>
          <w:p>
            <w:pPr>
              <w:spacing w:after="0"/>
              <w:rPr>
                <w:sz w:val="20"/>
                <w:szCs w:val="20"/>
                <w:color w:val="auto"/>
              </w:rPr>
            </w:pPr>
            <w:r>
              <w:rPr>
                <w:rFonts w:ascii="Arial" w:cs="Arial" w:eastAsia="Arial" w:hAnsi="Arial"/>
                <w:sz w:val="13"/>
                <w:szCs w:val="13"/>
                <w:color w:val="auto"/>
                <w:w w:val="96"/>
              </w:rPr>
              <w:t>(in thousands, except number of shares and average price information)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2024 through April 30, 2024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8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90,451</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May 1, 2024 through May 31, 2024</w:t>
            </w:r>
          </w:p>
        </w:tc>
        <w:tc>
          <w:tcPr>
            <w:tcW w:w="1660" w:type="dxa"/>
            <w:vAlign w:val="bottom"/>
          </w:tcPr>
          <w:p>
            <w:pPr>
              <w:jc w:val="right"/>
              <w:spacing w:after="0"/>
              <w:rPr>
                <w:sz w:val="20"/>
                <w:szCs w:val="20"/>
                <w:color w:val="auto"/>
              </w:rPr>
            </w:pPr>
            <w:r>
              <w:rPr>
                <w:rFonts w:ascii="Arial" w:cs="Arial" w:eastAsia="Arial" w:hAnsi="Arial"/>
                <w:sz w:val="18"/>
                <w:szCs w:val="18"/>
                <w:color w:val="auto"/>
              </w:rPr>
              <w:t>71,500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10.18</w:t>
            </w:r>
          </w:p>
        </w:tc>
        <w:tc>
          <w:tcPr>
            <w:tcW w:w="1880" w:type="dxa"/>
            <w:vAlign w:val="bottom"/>
          </w:tcPr>
          <w:p>
            <w:pPr>
              <w:jc w:val="right"/>
              <w:ind w:right="55"/>
              <w:spacing w:after="0"/>
              <w:rPr>
                <w:sz w:val="20"/>
                <w:szCs w:val="20"/>
                <w:color w:val="auto"/>
              </w:rPr>
            </w:pPr>
            <w:r>
              <w:rPr>
                <w:rFonts w:ascii="Arial" w:cs="Arial" w:eastAsia="Arial" w:hAnsi="Arial"/>
                <w:sz w:val="18"/>
                <w:szCs w:val="18"/>
                <w:color w:val="auto"/>
              </w:rPr>
              <w:t>71,500</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28,282</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2024 through June 30,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123,441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123,441</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27,013</w:t>
            </w: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Arial" w:cs="Arial" w:eastAsia="Arial" w:hAnsi="Arial"/>
                <w:sz w:val="18"/>
                <w:szCs w:val="18"/>
                <w:color w:val="auto"/>
              </w:rPr>
              <w:t>Quarter ended June 30, 2024</w:t>
            </w:r>
          </w:p>
        </w:tc>
        <w:tc>
          <w:tcPr>
            <w:tcW w:w="1660" w:type="dxa"/>
            <w:vAlign w:val="bottom"/>
          </w:tcPr>
          <w:p>
            <w:pPr>
              <w:jc w:val="right"/>
              <w:spacing w:after="0"/>
              <w:rPr>
                <w:sz w:val="20"/>
                <w:szCs w:val="20"/>
                <w:color w:val="auto"/>
              </w:rPr>
            </w:pPr>
            <w:r>
              <w:rPr>
                <w:rFonts w:ascii="Arial" w:cs="Arial" w:eastAsia="Arial" w:hAnsi="Arial"/>
                <w:sz w:val="18"/>
                <w:szCs w:val="18"/>
                <w:color w:val="auto"/>
              </w:rPr>
              <w:t>285,392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10.49</w:t>
            </w:r>
          </w:p>
        </w:tc>
        <w:tc>
          <w:tcPr>
            <w:tcW w:w="1880" w:type="dxa"/>
            <w:vAlign w:val="bottom"/>
          </w:tcPr>
          <w:p>
            <w:pPr>
              <w:jc w:val="right"/>
              <w:spacing w:after="0"/>
              <w:rPr>
                <w:sz w:val="20"/>
                <w:szCs w:val="20"/>
                <w:color w:val="auto"/>
              </w:rPr>
            </w:pPr>
            <w:r>
              <w:rPr>
                <w:rFonts w:ascii="Arial" w:cs="Arial" w:eastAsia="Arial" w:hAnsi="Arial"/>
                <w:sz w:val="18"/>
                <w:szCs w:val="18"/>
                <w:color w:val="auto"/>
              </w:rPr>
              <w:t>285,392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27,013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40" w:hanging="230"/>
        <w:spacing w:after="0" w:line="231" w:lineRule="auto"/>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May 3, 2022, the Board of Directors approved a share repurchase program, under which we are authorized to repurchase up to $50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5.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May 23, 2024, Keith Robertson, Chief Information Officer, entered into a prearranged trading plan to sell up to 89,830 shares of the Company’s Class A Non-Voting Common Stock between September 1, 2024 and December 31, 2024 pursuant to the terms of the plan. The plan is designed to satisfy the affirmative defense conditions of Rule 10b5-1(c) under the Exchange Act and comply with the Company’s policies regarding stock transactions.</w:t>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Other than as described above, no Director or Executive Officer adopted, modified or terminated any contract, instruction, written plan or other trading arrangement relating to the purchase or sale of Company securities during the fiscal quarter ended June 30, 2024.</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center"/>
              <w:ind w:right="639"/>
              <w:spacing w:after="0"/>
              <w:rPr>
                <w:sz w:val="20"/>
                <w:szCs w:val="20"/>
                <w:color w:val="auto"/>
              </w:rPr>
            </w:pPr>
            <w:r>
              <w:rPr>
                <w:rFonts w:ascii="Arial" w:cs="Arial" w:eastAsia="Arial" w:hAnsi="Arial"/>
                <w:sz w:val="16"/>
                <w:szCs w:val="16"/>
                <w:b w:val="1"/>
                <w:bCs w:val="1"/>
                <w:color w:val="auto"/>
              </w:rPr>
              <w:t>Incorporated by Reference</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09"/>
        </w:trPr>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5100" w:type="dxa"/>
            <w:vAlign w:val="bottom"/>
            <w:gridSpan w:val="8"/>
          </w:tcPr>
          <w:p>
            <w:pPr>
              <w:spacing w:after="0"/>
              <w:rPr>
                <w:sz w:val="20"/>
                <w:szCs w:val="20"/>
                <w:color w:val="auto"/>
              </w:rPr>
            </w:pPr>
            <w:r>
              <w:rPr>
                <w:rFonts w:ascii="Arial" w:cs="Arial" w:eastAsia="Arial" w:hAnsi="Arial"/>
                <w:sz w:val="16"/>
                <w:szCs w:val="16"/>
                <w:b w:val="1"/>
                <w:bCs w:val="1"/>
                <w:color w:val="auto"/>
              </w:rPr>
              <w:t>Description of Exhibit</w:t>
            </w:r>
          </w:p>
        </w:tc>
        <w:tc>
          <w:tcPr>
            <w:tcW w:w="720" w:type="dxa"/>
            <w:vAlign w:val="bottom"/>
          </w:tcPr>
          <w:p>
            <w:pPr>
              <w:ind w:left="120"/>
              <w:spacing w:after="0"/>
              <w:rPr>
                <w:sz w:val="20"/>
                <w:szCs w:val="20"/>
                <w:color w:val="auto"/>
              </w:rPr>
            </w:pPr>
            <w:r>
              <w:rPr>
                <w:rFonts w:ascii="Arial" w:cs="Arial" w:eastAsia="Arial" w:hAnsi="Arial"/>
                <w:sz w:val="16"/>
                <w:szCs w:val="16"/>
                <w:b w:val="1"/>
                <w:bCs w:val="1"/>
                <w:color w:val="auto"/>
              </w:rPr>
              <w:t>Form</w:t>
            </w:r>
          </w:p>
        </w:tc>
        <w:tc>
          <w:tcPr>
            <w:tcW w:w="980" w:type="dxa"/>
            <w:vAlign w:val="bottom"/>
          </w:tcPr>
          <w:p>
            <w:pPr>
              <w:ind w:left="180"/>
              <w:spacing w:after="0"/>
              <w:rPr>
                <w:sz w:val="20"/>
                <w:szCs w:val="20"/>
                <w:color w:val="auto"/>
              </w:rPr>
            </w:pPr>
            <w:r>
              <w:rPr>
                <w:rFonts w:ascii="Arial" w:cs="Arial" w:eastAsia="Arial" w:hAnsi="Arial"/>
                <w:sz w:val="16"/>
                <w:szCs w:val="16"/>
                <w:b w:val="1"/>
                <w:bCs w:val="1"/>
                <w:color w:val="auto"/>
              </w:rPr>
              <w:t>File No.</w:t>
            </w: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rPr>
              <w:t>Exhibit</w:t>
            </w:r>
          </w:p>
        </w:tc>
        <w:tc>
          <w:tcPr>
            <w:tcW w:w="1560" w:type="dxa"/>
            <w:vAlign w:val="bottom"/>
          </w:tcPr>
          <w:p>
            <w:pPr>
              <w:ind w:left="280"/>
              <w:spacing w:after="0"/>
              <w:rPr>
                <w:sz w:val="20"/>
                <w:szCs w:val="20"/>
                <w:color w:val="auto"/>
              </w:rPr>
            </w:pPr>
            <w:r>
              <w:rPr>
                <w:rFonts w:ascii="Arial" w:cs="Arial" w:eastAsia="Arial" w:hAnsi="Arial"/>
                <w:sz w:val="16"/>
                <w:szCs w:val="16"/>
                <w:b w:val="1"/>
                <w:bCs w:val="1"/>
                <w:color w:val="auto"/>
              </w:rPr>
              <w:t>Filing Date</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34"/>
        </w:trPr>
        <w:tc>
          <w:tcPr>
            <w:tcW w:w="800" w:type="dxa"/>
            <w:vAlign w:val="bottom"/>
            <w:tcBorders>
              <w:top w:val="single" w:sz="8" w:color="auto"/>
            </w:tcBorders>
          </w:tcPr>
          <w:p>
            <w:pPr>
              <w:spacing w:after="0"/>
              <w:rPr>
                <w:sz w:val="2"/>
                <w:szCs w:val="2"/>
                <w:color w:val="auto"/>
              </w:rPr>
            </w:pPr>
          </w:p>
        </w:tc>
        <w:tc>
          <w:tcPr>
            <w:tcW w:w="30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31.1</w:t>
            </w:r>
          </w:p>
        </w:tc>
        <w:tc>
          <w:tcPr>
            <w:tcW w:w="5100" w:type="dxa"/>
            <w:vAlign w:val="bottom"/>
            <w:gridSpan w:val="8"/>
            <w:shd w:val="clear" w:color="auto" w:fill="CCEEFF"/>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Rule 13a-</w:t>
            </w: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x</w:t>
            </w: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4600" w:type="dxa"/>
            <w:vAlign w:val="bottom"/>
            <w:tcBorders>
              <w:top w:val="single" w:sz="8" w:color="0000FF"/>
            </w:tcBorders>
            <w:gridSpan w:val="4"/>
            <w:shd w:val="clear" w:color="auto" w:fill="CCEEFF"/>
          </w:tcPr>
          <w:p>
            <w:pPr>
              <w:spacing w:after="0" w:line="142" w:lineRule="exact"/>
              <w:rPr>
                <w:sz w:val="20"/>
                <w:szCs w:val="20"/>
                <w:color w:val="auto"/>
              </w:rPr>
            </w:pPr>
            <w:r>
              <w:rPr>
                <w:rFonts w:ascii="Arial" w:cs="Arial" w:eastAsia="Arial" w:hAnsi="Arial"/>
                <w:sz w:val="16"/>
                <w:szCs w:val="16"/>
                <w:color w:val="0000FF"/>
              </w:rPr>
              <w:t>14(a) under the Securities Exchange Act of 1934</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rPr>
              <w:t>31.2</w:t>
            </w:r>
          </w:p>
        </w:tc>
        <w:tc>
          <w:tcPr>
            <w:tcW w:w="5100" w:type="dxa"/>
            <w:vAlign w:val="bottom"/>
            <w:gridSpan w:val="8"/>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Rule 13a-14(a)</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line="175" w:lineRule="exact"/>
              <w:rPr>
                <w:sz w:val="20"/>
                <w:szCs w:val="20"/>
                <w:color w:val="auto"/>
              </w:rPr>
            </w:pPr>
            <w:r>
              <w:rPr>
                <w:rFonts w:ascii="Arial" w:cs="Arial" w:eastAsia="Arial" w:hAnsi="Arial"/>
                <w:sz w:val="16"/>
                <w:szCs w:val="16"/>
                <w:color w:val="auto"/>
                <w:w w:val="99"/>
              </w:rPr>
              <w:t>x</w:t>
            </w:r>
          </w:p>
        </w:tc>
      </w:tr>
      <w:tr>
        <w:trPr>
          <w:trHeight w:val="142"/>
        </w:trPr>
        <w:tc>
          <w:tcPr>
            <w:tcW w:w="800" w:type="dxa"/>
            <w:vAlign w:val="bottom"/>
          </w:tcPr>
          <w:p>
            <w:pPr>
              <w:spacing w:after="0"/>
              <w:rPr>
                <w:sz w:val="12"/>
                <w:szCs w:val="12"/>
                <w:color w:val="auto"/>
              </w:rPr>
            </w:pPr>
          </w:p>
        </w:tc>
        <w:tc>
          <w:tcPr>
            <w:tcW w:w="492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under the Securities Exchange Act of 1934</w:t>
            </w:r>
          </w:p>
        </w:tc>
        <w:tc>
          <w:tcPr>
            <w:tcW w:w="1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
        </w:trPr>
        <w:tc>
          <w:tcPr>
            <w:tcW w:w="800" w:type="dxa"/>
            <w:vAlign w:val="bottom"/>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32.1†</w:t>
            </w:r>
          </w:p>
        </w:tc>
        <w:tc>
          <w:tcPr>
            <w:tcW w:w="5100" w:type="dxa"/>
            <w:vAlign w:val="bottom"/>
            <w:gridSpan w:val="8"/>
            <w:shd w:val="clear" w:color="auto" w:fill="CCEEFF"/>
          </w:tcPr>
          <w:p>
            <w:pPr>
              <w:spacing w:after="0" w:line="175" w:lineRule="exact"/>
              <w:rPr>
                <w:sz w:val="20"/>
                <w:szCs w:val="20"/>
                <w:color w:val="auto"/>
              </w:rPr>
            </w:pPr>
            <w:r>
              <w:rPr>
                <w:rFonts w:ascii="Arial" w:cs="Arial" w:eastAsia="Arial" w:hAnsi="Arial"/>
                <w:sz w:val="16"/>
                <w:szCs w:val="16"/>
                <w:color w:val="0000FF"/>
              </w:rPr>
              <w:t>Certifications of Principal Executive Officer and Principal Financial</w:t>
            </w: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x</w:t>
            </w: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3100" w:type="dxa"/>
            <w:vAlign w:val="bottom"/>
            <w:tcBorders>
              <w:top w:val="single" w:sz="8" w:color="0000FF"/>
              <w:bottom w:val="single" w:sz="8" w:color="0000FF"/>
            </w:tcBorders>
            <w:gridSpan w:val="2"/>
            <w:shd w:val="clear" w:color="auto" w:fill="CCEEFF"/>
          </w:tcPr>
          <w:p>
            <w:pPr>
              <w:spacing w:after="0" w:line="142" w:lineRule="exact"/>
              <w:rPr>
                <w:sz w:val="20"/>
                <w:szCs w:val="20"/>
                <w:color w:val="auto"/>
              </w:rPr>
            </w:pPr>
            <w:r>
              <w:rPr>
                <w:rFonts w:ascii="Arial" w:cs="Arial" w:eastAsia="Arial" w:hAnsi="Arial"/>
                <w:sz w:val="16"/>
                <w:szCs w:val="16"/>
                <w:color w:val="0000FF"/>
              </w:rPr>
              <w:t>Officer, pursuant to 18 U.S.C. Section 1350</w:t>
            </w:r>
          </w:p>
        </w:tc>
        <w:tc>
          <w:tcPr>
            <w:tcW w:w="162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38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2"/>
        </w:trPr>
        <w:tc>
          <w:tcPr>
            <w:tcW w:w="800" w:type="dxa"/>
            <w:vAlign w:val="bottom"/>
          </w:tcPr>
          <w:p>
            <w:pPr>
              <w:jc w:val="center"/>
              <w:spacing w:after="0" w:line="162" w:lineRule="exact"/>
              <w:rPr>
                <w:sz w:val="20"/>
                <w:szCs w:val="20"/>
                <w:color w:val="auto"/>
              </w:rPr>
            </w:pPr>
            <w:r>
              <w:rPr>
                <w:rFonts w:ascii="Arial" w:cs="Arial" w:eastAsia="Arial" w:hAnsi="Arial"/>
                <w:sz w:val="16"/>
                <w:szCs w:val="16"/>
                <w:color w:val="auto"/>
              </w:rPr>
              <w:t>101.INS</w:t>
            </w:r>
          </w:p>
        </w:tc>
        <w:tc>
          <w:tcPr>
            <w:tcW w:w="5100" w:type="dxa"/>
            <w:vAlign w:val="bottom"/>
            <w:gridSpan w:val="8"/>
          </w:tcPr>
          <w:p>
            <w:pPr>
              <w:spacing w:after="0" w:line="162" w:lineRule="exact"/>
              <w:rPr>
                <w:sz w:val="20"/>
                <w:szCs w:val="20"/>
                <w:color w:val="auto"/>
              </w:rPr>
            </w:pPr>
            <w:r>
              <w:rPr>
                <w:rFonts w:ascii="Arial" w:cs="Arial" w:eastAsia="Arial" w:hAnsi="Arial"/>
                <w:sz w:val="16"/>
                <w:szCs w:val="16"/>
                <w:color w:val="auto"/>
              </w:rPr>
              <w:t>Inline XBRL Instance Document (the instance document does not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100" w:type="dxa"/>
            <w:vAlign w:val="bottom"/>
            <w:gridSpan w:val="8"/>
          </w:tcPr>
          <w:p>
            <w:pPr>
              <w:spacing w:after="0" w:line="162" w:lineRule="exact"/>
              <w:rPr>
                <w:sz w:val="20"/>
                <w:szCs w:val="20"/>
                <w:color w:val="auto"/>
              </w:rPr>
            </w:pPr>
            <w:r>
              <w:rPr>
                <w:rFonts w:ascii="Arial" w:cs="Arial" w:eastAsia="Arial" w:hAnsi="Arial"/>
                <w:sz w:val="16"/>
                <w:szCs w:val="16"/>
                <w:color w:val="auto"/>
              </w:rPr>
              <w:t>appear in the interactive data files because the XBRL tags are</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5"/>
        </w:trPr>
        <w:tc>
          <w:tcPr>
            <w:tcW w:w="800" w:type="dxa"/>
            <w:vAlign w:val="bottom"/>
          </w:tcPr>
          <w:p>
            <w:pPr>
              <w:spacing w:after="0"/>
              <w:rPr>
                <w:sz w:val="18"/>
                <w:szCs w:val="18"/>
                <w:color w:val="auto"/>
              </w:rPr>
            </w:pPr>
          </w:p>
        </w:tc>
        <w:tc>
          <w:tcPr>
            <w:tcW w:w="5100" w:type="dxa"/>
            <w:vAlign w:val="bottom"/>
            <w:gridSpan w:val="8"/>
          </w:tcPr>
          <w:p>
            <w:pPr>
              <w:spacing w:after="0"/>
              <w:rPr>
                <w:sz w:val="20"/>
                <w:szCs w:val="20"/>
                <w:color w:val="auto"/>
              </w:rPr>
            </w:pPr>
            <w:r>
              <w:rPr>
                <w:rFonts w:ascii="Arial" w:cs="Arial" w:eastAsia="Arial" w:hAnsi="Arial"/>
                <w:sz w:val="16"/>
                <w:szCs w:val="16"/>
                <w:color w:val="auto"/>
              </w:rPr>
              <w:t>embedded within the Inline XBRL document)</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5900" w:type="dxa"/>
            <w:vAlign w:val="bottom"/>
            <w:gridSpan w:val="9"/>
            <w:shd w:val="clear" w:color="auto" w:fill="CCEEFF"/>
          </w:tcPr>
          <w:p>
            <w:pPr>
              <w:ind w:left="60"/>
              <w:spacing w:after="0"/>
              <w:rPr>
                <w:sz w:val="20"/>
                <w:szCs w:val="20"/>
                <w:color w:val="auto"/>
              </w:rPr>
            </w:pPr>
            <w:r>
              <w:rPr>
                <w:rFonts w:ascii="Arial" w:cs="Arial" w:eastAsia="Arial" w:hAnsi="Arial"/>
                <w:sz w:val="16"/>
                <w:szCs w:val="16"/>
                <w:color w:val="auto"/>
              </w:rPr>
              <w:t>101.SCH Inline XBRL Taxonomy Extension Schema Document</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r>
      <w:tr>
        <w:trPr>
          <w:trHeight w:val="215"/>
        </w:trPr>
        <w:tc>
          <w:tcPr>
            <w:tcW w:w="80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510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217"/>
        </w:trPr>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101.DEF</w:t>
            </w:r>
          </w:p>
        </w:tc>
        <w:tc>
          <w:tcPr>
            <w:tcW w:w="5100" w:type="dxa"/>
            <w:vAlign w:val="bottom"/>
            <w:gridSpan w:val="8"/>
            <w:shd w:val="clear" w:color="auto" w:fill="CCEEFF"/>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r>
      <w:tr>
        <w:trPr>
          <w:trHeight w:val="215"/>
        </w:trPr>
        <w:tc>
          <w:tcPr>
            <w:tcW w:w="800" w:type="dxa"/>
            <w:vAlign w:val="bottom"/>
          </w:tcPr>
          <w:p>
            <w:pPr>
              <w:jc w:val="center"/>
              <w:spacing w:after="0"/>
              <w:rPr>
                <w:sz w:val="20"/>
                <w:szCs w:val="20"/>
                <w:color w:val="auto"/>
              </w:rPr>
            </w:pPr>
            <w:r>
              <w:rPr>
                <w:rFonts w:ascii="Arial" w:cs="Arial" w:eastAsia="Arial" w:hAnsi="Arial"/>
                <w:sz w:val="16"/>
                <w:szCs w:val="16"/>
                <w:color w:val="auto"/>
              </w:rPr>
              <w:t>101.LAB</w:t>
            </w:r>
          </w:p>
        </w:tc>
        <w:tc>
          <w:tcPr>
            <w:tcW w:w="5100" w:type="dxa"/>
            <w:vAlign w:val="bottom"/>
            <w:gridSpan w:val="8"/>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217"/>
        </w:trPr>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101.PRE</w:t>
            </w:r>
          </w:p>
        </w:tc>
        <w:tc>
          <w:tcPr>
            <w:tcW w:w="5100" w:type="dxa"/>
            <w:vAlign w:val="bottom"/>
            <w:gridSpan w:val="8"/>
            <w:shd w:val="clear" w:color="auto" w:fill="CCEEFF"/>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r>
    </w:tbl>
    <w:p>
      <w:pPr>
        <w:ind w:left="800" w:right="5560" w:hanging="542"/>
        <w:spacing w:after="0" w:line="250"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3" w:lineRule="exact"/>
        <w:rPr>
          <w:sz w:val="20"/>
          <w:szCs w:val="20"/>
          <w:color w:val="auto"/>
        </w:rPr>
      </w:pPr>
    </w:p>
    <w:p>
      <w:pPr>
        <w:ind w:left="800" w:right="360" w:hanging="774"/>
        <w:spacing w:after="0" w:line="264" w:lineRule="auto"/>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July 31, 2024</w:t>
      </w:r>
      <w:r>
        <w:rPr>
          <w:sz w:val="20"/>
          <w:szCs w:val="20"/>
          <w:color w:val="auto"/>
        </w:rPr>
        <w:tab/>
      </w:r>
      <w:r>
        <w:rPr>
          <w:rFonts w:ascii="Arial" w:cs="Arial" w:eastAsia="Arial" w:hAnsi="Arial"/>
          <w:sz w:val="17"/>
          <w:szCs w:val="17"/>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17780</wp:posOffset>
            </wp:positionV>
            <wp:extent cx="33343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Timothy K. Jugmans,</w:t>
      </w: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130" w:right="4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0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Lachlan P. Given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25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 and Timothy K. Jugmans, Chief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The undersigned officers of EZCORP, Inc. hereby certify that (a) EZCORP’s Quarterly Report on Form 10-Q for the quarter ended June 30, 2024,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Lachlan P. Given</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9"/>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July 31, 2024</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04"/>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21" Type="http://schemas.openxmlformats.org/officeDocument/2006/relationships/hyperlink" Target="https://www.sec.gov/ix?doc=/Archives/edgar/data/876523/000087652323000045/ezpw-2023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2024-07-31T15:36:37Z</dcterms:created>
  <dcterms:modified xsi:type="dcterms:W3CDTF">2024-07-31T15:36:37Z</dcterms:modified>
</cp:coreProperties>
</file>